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B63E0">
      <w:pPr>
        <w:pStyle w:val="259"/>
        <w:spacing w:before="120" w:beforeAutospacing="0" w:after="120" w:afterAutospacing="0" w:line="360" w:lineRule="auto"/>
        <w:rPr>
          <w:color w:val="auto"/>
          <w:highlight w:val="none"/>
        </w:rPr>
      </w:pPr>
      <w:r>
        <w:rPr>
          <w:color w:val="auto"/>
          <w:highlight w:val="none"/>
        </w:rPr>
        <w:t> </w:t>
      </w:r>
    </w:p>
    <w:p w14:paraId="5FCFCC8A">
      <w:pPr>
        <w:pStyle w:val="259"/>
        <w:spacing w:before="120" w:beforeAutospacing="0" w:after="120" w:afterAutospacing="0" w:line="360" w:lineRule="auto"/>
        <w:jc w:val="center"/>
        <w:rPr>
          <w:rFonts w:ascii="Arial" w:hAnsi="Arial" w:cs="Arial"/>
          <w:b/>
          <w:color w:val="auto"/>
          <w:sz w:val="84"/>
          <w:szCs w:val="84"/>
          <w:highlight w:val="none"/>
        </w:rPr>
      </w:pPr>
    </w:p>
    <w:p w14:paraId="1BE1D7B9">
      <w:pPr>
        <w:pStyle w:val="259"/>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2CD42FF2">
      <w:pPr>
        <w:pStyle w:val="259"/>
        <w:spacing w:before="120" w:beforeAutospacing="0" w:after="120" w:afterAutospacing="0" w:line="360" w:lineRule="auto"/>
        <w:jc w:val="center"/>
        <w:rPr>
          <w:rFonts w:ascii="Arial" w:hAnsi="Arial" w:cs="Arial"/>
          <w:b/>
          <w:color w:val="auto"/>
          <w:sz w:val="32"/>
          <w:szCs w:val="32"/>
          <w:highlight w:val="none"/>
        </w:rPr>
      </w:pPr>
    </w:p>
    <w:p w14:paraId="7642F513">
      <w:pPr>
        <w:pStyle w:val="259"/>
        <w:spacing w:before="120" w:beforeAutospacing="0" w:after="120" w:afterAutospacing="0" w:line="360" w:lineRule="auto"/>
        <w:jc w:val="both"/>
        <w:rPr>
          <w:rFonts w:ascii="Arial" w:hAnsi="Arial" w:cs="Arial"/>
          <w:b/>
          <w:color w:val="auto"/>
          <w:sz w:val="32"/>
          <w:szCs w:val="32"/>
          <w:highlight w:val="none"/>
        </w:rPr>
      </w:pPr>
    </w:p>
    <w:p w14:paraId="6584BB4C">
      <w:pPr>
        <w:pStyle w:val="259"/>
        <w:spacing w:before="120" w:beforeAutospacing="0" w:after="120" w:afterAutospacing="0" w:line="360" w:lineRule="auto"/>
        <w:jc w:val="center"/>
        <w:rPr>
          <w:rFonts w:hint="eastAsia" w:ascii="Arial" w:hAnsi="Arial" w:eastAsia="宋体" w:cs="Arial"/>
          <w:b/>
          <w:color w:val="auto"/>
          <w:sz w:val="32"/>
          <w:szCs w:val="32"/>
          <w:highlight w:val="none"/>
          <w:lang w:eastAsia="zh-CN"/>
        </w:rPr>
      </w:pPr>
      <w:r>
        <w:rPr>
          <w:rFonts w:ascii="Arial" w:hAnsi="Arial" w:cs="Arial"/>
          <w:b/>
          <w:color w:val="auto"/>
          <w:sz w:val="32"/>
          <w:szCs w:val="32"/>
          <w:highlight w:val="none"/>
        </w:rPr>
        <w:t>项目名称：</w:t>
      </w:r>
      <w:bookmarkStart w:id="232" w:name="_GoBack"/>
      <w:bookmarkEnd w:id="232"/>
      <w:r>
        <w:rPr>
          <w:rFonts w:hint="eastAsia" w:ascii="Arial" w:hAnsi="Arial" w:cs="Arial"/>
          <w:b/>
          <w:color w:val="auto"/>
          <w:sz w:val="32"/>
          <w:szCs w:val="32"/>
          <w:highlight w:val="none"/>
          <w:lang w:eastAsia="zh-CN"/>
        </w:rPr>
        <w:t>盐城市公安局盐都分局交管力量数字化提升项目</w:t>
      </w:r>
    </w:p>
    <w:p w14:paraId="1FF3F51B">
      <w:pPr>
        <w:pStyle w:val="259"/>
        <w:spacing w:before="120" w:beforeAutospacing="0" w:after="120" w:afterAutospacing="0" w:line="360" w:lineRule="auto"/>
        <w:jc w:val="center"/>
        <w:rPr>
          <w:rFonts w:hint="eastAsia" w:ascii="Arial" w:hAnsi="Arial" w:eastAsia="宋体" w:cs="Arial"/>
          <w:b/>
          <w:color w:val="auto"/>
          <w:sz w:val="32"/>
          <w:szCs w:val="32"/>
          <w:highlight w:val="none"/>
        </w:rPr>
      </w:pPr>
      <w:r>
        <w:rPr>
          <w:rFonts w:ascii="Arial" w:hAnsi="Arial" w:cs="Arial"/>
          <w:b/>
          <w:color w:val="auto"/>
          <w:sz w:val="32"/>
          <w:szCs w:val="32"/>
          <w:highlight w:val="none"/>
        </w:rPr>
        <w:t>项目编号：</w:t>
      </w:r>
      <w:r>
        <w:rPr>
          <w:rFonts w:hint="eastAsia" w:ascii="Arial" w:hAnsi="Arial" w:cs="Arial"/>
          <w:b/>
          <w:color w:val="auto"/>
          <w:sz w:val="32"/>
          <w:szCs w:val="32"/>
          <w:highlight w:val="none"/>
        </w:rPr>
        <w:t>JSZC-320903-JCJS-G2026-0007</w:t>
      </w:r>
    </w:p>
    <w:p w14:paraId="7A68C40B">
      <w:pPr>
        <w:pStyle w:val="259"/>
        <w:spacing w:before="120" w:beforeAutospacing="0" w:after="120" w:afterAutospacing="0" w:line="360" w:lineRule="auto"/>
        <w:ind w:firstLine="240"/>
        <w:rPr>
          <w:color w:val="auto"/>
          <w:highlight w:val="none"/>
        </w:rPr>
      </w:pPr>
    </w:p>
    <w:p w14:paraId="34B85595">
      <w:pPr>
        <w:pStyle w:val="259"/>
        <w:spacing w:beforeAutospacing="0" w:afterAutospacing="0" w:line="360" w:lineRule="auto"/>
        <w:rPr>
          <w:color w:val="auto"/>
          <w:highlight w:val="none"/>
        </w:rPr>
      </w:pPr>
      <w:r>
        <w:rPr>
          <w:color w:val="auto"/>
          <w:highlight w:val="none"/>
        </w:rPr>
        <w:t> </w:t>
      </w:r>
    </w:p>
    <w:p w14:paraId="44EEE503">
      <w:pPr>
        <w:pStyle w:val="259"/>
        <w:spacing w:beforeAutospacing="0" w:afterAutospacing="0" w:line="360" w:lineRule="auto"/>
        <w:rPr>
          <w:color w:val="auto"/>
          <w:highlight w:val="none"/>
        </w:rPr>
      </w:pPr>
      <w:r>
        <w:rPr>
          <w:color w:val="auto"/>
          <w:highlight w:val="none"/>
        </w:rPr>
        <w:t> </w:t>
      </w:r>
    </w:p>
    <w:p w14:paraId="25C12F1E">
      <w:pPr>
        <w:pStyle w:val="259"/>
        <w:spacing w:beforeAutospacing="0" w:afterAutospacing="0" w:line="360" w:lineRule="auto"/>
        <w:rPr>
          <w:color w:val="auto"/>
          <w:highlight w:val="none"/>
        </w:rPr>
      </w:pPr>
      <w:r>
        <w:rPr>
          <w:color w:val="auto"/>
          <w:highlight w:val="none"/>
        </w:rPr>
        <w:t> </w:t>
      </w:r>
    </w:p>
    <w:p w14:paraId="6894346E">
      <w:pPr>
        <w:pStyle w:val="259"/>
        <w:spacing w:beforeAutospacing="0" w:afterAutospacing="0" w:line="360" w:lineRule="auto"/>
        <w:rPr>
          <w:color w:val="auto"/>
          <w:highlight w:val="none"/>
        </w:rPr>
      </w:pPr>
      <w:r>
        <w:rPr>
          <w:color w:val="auto"/>
          <w:highlight w:val="none"/>
        </w:rPr>
        <w:t> </w:t>
      </w:r>
    </w:p>
    <w:p w14:paraId="11B6E12C">
      <w:pPr>
        <w:pStyle w:val="259"/>
        <w:spacing w:beforeAutospacing="0" w:afterAutospacing="0" w:line="360" w:lineRule="auto"/>
        <w:rPr>
          <w:color w:val="auto"/>
          <w:highlight w:val="none"/>
        </w:rPr>
      </w:pPr>
      <w:r>
        <w:rPr>
          <w:color w:val="auto"/>
          <w:highlight w:val="none"/>
        </w:rPr>
        <w:t> </w:t>
      </w:r>
    </w:p>
    <w:p w14:paraId="1222CE80">
      <w:pPr>
        <w:pStyle w:val="259"/>
        <w:spacing w:beforeAutospacing="0" w:afterAutospacing="0" w:line="360" w:lineRule="auto"/>
        <w:rPr>
          <w:color w:val="auto"/>
          <w:highlight w:val="none"/>
        </w:rPr>
      </w:pPr>
      <w:r>
        <w:rPr>
          <w:color w:val="auto"/>
          <w:highlight w:val="none"/>
        </w:rPr>
        <w:t> </w:t>
      </w:r>
    </w:p>
    <w:p w14:paraId="4F788B14">
      <w:pPr>
        <w:pStyle w:val="259"/>
        <w:spacing w:before="120" w:beforeAutospacing="0" w:after="120" w:afterAutospacing="0" w:line="360" w:lineRule="auto"/>
        <w:jc w:val="center"/>
        <w:rPr>
          <w:rFonts w:hint="eastAsia" w:ascii="Arial" w:hAnsi="Arial" w:cs="Arial"/>
          <w:b/>
          <w:color w:val="auto"/>
          <w:sz w:val="32"/>
          <w:szCs w:val="32"/>
          <w:highlight w:val="none"/>
        </w:rPr>
      </w:pPr>
    </w:p>
    <w:p w14:paraId="2BD0DA98">
      <w:pPr>
        <w:pStyle w:val="259"/>
        <w:spacing w:before="120" w:beforeAutospacing="0" w:after="120" w:afterAutospacing="0" w:line="360" w:lineRule="auto"/>
        <w:jc w:val="center"/>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盐城市公安局盐都分局</w:t>
      </w:r>
    </w:p>
    <w:p w14:paraId="196802B1">
      <w:pPr>
        <w:pStyle w:val="259"/>
        <w:spacing w:before="120" w:beforeAutospacing="0" w:after="120" w:afterAutospacing="0" w:line="360" w:lineRule="auto"/>
        <w:jc w:val="center"/>
        <w:rPr>
          <w:rFonts w:hint="eastAsia" w:ascii="Arial" w:hAnsi="Arial" w:cs="Arial"/>
          <w:b/>
          <w:color w:val="auto"/>
          <w:sz w:val="32"/>
          <w:szCs w:val="32"/>
          <w:highlight w:val="none"/>
        </w:rPr>
      </w:pPr>
      <w:r>
        <w:rPr>
          <w:rFonts w:hint="eastAsia" w:ascii="Arial" w:hAnsi="Arial" w:cs="Arial"/>
          <w:b/>
          <w:color w:val="auto"/>
          <w:sz w:val="32"/>
          <w:szCs w:val="32"/>
          <w:highlight w:val="none"/>
        </w:rPr>
        <w:t>202</w:t>
      </w:r>
      <w:r>
        <w:rPr>
          <w:rFonts w:hint="eastAsia" w:ascii="Arial" w:hAnsi="Arial" w:cs="Arial"/>
          <w:b/>
          <w:color w:val="auto"/>
          <w:sz w:val="32"/>
          <w:szCs w:val="32"/>
          <w:highlight w:val="none"/>
          <w:lang w:val="en-US" w:eastAsia="zh-CN"/>
        </w:rPr>
        <w:t>6</w:t>
      </w:r>
      <w:r>
        <w:rPr>
          <w:rFonts w:hint="eastAsia" w:ascii="Arial" w:hAnsi="Arial" w:cs="Arial"/>
          <w:b/>
          <w:color w:val="auto"/>
          <w:sz w:val="32"/>
          <w:szCs w:val="32"/>
          <w:highlight w:val="none"/>
        </w:rPr>
        <w:t>年</w:t>
      </w:r>
      <w:r>
        <w:rPr>
          <w:rFonts w:hint="eastAsia" w:ascii="Arial" w:hAnsi="Arial" w:cs="Arial"/>
          <w:b/>
          <w:color w:val="auto"/>
          <w:sz w:val="32"/>
          <w:szCs w:val="32"/>
          <w:highlight w:val="none"/>
          <w:lang w:val="en-US" w:eastAsia="zh-CN"/>
        </w:rPr>
        <w:t>6</w:t>
      </w:r>
      <w:r>
        <w:rPr>
          <w:rFonts w:hint="eastAsia" w:ascii="Arial" w:hAnsi="Arial" w:cs="Arial"/>
          <w:b/>
          <w:color w:val="auto"/>
          <w:sz w:val="32"/>
          <w:szCs w:val="32"/>
          <w:highlight w:val="none"/>
        </w:rPr>
        <w:t>月</w:t>
      </w:r>
    </w:p>
    <w:p w14:paraId="7D8C9FC3">
      <w:pPr>
        <w:pStyle w:val="259"/>
        <w:spacing w:before="120" w:beforeAutospacing="0" w:after="120" w:afterAutospacing="0" w:line="360" w:lineRule="auto"/>
        <w:rPr>
          <w:rFonts w:hint="eastAsia" w:eastAsia="宋体"/>
          <w:color w:val="auto"/>
          <w:highlight w:val="none"/>
          <w:lang w:val="en-US" w:eastAsia="zh-CN"/>
        </w:rPr>
      </w:pPr>
      <w:r>
        <w:rPr>
          <w:rFonts w:ascii="Arial" w:hAnsi="Arial" w:cs="Arial"/>
          <w:color w:val="auto"/>
          <w:highlight w:val="none"/>
        </w:rPr>
        <w:t>                       </w:t>
      </w:r>
    </w:p>
    <w:p w14:paraId="77F2FDAE">
      <w:pPr>
        <w:pStyle w:val="259"/>
        <w:spacing w:beforeAutospacing="0" w:afterAutospacing="0" w:line="480" w:lineRule="auto"/>
        <w:jc w:val="center"/>
        <w:rPr>
          <w:rFonts w:ascii="Times New Roman" w:hAnsi="Times New Roman"/>
          <w:color w:val="auto"/>
          <w:sz w:val="21"/>
          <w:szCs w:val="21"/>
          <w:highlight w:val="none"/>
        </w:rPr>
        <w:sectPr>
          <w:footerReference r:id="rId3" w:type="default"/>
          <w:pgSz w:w="11906" w:h="16838"/>
          <w:pgMar w:top="1440" w:right="1080" w:bottom="1440" w:left="1080" w:header="851" w:footer="992" w:gutter="0"/>
          <w:pgNumType w:start="1"/>
          <w:cols w:space="1701" w:num="1"/>
          <w:docGrid w:linePitch="360" w:charSpace="0"/>
        </w:sectPr>
      </w:pPr>
    </w:p>
    <w:p w14:paraId="2A23F437">
      <w:pPr>
        <w:pStyle w:val="259"/>
        <w:spacing w:beforeAutospacing="0" w:afterAutospacing="0" w:line="480" w:lineRule="auto"/>
        <w:jc w:val="center"/>
        <w:rPr>
          <w:rFonts w:ascii="Times New Roman" w:hAnsi="Times New Roman"/>
          <w:color w:val="auto"/>
          <w:sz w:val="21"/>
          <w:szCs w:val="21"/>
          <w:highlight w:val="none"/>
        </w:rPr>
      </w:pPr>
      <w:r>
        <w:rPr>
          <w:rFonts w:ascii="Times New Roman" w:hAnsi="Times New Roman"/>
          <w:color w:val="auto"/>
          <w:sz w:val="21"/>
          <w:szCs w:val="21"/>
          <w:highlight w:val="none"/>
        </w:rPr>
        <w:t> </w:t>
      </w:r>
      <w:bookmarkStart w:id="0" w:name="_Toc479757206"/>
      <w:bookmarkStart w:id="1" w:name="_Toc523127445"/>
      <w:bookmarkStart w:id="2" w:name="_Toc120614210"/>
      <w:bookmarkStart w:id="3" w:name="_Toc20823272"/>
      <w:bookmarkStart w:id="4" w:name="_Toc16938516"/>
      <w:bookmarkStart w:id="5" w:name="_Toc513029200"/>
    </w:p>
    <w:p w14:paraId="7BC9C47D">
      <w:pPr>
        <w:pStyle w:val="259"/>
        <w:spacing w:beforeAutospacing="0" w:afterAutospacing="0" w:line="480" w:lineRule="auto"/>
        <w:jc w:val="center"/>
        <w:rPr>
          <w:rFonts w:ascii="Times New Roman" w:hAnsi="Times New Roman"/>
          <w:color w:val="auto"/>
          <w:sz w:val="21"/>
          <w:szCs w:val="21"/>
          <w:highlight w:val="none"/>
        </w:rPr>
      </w:pPr>
    </w:p>
    <w:p w14:paraId="77BB5CE6">
      <w:pPr>
        <w:pStyle w:val="259"/>
        <w:spacing w:beforeAutospacing="0" w:afterAutospacing="0" w:line="480" w:lineRule="auto"/>
        <w:jc w:val="center"/>
        <w:rPr>
          <w:color w:val="auto"/>
          <w:highlight w:val="none"/>
        </w:rPr>
      </w:pPr>
      <w:r>
        <w:rPr>
          <w:rFonts w:ascii="黑体" w:hAnsi="宋体" w:eastAsia="黑体" w:cs="黑体"/>
          <w:b/>
          <w:color w:val="auto"/>
          <w:sz w:val="44"/>
          <w:szCs w:val="44"/>
          <w:highlight w:val="none"/>
        </w:rPr>
        <w:t>目  录</w:t>
      </w:r>
      <w:bookmarkEnd w:id="0"/>
      <w:bookmarkEnd w:id="1"/>
      <w:bookmarkEnd w:id="2"/>
      <w:bookmarkEnd w:id="3"/>
      <w:bookmarkEnd w:id="4"/>
      <w:bookmarkEnd w:id="5"/>
    </w:p>
    <w:p w14:paraId="271A309B">
      <w:pPr>
        <w:pStyle w:val="259"/>
        <w:spacing w:beforeAutospacing="0" w:afterAutospacing="0" w:line="480" w:lineRule="auto"/>
        <w:jc w:val="both"/>
        <w:rPr>
          <w:color w:val="auto"/>
          <w:highlight w:val="none"/>
        </w:rPr>
      </w:pPr>
      <w:r>
        <w:rPr>
          <w:color w:val="auto"/>
          <w:highlight w:val="none"/>
        </w:rPr>
        <w:t> </w:t>
      </w:r>
    </w:p>
    <w:p w14:paraId="41804634">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eastAsia"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第一章  招标公告</w:t>
      </w:r>
    </w:p>
    <w:p w14:paraId="46F619D6">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eastAsia"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第二章  投标人须知</w:t>
      </w:r>
    </w:p>
    <w:p w14:paraId="20E870CE">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eastAsia"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第三章  合同条款</w:t>
      </w:r>
    </w:p>
    <w:p w14:paraId="5047961E">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default"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第四章  采购需求</w:t>
      </w:r>
    </w:p>
    <w:p w14:paraId="73C371AC">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default"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第五章  评标方法与评标标准</w:t>
      </w:r>
    </w:p>
    <w:p w14:paraId="04A91F36">
      <w:pPr>
        <w:keepNext w:val="0"/>
        <w:keepLines w:val="0"/>
        <w:widowControl w:val="0"/>
        <w:numPr>
          <w:ilvl w:val="0"/>
          <w:numId w:val="0"/>
        </w:numPr>
        <w:suppressLineNumbers w:val="0"/>
        <w:spacing w:before="0" w:beforeAutospacing="0" w:after="0" w:afterAutospacing="0" w:line="1000" w:lineRule="exact"/>
        <w:ind w:right="0" w:rightChars="0" w:firstLine="1440" w:firstLineChars="400"/>
        <w:jc w:val="left"/>
        <w:outlineLvl w:val="0"/>
        <w:rPr>
          <w:rFonts w:hint="default" w:asciiTheme="minorEastAsia" w:hAnsiTheme="minorEastAsia" w:eastAsiaTheme="minorEastAsia" w:cstheme="minorEastAsia"/>
          <w:b w:val="0"/>
          <w:color w:val="auto"/>
          <w:kern w:val="2"/>
          <w:sz w:val="36"/>
          <w:szCs w:val="36"/>
          <w:highlight w:val="none"/>
          <w:lang w:val="en-US" w:eastAsia="zh-CN" w:bidi="ar-SA"/>
        </w:rPr>
      </w:pPr>
      <w:r>
        <w:rPr>
          <w:rFonts w:hint="eastAsia" w:asciiTheme="minorEastAsia" w:hAnsiTheme="minorEastAsia" w:eastAsiaTheme="minorEastAsia" w:cstheme="minorEastAsia"/>
          <w:b w:val="0"/>
          <w:color w:val="auto"/>
          <w:kern w:val="2"/>
          <w:sz w:val="36"/>
          <w:szCs w:val="36"/>
          <w:highlight w:val="none"/>
          <w:lang w:val="en-US" w:eastAsia="zh-CN" w:bidi="ar-SA"/>
        </w:rPr>
        <w:t>第六章  投标文件格式</w:t>
      </w:r>
    </w:p>
    <w:p w14:paraId="15257C09">
      <w:pPr>
        <w:pStyle w:val="259"/>
        <w:spacing w:beforeAutospacing="0" w:afterAutospacing="0"/>
        <w:jc w:val="both"/>
        <w:rPr>
          <w:color w:val="auto"/>
          <w:highlight w:val="none"/>
        </w:rPr>
      </w:pPr>
      <w:r>
        <w:rPr>
          <w:color w:val="auto"/>
          <w:highlight w:val="none"/>
        </w:rPr>
        <w:t> </w:t>
      </w:r>
    </w:p>
    <w:p w14:paraId="4D342BDE">
      <w:pPr>
        <w:pStyle w:val="259"/>
        <w:spacing w:beforeAutospacing="0" w:afterAutospacing="0"/>
        <w:jc w:val="both"/>
        <w:rPr>
          <w:color w:val="auto"/>
          <w:highlight w:val="none"/>
        </w:rPr>
      </w:pPr>
      <w:r>
        <w:rPr>
          <w:color w:val="auto"/>
          <w:highlight w:val="none"/>
        </w:rPr>
        <w:t> </w:t>
      </w:r>
    </w:p>
    <w:p w14:paraId="47FFCB4E">
      <w:pPr>
        <w:pStyle w:val="259"/>
        <w:spacing w:beforeAutospacing="0" w:afterAutospacing="0"/>
        <w:jc w:val="both"/>
        <w:rPr>
          <w:color w:val="auto"/>
          <w:highlight w:val="none"/>
        </w:rPr>
      </w:pPr>
      <w:r>
        <w:rPr>
          <w:color w:val="auto"/>
          <w:highlight w:val="none"/>
        </w:rPr>
        <w:t> </w:t>
      </w:r>
    </w:p>
    <w:p w14:paraId="4731E7D1">
      <w:pPr>
        <w:pStyle w:val="259"/>
        <w:spacing w:beforeAutospacing="0" w:afterAutospacing="0"/>
        <w:jc w:val="both"/>
        <w:rPr>
          <w:color w:val="auto"/>
          <w:highlight w:val="none"/>
        </w:rPr>
      </w:pPr>
      <w:r>
        <w:rPr>
          <w:color w:val="auto"/>
          <w:highlight w:val="none"/>
        </w:rPr>
        <w:t> </w:t>
      </w:r>
    </w:p>
    <w:p w14:paraId="02F6BC8E">
      <w:pPr>
        <w:pStyle w:val="259"/>
        <w:spacing w:beforeAutospacing="0" w:afterAutospacing="0"/>
        <w:jc w:val="both"/>
        <w:rPr>
          <w:color w:val="auto"/>
          <w:highlight w:val="none"/>
        </w:rPr>
      </w:pPr>
      <w:r>
        <w:rPr>
          <w:color w:val="auto"/>
          <w:highlight w:val="none"/>
        </w:rPr>
        <w:t> </w:t>
      </w:r>
    </w:p>
    <w:p w14:paraId="1768A926">
      <w:pPr>
        <w:pStyle w:val="259"/>
        <w:spacing w:beforeAutospacing="0" w:afterAutospacing="0"/>
        <w:jc w:val="both"/>
        <w:rPr>
          <w:color w:val="auto"/>
          <w:highlight w:val="none"/>
        </w:rPr>
      </w:pPr>
      <w:r>
        <w:rPr>
          <w:color w:val="auto"/>
          <w:highlight w:val="none"/>
        </w:rPr>
        <w:t> </w:t>
      </w:r>
    </w:p>
    <w:p w14:paraId="1924B525">
      <w:pPr>
        <w:pStyle w:val="259"/>
        <w:spacing w:beforeAutospacing="0" w:afterAutospacing="0"/>
        <w:jc w:val="both"/>
        <w:rPr>
          <w:color w:val="auto"/>
          <w:highlight w:val="none"/>
        </w:rPr>
      </w:pPr>
      <w:r>
        <w:rPr>
          <w:color w:val="auto"/>
          <w:highlight w:val="none"/>
        </w:rPr>
        <w:t> </w:t>
      </w:r>
    </w:p>
    <w:p w14:paraId="3E55E230">
      <w:pPr>
        <w:pStyle w:val="259"/>
        <w:spacing w:beforeAutospacing="0" w:afterAutospacing="0"/>
        <w:jc w:val="both"/>
        <w:rPr>
          <w:color w:val="auto"/>
          <w:highlight w:val="none"/>
        </w:rPr>
      </w:pPr>
      <w:r>
        <w:rPr>
          <w:color w:val="auto"/>
          <w:highlight w:val="none"/>
        </w:rPr>
        <w:t> </w:t>
      </w:r>
    </w:p>
    <w:p w14:paraId="1A434EDA">
      <w:pPr>
        <w:pStyle w:val="259"/>
        <w:spacing w:beforeAutospacing="0" w:afterAutospacing="0"/>
        <w:jc w:val="both"/>
        <w:rPr>
          <w:color w:val="auto"/>
          <w:highlight w:val="none"/>
        </w:rPr>
      </w:pPr>
      <w:r>
        <w:rPr>
          <w:color w:val="auto"/>
          <w:highlight w:val="none"/>
        </w:rPr>
        <w:t> </w:t>
      </w:r>
    </w:p>
    <w:p w14:paraId="335ABCBA">
      <w:pPr>
        <w:pStyle w:val="259"/>
        <w:spacing w:beforeAutospacing="0" w:afterAutospacing="0"/>
        <w:jc w:val="both"/>
        <w:rPr>
          <w:color w:val="auto"/>
          <w:highlight w:val="none"/>
        </w:rPr>
      </w:pPr>
      <w:r>
        <w:rPr>
          <w:color w:val="auto"/>
          <w:highlight w:val="none"/>
        </w:rPr>
        <w:t> </w:t>
      </w:r>
    </w:p>
    <w:p w14:paraId="434B1B52">
      <w:pPr>
        <w:pStyle w:val="259"/>
        <w:spacing w:beforeAutospacing="0" w:afterAutospacing="0"/>
        <w:jc w:val="both"/>
        <w:rPr>
          <w:color w:val="auto"/>
          <w:highlight w:val="none"/>
        </w:rPr>
      </w:pPr>
      <w:r>
        <w:rPr>
          <w:color w:val="auto"/>
          <w:highlight w:val="none"/>
        </w:rPr>
        <w:t> </w:t>
      </w:r>
    </w:p>
    <w:p w14:paraId="0E9EACB1">
      <w:pPr>
        <w:pStyle w:val="259"/>
        <w:spacing w:beforeAutospacing="0" w:afterAutospacing="0"/>
        <w:jc w:val="both"/>
        <w:rPr>
          <w:color w:val="auto"/>
          <w:highlight w:val="none"/>
        </w:rPr>
      </w:pPr>
      <w:r>
        <w:rPr>
          <w:color w:val="auto"/>
          <w:highlight w:val="none"/>
        </w:rPr>
        <w:t> </w:t>
      </w:r>
    </w:p>
    <w:p w14:paraId="1FBFFFA8">
      <w:pPr>
        <w:pStyle w:val="259"/>
        <w:spacing w:beforeAutospacing="0" w:afterAutospacing="0"/>
        <w:jc w:val="both"/>
        <w:rPr>
          <w:color w:val="auto"/>
          <w:highlight w:val="none"/>
        </w:rPr>
      </w:pPr>
      <w:r>
        <w:rPr>
          <w:color w:val="auto"/>
          <w:highlight w:val="none"/>
        </w:rPr>
        <w:t> </w:t>
      </w:r>
    </w:p>
    <w:p w14:paraId="6FD2AF72">
      <w:pPr>
        <w:pStyle w:val="259"/>
        <w:spacing w:beforeAutospacing="0" w:afterAutospacing="0"/>
        <w:jc w:val="both"/>
        <w:rPr>
          <w:color w:val="auto"/>
          <w:highlight w:val="none"/>
        </w:rPr>
      </w:pPr>
      <w:r>
        <w:rPr>
          <w:color w:val="auto"/>
          <w:highlight w:val="none"/>
        </w:rPr>
        <w:t> </w:t>
      </w:r>
    </w:p>
    <w:p w14:paraId="5DF706EF">
      <w:pPr>
        <w:pStyle w:val="259"/>
        <w:spacing w:beforeAutospacing="0" w:afterAutospacing="0"/>
        <w:jc w:val="both"/>
        <w:rPr>
          <w:color w:val="auto"/>
          <w:highlight w:val="none"/>
        </w:rPr>
      </w:pPr>
      <w:r>
        <w:rPr>
          <w:color w:val="auto"/>
          <w:highlight w:val="none"/>
        </w:rPr>
        <w:t> </w:t>
      </w:r>
    </w:p>
    <w:p w14:paraId="6EF83F36">
      <w:pPr>
        <w:pStyle w:val="259"/>
        <w:spacing w:beforeAutospacing="0" w:afterAutospacing="0"/>
        <w:jc w:val="both"/>
        <w:rPr>
          <w:color w:val="auto"/>
          <w:highlight w:val="none"/>
        </w:rPr>
      </w:pPr>
      <w:r>
        <w:rPr>
          <w:color w:val="auto"/>
          <w:highlight w:val="none"/>
        </w:rPr>
        <w:t> </w:t>
      </w:r>
    </w:p>
    <w:p w14:paraId="347B3ACE">
      <w:pPr>
        <w:pStyle w:val="259"/>
        <w:spacing w:beforeAutospacing="0" w:afterAutospacing="0"/>
        <w:jc w:val="both"/>
        <w:rPr>
          <w:color w:val="auto"/>
          <w:highlight w:val="none"/>
        </w:rPr>
      </w:pPr>
      <w:r>
        <w:rPr>
          <w:color w:val="auto"/>
          <w:highlight w:val="none"/>
        </w:rPr>
        <w:t> </w:t>
      </w:r>
    </w:p>
    <w:p w14:paraId="3D44DEBB">
      <w:pPr>
        <w:pStyle w:val="259"/>
        <w:spacing w:beforeAutospacing="0" w:afterAutospacing="0"/>
        <w:jc w:val="both"/>
        <w:rPr>
          <w:color w:val="auto"/>
          <w:highlight w:val="none"/>
        </w:rPr>
      </w:pPr>
      <w:r>
        <w:rPr>
          <w:color w:val="auto"/>
          <w:highlight w:val="none"/>
        </w:rPr>
        <w:t> </w:t>
      </w:r>
    </w:p>
    <w:p w14:paraId="5E19AB5C">
      <w:pPr>
        <w:pStyle w:val="259"/>
        <w:spacing w:beforeAutospacing="0" w:afterAutospacing="0"/>
        <w:jc w:val="both"/>
        <w:rPr>
          <w:color w:val="auto"/>
          <w:highlight w:val="none"/>
        </w:rPr>
      </w:pPr>
      <w:r>
        <w:rPr>
          <w:color w:val="auto"/>
          <w:highlight w:val="none"/>
        </w:rPr>
        <w:t> </w:t>
      </w:r>
    </w:p>
    <w:p w14:paraId="3A384BDE">
      <w:pPr>
        <w:pStyle w:val="259"/>
        <w:spacing w:beforeAutospacing="0" w:afterAutospacing="0"/>
        <w:jc w:val="center"/>
        <w:rPr>
          <w:rFonts w:eastAsia="黑体"/>
          <w:color w:val="auto"/>
          <w:highlight w:val="none"/>
        </w:rPr>
      </w:pPr>
      <w:r>
        <w:rPr>
          <w:color w:val="auto"/>
          <w:highlight w:val="none"/>
        </w:rPr>
        <w:t> </w:t>
      </w:r>
      <w:bookmarkStart w:id="6" w:name="_Toc28359086"/>
      <w:r>
        <w:rPr>
          <w:rFonts w:hint="eastAsia" w:ascii="黑体" w:hAnsi="宋体" w:eastAsia="黑体" w:cs="黑体"/>
          <w:color w:val="auto"/>
          <w:sz w:val="44"/>
          <w:szCs w:val="44"/>
          <w:highlight w:val="none"/>
        </w:rPr>
        <w:t>第一章 招标公告</w:t>
      </w:r>
    </w:p>
    <w:p w14:paraId="67D6A76F">
      <w:pPr>
        <w:pStyle w:val="25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DA0F53C">
      <w:pPr>
        <w:pStyle w:val="25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盐城市公安局盐都分局交管力量数字化提升项目</w:t>
      </w:r>
      <w:r>
        <w:rPr>
          <w:rFonts w:hint="eastAsia" w:ascii="宋体" w:hAnsi="宋体" w:eastAsia="宋体" w:cs="宋体"/>
          <w:color w:val="auto"/>
          <w:sz w:val="24"/>
          <w:szCs w:val="24"/>
          <w:highlight w:val="none"/>
        </w:rPr>
        <w:t>招标项目的潜在投标人应在</w:t>
      </w:r>
      <w:r>
        <w:rPr>
          <w:rFonts w:hint="eastAsia" w:ascii="宋体" w:hAnsi="宋体" w:eastAsia="宋体" w:cs="宋体"/>
          <w:color w:val="auto"/>
          <w:sz w:val="24"/>
          <w:szCs w:val="24"/>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17</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444A8795">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2"/>
        <w:jc w:val="both"/>
        <w:textAlignment w:val="auto"/>
        <w:rPr>
          <w:rFonts w:hint="eastAsia" w:ascii="宋体" w:hAnsi="宋体" w:eastAsia="宋体" w:cs="宋体"/>
          <w:color w:val="auto"/>
          <w:sz w:val="24"/>
          <w:szCs w:val="24"/>
          <w:highlight w:val="none"/>
        </w:rPr>
      </w:pPr>
      <w:bookmarkStart w:id="7" w:name="_Toc35393790"/>
      <w:bookmarkStart w:id="8" w:name="_Toc35393621"/>
      <w:bookmarkStart w:id="9" w:name="_Toc38985263"/>
      <w:bookmarkStart w:id="10" w:name="_Toc28359079"/>
      <w:bookmarkStart w:id="11" w:name="_Toc28359002"/>
      <w:bookmarkStart w:id="12" w:name="_Hlk24379207"/>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4B9D7D62">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1.项目编号：JSZC-320903-JCJS-G2026-0007</w:t>
      </w:r>
    </w:p>
    <w:p w14:paraId="2E3C0009">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盐城市公安局盐都分局交管力量数字化提升项目</w:t>
      </w:r>
    </w:p>
    <w:p w14:paraId="3E0A4C45">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3.采购方式：公开招标</w:t>
      </w:r>
    </w:p>
    <w:p w14:paraId="18BB7DAA">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4.预算金额：</w:t>
      </w:r>
      <w:r>
        <w:rPr>
          <w:rFonts w:hint="eastAsia" w:ascii="宋体" w:hAnsi="宋体" w:cs="宋体"/>
          <w:color w:val="auto"/>
          <w:sz w:val="24"/>
          <w:szCs w:val="24"/>
          <w:highlight w:val="none"/>
          <w:lang w:val="en-US" w:eastAsia="zh-CN"/>
        </w:rPr>
        <w:t>300.00</w:t>
      </w:r>
      <w:r>
        <w:rPr>
          <w:rFonts w:hint="eastAsia" w:ascii="宋体" w:hAnsi="宋体" w:eastAsia="宋体" w:cs="宋体"/>
          <w:color w:val="auto"/>
          <w:sz w:val="24"/>
          <w:szCs w:val="24"/>
          <w:highlight w:val="none"/>
        </w:rPr>
        <w:t>万元</w:t>
      </w:r>
    </w:p>
    <w:p w14:paraId="59409754">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shd w:val="clear" w:color="auto" w:fill="FFFFFF"/>
        </w:rPr>
        <w:t>5.最高限价：</w:t>
      </w:r>
      <w:bookmarkStart w:id="13" w:name="OLE_LINK30"/>
      <w:r>
        <w:rPr>
          <w:rFonts w:hint="eastAsia" w:ascii="宋体" w:hAnsi="宋体" w:cs="宋体"/>
          <w:color w:val="auto"/>
          <w:sz w:val="24"/>
          <w:szCs w:val="24"/>
          <w:highlight w:val="none"/>
          <w:lang w:val="en-US" w:eastAsia="zh-CN"/>
        </w:rPr>
        <w:t>295.00</w:t>
      </w:r>
      <w:r>
        <w:rPr>
          <w:rFonts w:hint="eastAsia" w:ascii="宋体" w:hAnsi="宋体" w:eastAsia="宋体" w:cs="宋体"/>
          <w:color w:val="auto"/>
          <w:sz w:val="24"/>
          <w:szCs w:val="24"/>
          <w:highlight w:val="none"/>
        </w:rPr>
        <w:t>万元</w:t>
      </w:r>
      <w:bookmarkEnd w:id="13"/>
    </w:p>
    <w:p w14:paraId="6AFD462B">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6.采购需求（简介）：</w:t>
      </w:r>
      <w:r>
        <w:rPr>
          <w:rFonts w:hint="eastAsia" w:ascii="宋体" w:hAnsi="宋体" w:cs="宋体"/>
          <w:color w:val="auto"/>
          <w:sz w:val="24"/>
          <w:szCs w:val="24"/>
          <w:highlight w:val="none"/>
          <w:lang w:eastAsia="zh-CN"/>
        </w:rPr>
        <w:t>盐城市公安局盐都分局交管力量数字化提升项目</w:t>
      </w:r>
      <w:r>
        <w:rPr>
          <w:rFonts w:hint="eastAsia" w:ascii="宋体" w:hAnsi="宋体" w:eastAsia="宋体" w:cs="宋体"/>
          <w:color w:val="auto"/>
          <w:sz w:val="24"/>
          <w:szCs w:val="24"/>
          <w:highlight w:val="none"/>
          <w:lang w:val="en-US" w:eastAsia="zh-CN"/>
        </w:rPr>
        <w:t>的供货及安装</w:t>
      </w:r>
      <w:r>
        <w:rPr>
          <w:rFonts w:hint="eastAsia" w:ascii="宋体" w:hAnsi="宋体" w:eastAsia="宋体" w:cs="宋体"/>
          <w:color w:val="auto"/>
          <w:sz w:val="24"/>
          <w:szCs w:val="24"/>
          <w:highlight w:val="none"/>
          <w:lang w:eastAsia="zh-CN"/>
        </w:rPr>
        <w:t>，详细内容详见项目需求。</w:t>
      </w:r>
    </w:p>
    <w:p w14:paraId="41A52A84">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7.合同履行期限（工期）：</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日历天</w:t>
      </w:r>
    </w:p>
    <w:p w14:paraId="37F0B92B">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auto"/>
          <w:sz w:val="24"/>
          <w:szCs w:val="24"/>
          <w:highlight w:val="none"/>
          <w:shd w:val="clear" w:color="auto" w:fill="FFFFFF"/>
        </w:rPr>
        <w:t>8.本项目（</w:t>
      </w:r>
      <w:r>
        <w:rPr>
          <w:rFonts w:hint="eastAsia" w:ascii="宋体" w:hAnsi="宋体" w:eastAsia="宋体" w:cs="宋体"/>
          <w:i/>
          <w:iCs/>
          <w:color w:val="auto"/>
          <w:sz w:val="24"/>
          <w:szCs w:val="24"/>
          <w:highlight w:val="none"/>
          <w:shd w:val="clear" w:color="auto" w:fill="FFFFFF"/>
        </w:rPr>
        <w:t>是/否</w:t>
      </w:r>
      <w:r>
        <w:rPr>
          <w:rFonts w:hint="eastAsia" w:ascii="宋体" w:hAnsi="宋体" w:eastAsia="宋体" w:cs="宋体"/>
          <w:color w:val="auto"/>
          <w:sz w:val="24"/>
          <w:szCs w:val="24"/>
          <w:highlight w:val="none"/>
          <w:shd w:val="clear" w:color="auto" w:fill="FFFFFF"/>
        </w:rPr>
        <w:t>）接受联合体</w:t>
      </w:r>
      <w:r>
        <w:rPr>
          <w:rFonts w:hint="eastAsia" w:ascii="宋体" w:hAnsi="宋体" w:eastAsia="宋体" w:cs="宋体"/>
          <w:color w:val="auto"/>
          <w:sz w:val="24"/>
          <w:szCs w:val="24"/>
          <w:highlight w:val="none"/>
        </w:rPr>
        <w:t>参与招标：否</w:t>
      </w:r>
    </w:p>
    <w:p w14:paraId="20E5EDD2">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2"/>
        <w:jc w:val="both"/>
        <w:textAlignment w:val="auto"/>
        <w:rPr>
          <w:rFonts w:hint="eastAsia" w:ascii="宋体" w:hAnsi="宋体" w:eastAsia="宋体" w:cs="宋体"/>
          <w:color w:val="auto"/>
          <w:sz w:val="24"/>
          <w:szCs w:val="24"/>
          <w:highlight w:val="none"/>
        </w:rPr>
      </w:pPr>
      <w:bookmarkStart w:id="14" w:name="_Toc35393622"/>
      <w:bookmarkStart w:id="15" w:name="_Toc38985264"/>
      <w:bookmarkStart w:id="16" w:name="_Toc28359003"/>
      <w:bookmarkStart w:id="17" w:name="_Toc35393791"/>
      <w:bookmarkStart w:id="18" w:name="_Toc28359080"/>
      <w:r>
        <w:rPr>
          <w:rFonts w:hint="eastAsia" w:ascii="宋体" w:hAnsi="宋体" w:eastAsia="宋体" w:cs="宋体"/>
          <w:b/>
          <w:color w:val="auto"/>
          <w:sz w:val="24"/>
          <w:szCs w:val="24"/>
          <w:highlight w:val="none"/>
        </w:rPr>
        <w:t>二、申请人的资格要求：</w:t>
      </w:r>
      <w:bookmarkEnd w:id="14"/>
      <w:bookmarkEnd w:id="15"/>
      <w:bookmarkEnd w:id="16"/>
      <w:bookmarkEnd w:id="17"/>
      <w:bookmarkEnd w:id="18"/>
    </w:p>
    <w:p w14:paraId="5DD5BB86">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1C5E4348">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7641B6A2">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1.2上一年度的财务状况报表（上一年度的财务状况报表，财务状况报表至少包含利润表、资产负债表、现金流量表，成立不满一年无需提供）；</w:t>
      </w:r>
    </w:p>
    <w:p w14:paraId="57815B1D">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bookmarkStart w:id="19" w:name="OLE_LINK16"/>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19"/>
      <w:r>
        <w:rPr>
          <w:rFonts w:hint="eastAsia" w:ascii="宋体" w:hAnsi="宋体" w:eastAsia="宋体" w:cs="宋体"/>
          <w:color w:val="auto"/>
          <w:sz w:val="24"/>
          <w:szCs w:val="24"/>
          <w:highlight w:val="none"/>
        </w:rPr>
        <w:t>；</w:t>
      </w:r>
    </w:p>
    <w:p w14:paraId="6598FF21">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具备履行合同所必需的设备和专业技术能力的书面声明；</w:t>
      </w:r>
    </w:p>
    <w:p w14:paraId="0508B6B4">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参加政府采购活动前3年内在经营活动中没有重大违法记录的书面声明。</w:t>
      </w:r>
    </w:p>
    <w:p w14:paraId="76876229">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法律、行政法规规定的其他条件。</w:t>
      </w:r>
    </w:p>
    <w:p w14:paraId="1ACBDD60">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85A7B93">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bookmarkStart w:id="20" w:name="OLE_LINK17"/>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bookmarkEnd w:id="20"/>
    </w:p>
    <w:p w14:paraId="1CA52019">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val="en-US" w:eastAsia="zh-CN"/>
        </w:rPr>
        <w:t>无。</w:t>
      </w:r>
    </w:p>
    <w:p w14:paraId="479C078F">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bookmarkStart w:id="21" w:name="OLE_LINK28"/>
      <w:r>
        <w:rPr>
          <w:rFonts w:hint="eastAsia" w:ascii="宋体" w:hAnsi="宋体" w:eastAsia="宋体" w:cs="宋体"/>
          <w:color w:val="auto"/>
          <w:sz w:val="24"/>
          <w:szCs w:val="24"/>
          <w:highlight w:val="none"/>
        </w:rPr>
        <w:t>无</w:t>
      </w:r>
      <w:bookmarkEnd w:id="21"/>
      <w:r>
        <w:rPr>
          <w:rFonts w:hint="eastAsia" w:ascii="宋体" w:hAnsi="宋体" w:eastAsia="宋体" w:cs="宋体"/>
          <w:color w:val="auto"/>
          <w:sz w:val="24"/>
          <w:szCs w:val="24"/>
          <w:highlight w:val="none"/>
        </w:rPr>
        <w:t>。</w:t>
      </w:r>
    </w:p>
    <w:p w14:paraId="2A8D6889">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4B21772D">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22" w:name="_Toc28359005"/>
      <w:bookmarkStart w:id="23" w:name="_Toc28359082"/>
      <w:bookmarkStart w:id="24" w:name="_Toc35393793"/>
      <w:bookmarkStart w:id="25" w:name="_Toc35393624"/>
      <w:bookmarkStart w:id="26" w:name="_Toc38985266"/>
      <w:r>
        <w:rPr>
          <w:rFonts w:hint="eastAsia" w:ascii="宋体" w:hAnsi="宋体" w:eastAsia="宋体" w:cs="宋体"/>
          <w:color w:val="auto"/>
          <w:sz w:val="24"/>
          <w:szCs w:val="24"/>
          <w:highlight w:val="none"/>
        </w:rPr>
        <w:t>1.时间：</w:t>
      </w:r>
      <w:bookmarkEnd w:id="22"/>
      <w:bookmarkEnd w:id="23"/>
      <w:bookmarkEnd w:id="24"/>
      <w:bookmarkEnd w:id="25"/>
      <w:bookmarkEnd w:id="26"/>
      <w:r>
        <w:rPr>
          <w:rFonts w:hint="eastAsia" w:ascii="宋体" w:hAnsi="宋体" w:eastAsia="宋体" w:cs="宋体"/>
          <w:color w:val="auto"/>
          <w:sz w:val="24"/>
          <w:szCs w:val="24"/>
          <w:highlight w:val="none"/>
        </w:rPr>
        <w:t>自招标文件公告发布之日起5个工作日。</w:t>
      </w:r>
    </w:p>
    <w:p w14:paraId="2F15F876">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2.地点：“苏采云”系统内免费下载（投标人必须在苏采云系统中获取采购文件，方能参与政府采购项目）；</w:t>
      </w:r>
    </w:p>
    <w:p w14:paraId="5CE190FB">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3.方式：本项目采用网上注册登记方式。 </w:t>
      </w:r>
    </w:p>
    <w:p w14:paraId="2BF3C810">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4.售价：0元</w:t>
      </w:r>
    </w:p>
    <w:p w14:paraId="68EBEAE3">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375FF612">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none"/>
        </w:rPr>
        <w:t>时间：202</w:t>
      </w:r>
      <w:r>
        <w:rPr>
          <w:rFonts w:hint="eastAsia" w:ascii="宋体" w:hAnsi="宋体" w:eastAsia="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17</w:t>
      </w:r>
      <w:r>
        <w:rPr>
          <w:rFonts w:hint="eastAsia" w:ascii="宋体" w:hAnsi="宋体" w:eastAsia="宋体" w:cs="宋体"/>
          <w:color w:val="auto"/>
          <w:sz w:val="24"/>
          <w:szCs w:val="24"/>
          <w:highlight w:val="none"/>
          <w:u w:val="none"/>
        </w:rPr>
        <w:t>日</w:t>
      </w:r>
      <w:r>
        <w:rPr>
          <w:rFonts w:hint="eastAsia" w:ascii="宋体" w:hAnsi="宋体" w:cs="宋体"/>
          <w:color w:val="auto"/>
          <w:sz w:val="24"/>
          <w:szCs w:val="24"/>
          <w:highlight w:val="none"/>
          <w:u w:val="none"/>
          <w:lang w:val="en-US" w:eastAsia="zh-CN"/>
        </w:rPr>
        <w:t>09</w:t>
      </w:r>
      <w:r>
        <w:rPr>
          <w:rFonts w:hint="eastAsia" w:ascii="宋体" w:hAnsi="宋体" w:eastAsia="宋体" w:cs="宋体"/>
          <w:color w:val="auto"/>
          <w:sz w:val="24"/>
          <w:szCs w:val="24"/>
          <w:highlight w:val="none"/>
          <w:u w:val="none"/>
        </w:rPr>
        <w:t>点</w:t>
      </w:r>
      <w:r>
        <w:rPr>
          <w:rFonts w:hint="eastAsia" w:ascii="宋体" w:hAnsi="宋体" w:eastAsia="宋体" w:cs="宋体"/>
          <w:color w:val="auto"/>
          <w:sz w:val="24"/>
          <w:szCs w:val="24"/>
          <w:highlight w:val="none"/>
          <w:u w:val="none"/>
          <w:lang w:val="en-US" w:eastAsia="zh-CN"/>
        </w:rPr>
        <w:t>00</w:t>
      </w:r>
      <w:r>
        <w:rPr>
          <w:rFonts w:hint="eastAsia" w:ascii="宋体" w:hAnsi="宋体" w:eastAsia="宋体" w:cs="宋体"/>
          <w:color w:val="auto"/>
          <w:sz w:val="24"/>
          <w:szCs w:val="24"/>
          <w:highlight w:val="none"/>
          <w:u w:val="none"/>
        </w:rPr>
        <w:t>分（北京时</w:t>
      </w:r>
      <w:r>
        <w:rPr>
          <w:rFonts w:hint="eastAsia" w:ascii="宋体" w:hAnsi="宋体" w:eastAsia="宋体" w:cs="宋体"/>
          <w:color w:val="auto"/>
          <w:sz w:val="24"/>
          <w:szCs w:val="24"/>
          <w:highlight w:val="none"/>
        </w:rPr>
        <w:t>间）</w:t>
      </w:r>
    </w:p>
    <w:p w14:paraId="1AED2E4F">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2.地点：苏采云“不见面”开标大厅。</w:t>
      </w:r>
    </w:p>
    <w:p w14:paraId="07DA24FC">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2"/>
        <w:jc w:val="both"/>
        <w:textAlignment w:val="auto"/>
        <w:rPr>
          <w:rFonts w:hint="eastAsia" w:ascii="宋体" w:hAnsi="宋体" w:eastAsia="宋体" w:cs="宋体"/>
          <w:color w:val="auto"/>
          <w:sz w:val="24"/>
          <w:szCs w:val="24"/>
          <w:highlight w:val="none"/>
        </w:rPr>
      </w:pPr>
      <w:bookmarkStart w:id="27" w:name="_Toc28359084"/>
      <w:bookmarkStart w:id="28" w:name="_Toc35393794"/>
      <w:bookmarkStart w:id="29" w:name="_Toc28359007"/>
      <w:bookmarkStart w:id="30" w:name="_Toc38985267"/>
      <w:bookmarkStart w:id="31" w:name="_Toc35393625"/>
      <w:r>
        <w:rPr>
          <w:rFonts w:hint="eastAsia" w:ascii="宋体" w:hAnsi="宋体" w:eastAsia="宋体" w:cs="宋体"/>
          <w:b/>
          <w:color w:val="auto"/>
          <w:sz w:val="24"/>
          <w:szCs w:val="24"/>
          <w:highlight w:val="none"/>
        </w:rPr>
        <w:t>五、公告期限</w:t>
      </w:r>
      <w:bookmarkEnd w:id="27"/>
      <w:bookmarkEnd w:id="28"/>
      <w:bookmarkEnd w:id="29"/>
      <w:bookmarkEnd w:id="30"/>
      <w:bookmarkEnd w:id="31"/>
    </w:p>
    <w:p w14:paraId="262706AC">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bookmarkStart w:id="32" w:name="_Toc35393795"/>
      <w:bookmarkStart w:id="33" w:name="_Toc38985268"/>
      <w:bookmarkStart w:id="34" w:name="_Toc35393626"/>
      <w:r>
        <w:rPr>
          <w:rFonts w:hint="eastAsia" w:ascii="宋体" w:hAnsi="宋体" w:eastAsia="宋体" w:cs="宋体"/>
          <w:color w:val="auto"/>
          <w:sz w:val="24"/>
          <w:szCs w:val="24"/>
          <w:highlight w:val="none"/>
          <w:shd w:val="clear" w:color="auto" w:fill="FFFFFF"/>
        </w:rPr>
        <w:t>自本公告发布之日起5个工作日。</w:t>
      </w:r>
      <w:bookmarkEnd w:id="32"/>
      <w:bookmarkEnd w:id="33"/>
      <w:bookmarkEnd w:id="34"/>
    </w:p>
    <w:p w14:paraId="25616F23">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5E7AB8AB">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bookmarkStart w:id="35" w:name="OLE_LINK29"/>
      <w:bookmarkStart w:id="36" w:name="_Toc28359018"/>
      <w:r>
        <w:rPr>
          <w:rFonts w:hint="eastAsia" w:ascii="宋体" w:hAnsi="宋体" w:eastAsia="宋体" w:cs="宋体"/>
          <w:color w:val="auto"/>
          <w:sz w:val="24"/>
          <w:szCs w:val="24"/>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8F239E0">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color w:val="auto"/>
          <w:sz w:val="24"/>
          <w:szCs w:val="24"/>
          <w:highlight w:val="none"/>
          <w:shd w:val="clear" w:color="auto" w:fill="FFFFFF"/>
          <w:lang w:val="en-US" w:eastAsia="zh-CN" w:bidi="ar-SA"/>
        </w:rPr>
        <w:t>。</w:t>
      </w:r>
    </w:p>
    <w:p w14:paraId="45520461">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2.潜在供应商访问电子招标响应交易平台的网络地址和方法：</w:t>
      </w:r>
    </w:p>
    <w:p w14:paraId="3ABD530F">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7B4B4F37">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潜在投标人访问“苏采云”系统方法：江苏省政府采购网首页-“苏采云”链接。 </w:t>
      </w:r>
    </w:p>
    <w:p w14:paraId="67C8A57C">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采购文件（后缀名为“.kedt”）、供应商操作手册及政府采购客户端 工具可通过“苏采云”系统相应链接进行下载。 </w:t>
      </w:r>
    </w:p>
    <w:p w14:paraId="328D4CFC">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采购代理机构将数据电文形式的采购文件加载至“苏采云”系统，供潜在供应商下载或者查阅。 </w:t>
      </w:r>
    </w:p>
    <w:p w14:paraId="1D04E8BB">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请潜在投标单位提前安装相应的控件（详见《“苏采云”系统供应商操作手册》）并使用谷歌浏览器登录“苏采云”系统参与不见面开评标。 </w:t>
      </w:r>
    </w:p>
    <w:p w14:paraId="3B8C21F6">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如潜在投标人未按上述要求操作，将自行承担所产生的风险。</w:t>
      </w:r>
    </w:p>
    <w:p w14:paraId="38010172">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3.有关本次招标的事项若存在变动或修改，敬请及时关注在“</w:t>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shd w:val="clear" w:color="auto" w:fill="FFFFFF"/>
        </w:rPr>
        <w:t>江苏政府采购网”“盐城市政府采购网”发布的更正公告。</w:t>
      </w:r>
    </w:p>
    <w:p w14:paraId="6111CA98">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4.本次招标不收取投标保证金，不收取质量保证金。</w:t>
      </w:r>
      <w:bookmarkEnd w:id="35"/>
    </w:p>
    <w:p w14:paraId="34442964">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2"/>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bookmarkEnd w:id="36"/>
    </w:p>
    <w:p w14:paraId="0A8AE690">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1.采购人信息</w:t>
      </w:r>
    </w:p>
    <w:p w14:paraId="5CC009E0">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名 称：</w:t>
      </w:r>
      <w:r>
        <w:rPr>
          <w:rFonts w:hint="eastAsia" w:ascii="宋体" w:hAnsi="宋体" w:eastAsia="宋体" w:cs="宋体"/>
          <w:color w:val="auto"/>
          <w:sz w:val="24"/>
          <w:szCs w:val="24"/>
          <w:highlight w:val="none"/>
          <w:shd w:val="clear" w:color="auto" w:fill="FFFFFF"/>
          <w:lang w:eastAsia="zh-CN"/>
        </w:rPr>
        <w:t>盐城市公安局盐都分局</w:t>
      </w:r>
      <w:r>
        <w:rPr>
          <w:rFonts w:hint="eastAsia" w:ascii="宋体" w:hAnsi="宋体" w:eastAsia="宋体" w:cs="宋体"/>
          <w:color w:val="auto"/>
          <w:sz w:val="24"/>
          <w:szCs w:val="24"/>
          <w:highlight w:val="none"/>
          <w:shd w:val="clear" w:color="auto" w:fill="FFFFFF"/>
        </w:rPr>
        <w:t xml:space="preserve">  </w:t>
      </w:r>
    </w:p>
    <w:p w14:paraId="1C629CBE">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地 址：</w:t>
      </w:r>
      <w:r>
        <w:rPr>
          <w:rFonts w:hint="eastAsia" w:ascii="宋体" w:hAnsi="宋体" w:eastAsia="宋体" w:cs="宋体"/>
          <w:color w:val="auto"/>
          <w:sz w:val="24"/>
          <w:szCs w:val="24"/>
          <w:highlight w:val="none"/>
          <w:shd w:val="clear" w:color="auto" w:fill="FFFFFF"/>
          <w:lang w:val="zh-TW"/>
        </w:rPr>
        <w:t>盐城市盐都区新都路630号</w:t>
      </w:r>
      <w:r>
        <w:rPr>
          <w:rFonts w:hint="eastAsia" w:ascii="宋体" w:hAnsi="宋体" w:eastAsia="宋体" w:cs="宋体"/>
          <w:color w:val="auto"/>
          <w:sz w:val="24"/>
          <w:szCs w:val="24"/>
          <w:highlight w:val="none"/>
          <w:shd w:val="clear" w:color="auto" w:fill="FFFFFF"/>
        </w:rPr>
        <w:t xml:space="preserve"> </w:t>
      </w:r>
    </w:p>
    <w:p w14:paraId="7A62CC6D">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联系人：温警官</w:t>
      </w:r>
    </w:p>
    <w:p w14:paraId="5139AFBB">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联系电话：18205103535       </w:t>
      </w:r>
    </w:p>
    <w:p w14:paraId="01BB59F0">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2.采购代理机构信息</w:t>
      </w:r>
    </w:p>
    <w:p w14:paraId="1CDCE955">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名 称：</w:t>
      </w:r>
      <w:r>
        <w:rPr>
          <w:rFonts w:hint="eastAsia" w:ascii="宋体" w:hAnsi="宋体" w:eastAsia="宋体" w:cs="宋体"/>
          <w:color w:val="auto"/>
          <w:sz w:val="24"/>
          <w:szCs w:val="24"/>
          <w:highlight w:val="none"/>
          <w:shd w:val="clear" w:color="auto" w:fill="FFFFFF"/>
          <w:lang w:eastAsia="zh-CN"/>
        </w:rPr>
        <w:t>江苏捷诚建设项目管理咨询有限公司</w:t>
      </w:r>
    </w:p>
    <w:p w14:paraId="5BF1B293">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地 址：盐城市神州路与新都路交界处紫金大厦506室</w:t>
      </w:r>
    </w:p>
    <w:p w14:paraId="4DAEB48C">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联系人：</w:t>
      </w:r>
      <w:r>
        <w:rPr>
          <w:rFonts w:hint="eastAsia" w:ascii="宋体" w:hAnsi="宋体" w:eastAsia="宋体" w:cs="宋体"/>
          <w:color w:val="auto"/>
          <w:sz w:val="24"/>
          <w:szCs w:val="24"/>
          <w:highlight w:val="none"/>
          <w:shd w:val="clear" w:color="auto" w:fill="FFFFFF"/>
          <w:lang w:val="en-US" w:eastAsia="zh-CN"/>
        </w:rPr>
        <w:t>吉胜</w:t>
      </w:r>
    </w:p>
    <w:p w14:paraId="52F26D07">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联系电话：</w:t>
      </w:r>
      <w:r>
        <w:rPr>
          <w:rFonts w:hint="eastAsia" w:ascii="宋体" w:hAnsi="宋体" w:eastAsia="宋体" w:cs="宋体"/>
          <w:color w:val="auto"/>
          <w:sz w:val="24"/>
          <w:szCs w:val="24"/>
          <w:highlight w:val="none"/>
          <w:shd w:val="clear" w:color="auto" w:fill="FFFFFF"/>
          <w:lang w:val="en-US" w:eastAsia="zh-CN"/>
        </w:rPr>
        <w:t>18912509153</w:t>
      </w:r>
    </w:p>
    <w:p w14:paraId="26716AED">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3.项目联系方式</w:t>
      </w:r>
    </w:p>
    <w:p w14:paraId="51DC5B3C">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项目联系人：</w:t>
      </w:r>
      <w:r>
        <w:rPr>
          <w:rFonts w:hint="eastAsia" w:ascii="宋体" w:hAnsi="宋体" w:eastAsia="宋体" w:cs="宋体"/>
          <w:color w:val="auto"/>
          <w:sz w:val="24"/>
          <w:szCs w:val="24"/>
          <w:highlight w:val="none"/>
          <w:shd w:val="clear" w:color="auto" w:fill="FFFFFF"/>
          <w:lang w:val="en-US" w:eastAsia="zh-CN"/>
        </w:rPr>
        <w:t>吉胜</w:t>
      </w:r>
    </w:p>
    <w:p w14:paraId="3AC9DD93">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电　　 话：</w:t>
      </w:r>
      <w:r>
        <w:rPr>
          <w:rFonts w:hint="eastAsia" w:ascii="宋体" w:hAnsi="宋体" w:eastAsia="宋体" w:cs="宋体"/>
          <w:color w:val="auto"/>
          <w:sz w:val="24"/>
          <w:szCs w:val="24"/>
          <w:highlight w:val="none"/>
          <w:shd w:val="clear" w:color="auto" w:fill="FFFFFF"/>
          <w:lang w:val="en-US" w:eastAsia="zh-CN"/>
        </w:rPr>
        <w:t>18912509153</w:t>
      </w:r>
    </w:p>
    <w:p w14:paraId="14B0D120">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w:t>
      </w:r>
      <w:bookmarkStart w:id="37" w:name="_Toc120614211"/>
    </w:p>
    <w:p w14:paraId="0D5AB6C0">
      <w:pPr>
        <w:pStyle w:val="259"/>
        <w:keepNext w:val="0"/>
        <w:keepLines w:val="0"/>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r>
    </w:p>
    <w:p w14:paraId="3E373BAF">
      <w:pPr>
        <w:pStyle w:val="259"/>
        <w:keepNext/>
        <w:keepLines/>
        <w:spacing w:before="260" w:beforeAutospacing="0" w:after="260" w:afterAutospacing="0" w:line="415" w:lineRule="auto"/>
        <w:ind w:firstLine="2429"/>
        <w:jc w:val="both"/>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 xml:space="preserve">第二章  </w:t>
      </w:r>
      <w:bookmarkEnd w:id="37"/>
      <w:bookmarkStart w:id="38" w:name="_Toc20823274"/>
      <w:bookmarkStart w:id="39" w:name="_Toc120614213"/>
      <w:bookmarkStart w:id="40" w:name="_Toc513029202"/>
      <w:bookmarkStart w:id="41" w:name="_Toc16938518"/>
      <w:r>
        <w:rPr>
          <w:rFonts w:hint="eastAsia" w:ascii="黑体" w:hAnsi="宋体" w:eastAsia="黑体" w:cs="黑体"/>
          <w:b/>
          <w:color w:val="auto"/>
          <w:sz w:val="44"/>
          <w:szCs w:val="44"/>
          <w:highlight w:val="none"/>
        </w:rPr>
        <w:t>投标人须知</w:t>
      </w:r>
      <w:bookmarkEnd w:id="38"/>
      <w:bookmarkEnd w:id="39"/>
      <w:bookmarkEnd w:id="40"/>
      <w:bookmarkEnd w:id="41"/>
      <w:bookmarkStart w:id="42" w:name="_Toc20823275"/>
      <w:bookmarkStart w:id="43" w:name="_Toc16938519"/>
      <w:bookmarkStart w:id="44" w:name="_Toc120614214"/>
      <w:bookmarkStart w:id="45" w:name="_Toc513029203"/>
    </w:p>
    <w:p w14:paraId="4E9A927F">
      <w:pPr>
        <w:pStyle w:val="259"/>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left="0" w:firstLine="422"/>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总则</w:t>
      </w:r>
      <w:bookmarkEnd w:id="42"/>
      <w:bookmarkEnd w:id="43"/>
      <w:bookmarkEnd w:id="44"/>
      <w:bookmarkEnd w:id="45"/>
      <w:bookmarkStart w:id="46" w:name="_Toc20823276"/>
      <w:bookmarkStart w:id="47" w:name="_Toc458694821"/>
      <w:bookmarkStart w:id="48" w:name="_Toc513029204"/>
      <w:bookmarkStart w:id="49" w:name="_Toc16938520"/>
      <w:bookmarkStart w:id="50" w:name="_Hlt16619475"/>
    </w:p>
    <w:p w14:paraId="0298BFEF">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46"/>
      <w:r>
        <w:rPr>
          <w:rFonts w:hint="eastAsia" w:ascii="宋体" w:hAnsi="宋体" w:eastAsia="宋体" w:cs="宋体"/>
          <w:color w:val="auto"/>
          <w:sz w:val="24"/>
          <w:szCs w:val="24"/>
          <w:highlight w:val="none"/>
        </w:rPr>
        <w:t>、招标方式</w:t>
      </w:r>
      <w:bookmarkEnd w:id="47"/>
      <w:bookmarkEnd w:id="48"/>
      <w:bookmarkEnd w:id="49"/>
    </w:p>
    <w:p w14:paraId="2CF38F5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68A1DCF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51" w:name="_Toc513029205"/>
      <w:bookmarkStart w:id="52" w:name="_Toc16938521"/>
      <w:bookmarkStart w:id="53" w:name="_Toc20823277"/>
      <w:r>
        <w:rPr>
          <w:rFonts w:hint="eastAsia" w:ascii="宋体" w:hAnsi="宋体" w:eastAsia="宋体" w:cs="宋体"/>
          <w:color w:val="auto"/>
          <w:sz w:val="24"/>
          <w:szCs w:val="24"/>
          <w:highlight w:val="none"/>
        </w:rPr>
        <w:t>2、合格的投标人</w:t>
      </w:r>
      <w:bookmarkEnd w:id="51"/>
      <w:bookmarkEnd w:id="52"/>
      <w:bookmarkEnd w:id="53"/>
    </w:p>
    <w:p w14:paraId="6BBCF62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3FCC97C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5D36F2C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54" w:name="_Toc513029206"/>
      <w:bookmarkStart w:id="55" w:name="_Toc16938522"/>
      <w:bookmarkStart w:id="56" w:name="_Toc20823278"/>
      <w:r>
        <w:rPr>
          <w:rFonts w:hint="eastAsia" w:ascii="宋体" w:hAnsi="宋体" w:eastAsia="宋体" w:cs="宋体"/>
          <w:color w:val="auto"/>
          <w:sz w:val="24"/>
          <w:szCs w:val="24"/>
          <w:highlight w:val="none"/>
        </w:rPr>
        <w:t>3、</w:t>
      </w:r>
      <w:bookmarkEnd w:id="54"/>
      <w:bookmarkEnd w:id="55"/>
      <w:bookmarkEnd w:id="56"/>
      <w:r>
        <w:rPr>
          <w:rFonts w:hint="eastAsia" w:ascii="宋体" w:hAnsi="宋体" w:eastAsia="宋体" w:cs="宋体"/>
          <w:color w:val="auto"/>
          <w:sz w:val="24"/>
          <w:szCs w:val="24"/>
          <w:highlight w:val="none"/>
        </w:rPr>
        <w:t>适用法律和标准</w:t>
      </w:r>
    </w:p>
    <w:p w14:paraId="4054FCBF">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F33AC2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在本项目政府采购活动过程中，如果所执行的标准有更新的，按照最新标准执行。</w:t>
      </w:r>
    </w:p>
    <w:p w14:paraId="1F99B1F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57" w:name="_Toc462564067"/>
      <w:bookmarkStart w:id="58" w:name="_Toc16938523"/>
      <w:bookmarkStart w:id="59" w:name="_Toc20823279"/>
      <w:bookmarkStart w:id="60" w:name="_Toc513029207"/>
      <w:r>
        <w:rPr>
          <w:rFonts w:hint="eastAsia" w:ascii="宋体" w:hAnsi="宋体" w:eastAsia="宋体" w:cs="宋体"/>
          <w:color w:val="auto"/>
          <w:sz w:val="24"/>
          <w:szCs w:val="24"/>
          <w:highlight w:val="none"/>
        </w:rPr>
        <w:t>4、投标费用</w:t>
      </w:r>
      <w:bookmarkEnd w:id="57"/>
      <w:bookmarkEnd w:id="58"/>
      <w:bookmarkEnd w:id="59"/>
      <w:bookmarkEnd w:id="60"/>
    </w:p>
    <w:p w14:paraId="0D1F25B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4.1投标人应自行承担所有与参加投标有关的费用，无论投标过程中的做法和结果如何，采购人和采购代理机构在任何情况下均无义务和责任承担这些费用。</w:t>
      </w:r>
    </w:p>
    <w:p w14:paraId="30D17F3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4.2本次招标采购人和采购代理机构不收取标书工本费。</w:t>
      </w:r>
    </w:p>
    <w:p w14:paraId="378B7B7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4.3本项目的服务费由中标人承担，招标代理费按苏招协[2022]002号文取费标准的</w:t>
      </w:r>
      <w:r>
        <w:rPr>
          <w:rFonts w:hint="eastAsia" w:ascii="宋体" w:hAnsi="宋体" w:cs="宋体"/>
          <w:color w:val="auto"/>
          <w:sz w:val="24"/>
          <w:szCs w:val="24"/>
          <w:highlight w:val="none"/>
          <w:lang w:val="en-US" w:eastAsia="zh-CN"/>
        </w:rPr>
        <w:t>43.5</w:t>
      </w:r>
      <w:r>
        <w:rPr>
          <w:rFonts w:hint="eastAsia" w:ascii="宋体" w:hAnsi="宋体" w:eastAsia="宋体" w:cs="宋体"/>
          <w:color w:val="auto"/>
          <w:sz w:val="24"/>
          <w:szCs w:val="24"/>
          <w:highlight w:val="none"/>
        </w:rPr>
        <w:t>%计取，造价咨询服务费按苏建价协[2022]7号文取费标准的</w:t>
      </w:r>
      <w:r>
        <w:rPr>
          <w:rFonts w:hint="eastAsia" w:ascii="宋体" w:hAnsi="宋体" w:cs="宋体"/>
          <w:color w:val="auto"/>
          <w:sz w:val="24"/>
          <w:szCs w:val="24"/>
          <w:highlight w:val="none"/>
          <w:lang w:val="en-US" w:eastAsia="zh-CN"/>
        </w:rPr>
        <w:t>43.5</w:t>
      </w:r>
      <w:r>
        <w:rPr>
          <w:rFonts w:hint="eastAsia" w:ascii="宋体" w:hAnsi="宋体" w:eastAsia="宋体" w:cs="宋体"/>
          <w:color w:val="auto"/>
          <w:sz w:val="24"/>
          <w:szCs w:val="24"/>
          <w:highlight w:val="none"/>
        </w:rPr>
        <w:t>%计取。投标人在投标时应将此费用自行考虑在投标报价中，不单列，由中标供应商在领取中标通知书前直接将以上服务费向招标代理公司一次性以现金或转账方式付清。</w:t>
      </w:r>
    </w:p>
    <w:p w14:paraId="1561C28F">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color w:val="auto"/>
          <w:sz w:val="24"/>
          <w:szCs w:val="24"/>
          <w:highlight w:val="none"/>
        </w:rPr>
        <w:t>招标文件的约束力</w:t>
      </w:r>
    </w:p>
    <w:p w14:paraId="6D3A131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1D407924">
      <w:pPr>
        <w:pStyle w:val="259"/>
        <w:keepNext/>
        <w:keepLines/>
        <w:pageBreakBefore w:val="0"/>
        <w:widowControl w:val="0"/>
        <w:kinsoku/>
        <w:wordWrap/>
        <w:overflowPunct/>
        <w:topLinePunct w:val="0"/>
        <w:autoSpaceDE/>
        <w:autoSpaceDN/>
        <w:bidi w:val="0"/>
        <w:adjustRightInd/>
        <w:snapToGrid/>
        <w:spacing w:beforeAutospacing="0" w:afterAutospacing="0" w:line="500" w:lineRule="exact"/>
        <w:ind w:left="0" w:firstLine="321"/>
        <w:jc w:val="both"/>
        <w:textAlignment w:val="auto"/>
        <w:rPr>
          <w:rFonts w:hint="eastAsia" w:ascii="宋体" w:hAnsi="宋体" w:eastAsia="宋体" w:cs="宋体"/>
          <w:color w:val="auto"/>
          <w:sz w:val="24"/>
          <w:szCs w:val="24"/>
          <w:highlight w:val="none"/>
        </w:rPr>
      </w:pPr>
      <w:bookmarkStart w:id="61" w:name="_Toc20823281"/>
      <w:bookmarkStart w:id="62" w:name="_Toc16938525"/>
      <w:bookmarkStart w:id="63" w:name="_Toc120614215"/>
      <w:bookmarkStart w:id="64" w:name="_Toc513029209"/>
      <w:r>
        <w:rPr>
          <w:rFonts w:hint="eastAsia" w:ascii="宋体" w:hAnsi="宋体" w:eastAsia="宋体" w:cs="宋体"/>
          <w:b/>
          <w:color w:val="auto"/>
          <w:sz w:val="24"/>
          <w:szCs w:val="24"/>
          <w:highlight w:val="none"/>
        </w:rPr>
        <w:t>二、招标文件</w:t>
      </w:r>
      <w:bookmarkEnd w:id="61"/>
      <w:bookmarkEnd w:id="62"/>
      <w:bookmarkEnd w:id="63"/>
      <w:bookmarkEnd w:id="64"/>
    </w:p>
    <w:p w14:paraId="0762DE5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65" w:name="_Toc20823282"/>
      <w:bookmarkStart w:id="66" w:name="_Toc16938526"/>
      <w:bookmarkStart w:id="67" w:name="_Toc513029210"/>
      <w:r>
        <w:rPr>
          <w:rFonts w:hint="eastAsia" w:ascii="宋体" w:hAnsi="宋体" w:eastAsia="宋体" w:cs="宋体"/>
          <w:color w:val="auto"/>
          <w:sz w:val="24"/>
          <w:szCs w:val="24"/>
          <w:highlight w:val="none"/>
        </w:rPr>
        <w:t>6、招标文件构成</w:t>
      </w:r>
      <w:bookmarkEnd w:id="65"/>
      <w:bookmarkEnd w:id="66"/>
      <w:bookmarkEnd w:id="67"/>
    </w:p>
    <w:p w14:paraId="441E0D8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6E6CAC8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14:paraId="6E6CBD4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727BF3B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3740805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57DF2E8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30A3D34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7916625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请仔细检查招标文件是否齐全，如有缺漏请立即与采购代理机构联系解决。</w:t>
      </w:r>
    </w:p>
    <w:p w14:paraId="0EE07AC1">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463FF3F">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68" w:name="_Toc20823283"/>
      <w:bookmarkStart w:id="69" w:name="_Toc16938527"/>
      <w:bookmarkStart w:id="70" w:name="_Toc513029211"/>
      <w:bookmarkStart w:id="71" w:name="_Toc462564070"/>
      <w:r>
        <w:rPr>
          <w:rFonts w:hint="eastAsia" w:ascii="宋体" w:hAnsi="宋体" w:eastAsia="宋体" w:cs="宋体"/>
          <w:color w:val="auto"/>
          <w:sz w:val="24"/>
          <w:szCs w:val="24"/>
          <w:highlight w:val="none"/>
        </w:rPr>
        <w:t>7、招标文件的澄清</w:t>
      </w:r>
      <w:bookmarkEnd w:id="68"/>
      <w:bookmarkEnd w:id="69"/>
      <w:bookmarkEnd w:id="70"/>
      <w:bookmarkEnd w:id="71"/>
    </w:p>
    <w:p w14:paraId="7B4F490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前按招标公告中的通讯地址，以书面形式通知采购代理机构。</w:t>
      </w:r>
    </w:p>
    <w:p w14:paraId="4140C2F1">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72" w:name="_Toc16938528"/>
      <w:bookmarkStart w:id="73" w:name="_Toc513029212"/>
      <w:bookmarkStart w:id="74" w:name="_Toc20823284"/>
      <w:bookmarkStart w:id="75" w:name="_Toc462564071"/>
      <w:r>
        <w:rPr>
          <w:rFonts w:hint="eastAsia" w:ascii="宋体" w:hAnsi="宋体" w:eastAsia="宋体" w:cs="宋体"/>
          <w:color w:val="auto"/>
          <w:sz w:val="24"/>
          <w:szCs w:val="24"/>
          <w:highlight w:val="none"/>
        </w:rPr>
        <w:t>8、招标文件的修改</w:t>
      </w:r>
      <w:bookmarkEnd w:id="72"/>
      <w:bookmarkEnd w:id="73"/>
      <w:bookmarkEnd w:id="74"/>
      <w:bookmarkEnd w:id="75"/>
    </w:p>
    <w:p w14:paraId="0F9E6F2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在投标截止时间前，采购代理机构可以对招标文件进行修改。</w:t>
      </w:r>
    </w:p>
    <w:p w14:paraId="64EB967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采购代理机构有权按照法定的要求推迟投标截止日期和开标日期。</w:t>
      </w:r>
    </w:p>
    <w:p w14:paraId="0BC4361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招标文件的修改将在中国政府采购网</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rPr>
        <w:t>江苏政府采购网、盐城市政府采购网公布，补充文件将作为招标文件的组成部分，并对投标人具有约束力。</w:t>
      </w:r>
    </w:p>
    <w:p w14:paraId="56C822F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2"/>
        <w:jc w:val="both"/>
        <w:textAlignment w:val="auto"/>
        <w:rPr>
          <w:rFonts w:hint="eastAsia" w:ascii="宋体" w:hAnsi="宋体" w:eastAsia="宋体" w:cs="宋体"/>
          <w:color w:val="auto"/>
          <w:sz w:val="24"/>
          <w:szCs w:val="24"/>
          <w:highlight w:val="none"/>
        </w:rPr>
      </w:pPr>
      <w:bookmarkStart w:id="76" w:name="_Toc513029213"/>
      <w:bookmarkStart w:id="77" w:name="_Toc462564072"/>
      <w:bookmarkStart w:id="78" w:name="_Toc20823285"/>
      <w:bookmarkStart w:id="79" w:name="_Toc16938529"/>
      <w:bookmarkStart w:id="80" w:name="_Toc120614216"/>
      <w:r>
        <w:rPr>
          <w:rFonts w:hint="eastAsia" w:ascii="宋体" w:hAnsi="宋体" w:eastAsia="宋体" w:cs="宋体"/>
          <w:b/>
          <w:color w:val="auto"/>
          <w:sz w:val="24"/>
          <w:szCs w:val="24"/>
          <w:highlight w:val="none"/>
        </w:rPr>
        <w:t>三、投标文件的编制</w:t>
      </w:r>
      <w:bookmarkEnd w:id="76"/>
      <w:bookmarkEnd w:id="77"/>
      <w:bookmarkEnd w:id="78"/>
      <w:bookmarkEnd w:id="79"/>
      <w:bookmarkEnd w:id="80"/>
    </w:p>
    <w:p w14:paraId="7FAB4F4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81" w:name="_Toc20823286"/>
      <w:bookmarkStart w:id="82" w:name="_Toc462564073"/>
      <w:bookmarkStart w:id="83" w:name="_Toc16938530"/>
      <w:bookmarkStart w:id="84" w:name="_Toc513029214"/>
      <w:r>
        <w:rPr>
          <w:rFonts w:hint="eastAsia" w:ascii="宋体" w:hAnsi="宋体" w:eastAsia="宋体" w:cs="宋体"/>
          <w:color w:val="auto"/>
          <w:sz w:val="24"/>
          <w:szCs w:val="24"/>
          <w:highlight w:val="none"/>
        </w:rPr>
        <w:t>9、投标文件的语言及度量衡单位</w:t>
      </w:r>
      <w:bookmarkEnd w:id="81"/>
      <w:bookmarkEnd w:id="82"/>
      <w:bookmarkEnd w:id="83"/>
      <w:bookmarkEnd w:id="84"/>
    </w:p>
    <w:p w14:paraId="33D2824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投标人提交的投标文件以及投标人与采购代理机构就有关投标的所有来往通知、函件和文件均应使用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1A591AC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除技术性能另有规定外，投标文件所使用的度量衡单位，均须采用国家法定计量单位。</w:t>
      </w:r>
    </w:p>
    <w:p w14:paraId="6D9DFDB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85" w:name="_Toc462564074"/>
      <w:bookmarkStart w:id="86" w:name="_Toc16938531"/>
      <w:bookmarkStart w:id="87" w:name="_Toc20823287"/>
      <w:bookmarkStart w:id="88" w:name="_Toc513029215"/>
      <w:r>
        <w:rPr>
          <w:rFonts w:hint="eastAsia" w:ascii="宋体" w:hAnsi="宋体" w:eastAsia="宋体" w:cs="宋体"/>
          <w:color w:val="auto"/>
          <w:sz w:val="24"/>
          <w:szCs w:val="24"/>
          <w:highlight w:val="none"/>
        </w:rPr>
        <w:t>10、投标文件构成</w:t>
      </w:r>
      <w:bookmarkEnd w:id="85"/>
      <w:bookmarkEnd w:id="86"/>
      <w:bookmarkEnd w:id="87"/>
      <w:bookmarkEnd w:id="88"/>
    </w:p>
    <w:p w14:paraId="5318555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60CFC51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rPr>
        <w:t>中国政府采购网”“江苏政府采购网”“盐城市政府采购网</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rPr>
        <w:t>发布的招标文件不一致，请以中国政府采购网”“江苏政府采购网”“盐城市政府采购网</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rPr>
        <w:t>发布的招标文件为准。</w:t>
      </w:r>
    </w:p>
    <w:p w14:paraId="68282521">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89" w:name="_Toc49090508"/>
      <w:bookmarkStart w:id="90" w:name="_Toc49090507"/>
      <w:bookmarkStart w:id="91" w:name="_Toc14577355"/>
      <w:bookmarkStart w:id="92" w:name="_Toc513029216"/>
      <w:bookmarkStart w:id="93" w:name="_Toc14577354"/>
      <w:bookmarkStart w:id="94" w:name="_Toc513029219"/>
      <w:bookmarkStart w:id="95" w:name="_Toc49090509"/>
      <w:bookmarkStart w:id="96" w:name="_Toc14577357"/>
      <w:bookmarkStart w:id="97" w:name="_Hlt26668975"/>
      <w:bookmarkStart w:id="98" w:name="_Hlt26954838"/>
      <w:bookmarkStart w:id="99" w:name="_Hlt26670360"/>
      <w:r>
        <w:rPr>
          <w:rFonts w:hint="eastAsia" w:ascii="宋体" w:hAnsi="宋体" w:eastAsia="宋体" w:cs="宋体"/>
          <w:color w:val="auto"/>
          <w:sz w:val="24"/>
          <w:szCs w:val="24"/>
          <w:highlight w:val="none"/>
        </w:rPr>
        <w:t>11、证明投标人及投标标的符合招标文件规定的文件</w:t>
      </w:r>
      <w:bookmarkEnd w:id="89"/>
      <w:bookmarkEnd w:id="90"/>
      <w:bookmarkEnd w:id="91"/>
      <w:bookmarkEnd w:id="92"/>
      <w:bookmarkEnd w:id="93"/>
      <w:bookmarkEnd w:id="94"/>
      <w:bookmarkEnd w:id="95"/>
      <w:bookmarkEnd w:id="96"/>
    </w:p>
    <w:p w14:paraId="24B07FD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投标人应按照招标文件要求提交证明文件，证明其及投标标的符合招标文件规定。</w:t>
      </w:r>
    </w:p>
    <w:p w14:paraId="1A1F04A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6360E5F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12、投标分项报价表</w:t>
      </w:r>
    </w:p>
    <w:p w14:paraId="61C9567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投标人应按照招标文件规定格式填报投标分项报价表。</w:t>
      </w:r>
    </w:p>
    <w:p w14:paraId="4CC2F03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46063D4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00" w:name="_Hlt26954846"/>
      <w:bookmarkStart w:id="101" w:name="_Hlt26954731"/>
      <w:bookmarkStart w:id="102" w:name="_Hlt26670482"/>
      <w:bookmarkStart w:id="103" w:name="_Hlt26954848"/>
      <w:bookmarkStart w:id="104" w:name="_Hlt26670486"/>
      <w:r>
        <w:rPr>
          <w:rFonts w:hint="eastAsia" w:ascii="宋体" w:hAnsi="宋体" w:eastAsia="宋体" w:cs="宋体"/>
          <w:color w:val="auto"/>
          <w:sz w:val="24"/>
          <w:szCs w:val="24"/>
          <w:highlight w:val="none"/>
        </w:rPr>
        <w:t>13、技术要求响应及偏离表、商务要求响应及偏离表</w:t>
      </w:r>
    </w:p>
    <w:p w14:paraId="757BAE1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投标人需对招标文件中的技术要求与商务要求逐项作出响应或偏离，并说明原因。</w:t>
      </w:r>
    </w:p>
    <w:p w14:paraId="73B67EA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投标人可在投标文件中提供认为需要的其他技术文件或说明。</w:t>
      </w:r>
    </w:p>
    <w:p w14:paraId="1F6E26B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65DED9D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投标人需根据招标文件要求提供有关售后服务的管理制度，售后服务机构的分布情况，售后服务人员的数量、素质、技术水平及售后服务的反应能力等。</w:t>
      </w:r>
    </w:p>
    <w:p w14:paraId="6AFA4B8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投标人需根据招标文件要求提供培训计划。</w:t>
      </w:r>
    </w:p>
    <w:p w14:paraId="79C486B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14.3投标人需根据招标文件要求提供所投标的的主要组成部分、功能设计、实现思路及关键技术等。</w:t>
      </w:r>
    </w:p>
    <w:p w14:paraId="5645C84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05" w:name="_Toc14577359"/>
      <w:bookmarkStart w:id="106" w:name="_Toc49090510"/>
      <w:r>
        <w:rPr>
          <w:rFonts w:hint="eastAsia" w:ascii="宋体" w:hAnsi="宋体" w:eastAsia="宋体" w:cs="宋体"/>
          <w:color w:val="auto"/>
          <w:sz w:val="24"/>
          <w:szCs w:val="24"/>
          <w:highlight w:val="none"/>
        </w:rPr>
        <w:t>15、投标函和开标一览表</w:t>
      </w:r>
      <w:bookmarkEnd w:id="105"/>
      <w:bookmarkEnd w:id="106"/>
    </w:p>
    <w:p w14:paraId="1659863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投标人应按照招标文件中提供的格式完整、正确填写投标函、开标一览表。</w:t>
      </w:r>
    </w:p>
    <w:p w14:paraId="4A32E23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2F3BE53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07" w:name="_Toc14577360"/>
      <w:bookmarkStart w:id="108" w:name="_Toc49090511"/>
      <w:r>
        <w:rPr>
          <w:rFonts w:hint="eastAsia" w:ascii="宋体" w:hAnsi="宋体" w:eastAsia="宋体" w:cs="宋体"/>
          <w:color w:val="auto"/>
          <w:sz w:val="24"/>
          <w:szCs w:val="24"/>
          <w:highlight w:val="none"/>
        </w:rPr>
        <w:t>16、投标有效期</w:t>
      </w:r>
      <w:bookmarkEnd w:id="107"/>
      <w:bookmarkEnd w:id="108"/>
    </w:p>
    <w:p w14:paraId="3CAB6CD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16.1投标有效期为采购代理机构规定的开标之日后</w:t>
      </w:r>
      <w:r>
        <w:rPr>
          <w:rFonts w:hint="eastAsia" w:ascii="宋体" w:hAnsi="宋体" w:eastAsia="宋体" w:cs="宋体"/>
          <w:b/>
          <w:color w:val="auto"/>
          <w:sz w:val="24"/>
          <w:szCs w:val="24"/>
          <w:highlight w:val="none"/>
          <w:u w:val="single"/>
        </w:rPr>
        <w:t>九十（90）天</w:t>
      </w:r>
      <w:r>
        <w:rPr>
          <w:rFonts w:hint="eastAsia" w:ascii="宋体" w:hAnsi="宋体" w:eastAsia="宋体" w:cs="宋体"/>
          <w:color w:val="auto"/>
          <w:sz w:val="24"/>
          <w:szCs w:val="24"/>
          <w:highlight w:val="none"/>
        </w:rPr>
        <w:t>。投标有效期比规定短的将被视为未实质性响应招标文件而予以拒绝。</w:t>
      </w:r>
    </w:p>
    <w:p w14:paraId="67609CF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17、投标有效期的延长</w:t>
      </w:r>
    </w:p>
    <w:p w14:paraId="6FC0067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182191C7">
      <w:pPr>
        <w:pStyle w:val="259"/>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2"/>
        <w:jc w:val="both"/>
        <w:textAlignment w:val="auto"/>
        <w:rPr>
          <w:rFonts w:hint="eastAsia" w:ascii="宋体" w:hAnsi="宋体" w:eastAsia="宋体" w:cs="宋体"/>
          <w:color w:val="auto"/>
          <w:sz w:val="24"/>
          <w:szCs w:val="24"/>
          <w:highlight w:val="none"/>
        </w:rPr>
      </w:pPr>
      <w:bookmarkStart w:id="109" w:name="_Toc16938540"/>
      <w:bookmarkStart w:id="110" w:name="_Toc513029224"/>
      <w:bookmarkStart w:id="111" w:name="_Toc20823296"/>
      <w:bookmarkStart w:id="112" w:name="_Toc120614217"/>
      <w:bookmarkStart w:id="113" w:name="_Hlt26954739"/>
      <w:bookmarkStart w:id="114" w:name="_Hlt26954852"/>
      <w:r>
        <w:rPr>
          <w:rFonts w:hint="eastAsia" w:ascii="宋体" w:hAnsi="宋体" w:eastAsia="宋体" w:cs="宋体"/>
          <w:b/>
          <w:color w:val="auto"/>
          <w:sz w:val="24"/>
          <w:szCs w:val="24"/>
          <w:highlight w:val="none"/>
        </w:rPr>
        <w:t>四、投标文件的递交</w:t>
      </w:r>
      <w:bookmarkEnd w:id="109"/>
      <w:bookmarkEnd w:id="110"/>
      <w:bookmarkEnd w:id="111"/>
      <w:bookmarkEnd w:id="112"/>
    </w:p>
    <w:p w14:paraId="3642C79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15" w:name="_Toc462564084"/>
      <w:bookmarkStart w:id="116" w:name="_Toc16938541"/>
      <w:bookmarkStart w:id="117" w:name="_Toc20823297"/>
      <w:bookmarkStart w:id="118" w:name="_Toc513029225"/>
      <w:r>
        <w:rPr>
          <w:rFonts w:hint="eastAsia" w:ascii="宋体" w:hAnsi="宋体" w:eastAsia="宋体" w:cs="宋体"/>
          <w:color w:val="auto"/>
          <w:sz w:val="24"/>
          <w:szCs w:val="24"/>
          <w:highlight w:val="none"/>
        </w:rPr>
        <w:t>18、电子投标文件</w:t>
      </w:r>
      <w:bookmarkEnd w:id="115"/>
      <w:bookmarkEnd w:id="116"/>
      <w:bookmarkEnd w:id="117"/>
      <w:bookmarkEnd w:id="118"/>
      <w:r>
        <w:rPr>
          <w:rFonts w:hint="eastAsia" w:ascii="宋体" w:hAnsi="宋体" w:eastAsia="宋体" w:cs="宋体"/>
          <w:color w:val="auto"/>
          <w:sz w:val="24"/>
          <w:szCs w:val="24"/>
          <w:highlight w:val="none"/>
        </w:rPr>
        <w:t>的递交</w:t>
      </w:r>
    </w:p>
    <w:p w14:paraId="22AA4CF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18.1投标人应当按照《操作手册》规定，在投标截止时间前制作并上传电子投标</w:t>
      </w:r>
    </w:p>
    <w:p w14:paraId="080845ED">
      <w:pPr>
        <w:pStyle w:val="259"/>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w:t>
      </w:r>
      <w:bookmarkStart w:id="119" w:name="_Toc20823298"/>
      <w:bookmarkEnd w:id="119"/>
      <w:bookmarkStart w:id="120" w:name="_Toc16938542"/>
      <w:bookmarkEnd w:id="120"/>
      <w:bookmarkStart w:id="121" w:name="_Toc513029226"/>
    </w:p>
    <w:p w14:paraId="4B453A7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19、投标截止日期</w:t>
      </w:r>
    </w:p>
    <w:p w14:paraId="0301CE2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 投标人上传电子投标文件的时间不得迟于招标公告中规定的投标截止时间。</w:t>
      </w:r>
    </w:p>
    <w:p w14:paraId="3500EFC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439EDAE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采购代理机构可以按照规定，通过修改招标文件酌情延长投标截止日期，在此情况下，投标人的所有权利和义务以及投标人受制的截止日期均应以延长后新的截止日期为准。</w:t>
      </w:r>
    </w:p>
    <w:p w14:paraId="158BF4F3">
      <w:pPr>
        <w:pStyle w:val="259"/>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22" w:name="_Toc16938543"/>
      <w:bookmarkStart w:id="123" w:name="_Toc513029227"/>
      <w:bookmarkStart w:id="124" w:name="_Toc20823299"/>
      <w:r>
        <w:rPr>
          <w:rFonts w:hint="eastAsia" w:ascii="宋体" w:hAnsi="宋体" w:eastAsia="宋体" w:cs="宋体"/>
          <w:color w:val="auto"/>
          <w:sz w:val="24"/>
          <w:szCs w:val="24"/>
          <w:highlight w:val="none"/>
        </w:rPr>
        <w:t>20、投标文件</w:t>
      </w:r>
      <w:bookmarkEnd w:id="122"/>
      <w:bookmarkEnd w:id="123"/>
      <w:bookmarkEnd w:id="124"/>
      <w:r>
        <w:rPr>
          <w:rFonts w:hint="eastAsia" w:ascii="宋体" w:hAnsi="宋体" w:eastAsia="宋体" w:cs="宋体"/>
          <w:color w:val="auto"/>
          <w:sz w:val="24"/>
          <w:szCs w:val="24"/>
          <w:highlight w:val="none"/>
        </w:rPr>
        <w:t>的拒收</w:t>
      </w:r>
    </w:p>
    <w:p w14:paraId="05B1514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采购代理机构拒绝接收在其规定的投标截止时间后上传的任何投标文件。</w:t>
      </w:r>
    </w:p>
    <w:p w14:paraId="34A94B7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25" w:name="_Toc16938544"/>
      <w:bookmarkStart w:id="126" w:name="_Toc513029228"/>
      <w:bookmarkStart w:id="127" w:name="_Toc20823300"/>
      <w:r>
        <w:rPr>
          <w:rFonts w:hint="eastAsia" w:ascii="宋体" w:hAnsi="宋体" w:eastAsia="宋体" w:cs="宋体"/>
          <w:color w:val="auto"/>
          <w:sz w:val="24"/>
          <w:szCs w:val="24"/>
          <w:highlight w:val="none"/>
        </w:rPr>
        <w:t>21、投标文件的撤回和修改</w:t>
      </w:r>
      <w:bookmarkEnd w:id="125"/>
      <w:bookmarkEnd w:id="126"/>
      <w:bookmarkEnd w:id="127"/>
    </w:p>
    <w:p w14:paraId="68BCFBB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投标文件的撤回</w:t>
      </w:r>
    </w:p>
    <w:p w14:paraId="7549049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电子投标文件的撤回</w:t>
      </w:r>
    </w:p>
    <w:p w14:paraId="6377BF7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648C3F7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08D4F76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7A73AC1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21.2.1投标人可在投标截止时间前，对其电子投标文件进行修改，具体操作方法见《操作手册》。</w:t>
      </w:r>
    </w:p>
    <w:p w14:paraId="68CB6CA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 在投标截止时间之后，投标人不得对其电子投标文件作任何修改。</w:t>
      </w:r>
    </w:p>
    <w:p w14:paraId="09A1BC8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在投标截止时间至招标文件中规定的投标有效期满之间的这段时间内，投标人不得撤回其投标。</w:t>
      </w:r>
    </w:p>
    <w:p w14:paraId="3B830FA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2"/>
        <w:jc w:val="both"/>
        <w:textAlignment w:val="auto"/>
        <w:rPr>
          <w:rFonts w:hint="eastAsia" w:ascii="宋体" w:hAnsi="宋体" w:eastAsia="宋体" w:cs="宋体"/>
          <w:color w:val="auto"/>
          <w:sz w:val="24"/>
          <w:szCs w:val="24"/>
          <w:highlight w:val="none"/>
        </w:rPr>
      </w:pPr>
      <w:bookmarkStart w:id="128" w:name="_Toc120614218"/>
      <w:bookmarkStart w:id="129" w:name="_Toc513029229"/>
      <w:bookmarkStart w:id="130" w:name="_Toc16938545"/>
      <w:bookmarkStart w:id="131" w:name="_Toc20823301"/>
      <w:r>
        <w:rPr>
          <w:rFonts w:hint="eastAsia" w:ascii="宋体" w:hAnsi="宋体" w:eastAsia="宋体" w:cs="宋体"/>
          <w:b/>
          <w:color w:val="auto"/>
          <w:sz w:val="24"/>
          <w:szCs w:val="24"/>
          <w:highlight w:val="none"/>
        </w:rPr>
        <w:t>五、开标与评标</w:t>
      </w:r>
      <w:bookmarkEnd w:id="128"/>
      <w:bookmarkEnd w:id="129"/>
      <w:bookmarkEnd w:id="130"/>
      <w:bookmarkEnd w:id="131"/>
    </w:p>
    <w:p w14:paraId="5C861D3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32" w:name="_Toc513029230"/>
      <w:bookmarkStart w:id="133" w:name="_Toc20823302"/>
      <w:bookmarkStart w:id="134" w:name="_Toc16938546"/>
      <w:r>
        <w:rPr>
          <w:rFonts w:hint="eastAsia" w:ascii="宋体" w:hAnsi="宋体" w:eastAsia="宋体" w:cs="宋体"/>
          <w:color w:val="auto"/>
          <w:sz w:val="24"/>
          <w:szCs w:val="24"/>
          <w:highlight w:val="none"/>
        </w:rPr>
        <w:t>22、开标</w:t>
      </w:r>
      <w:bookmarkEnd w:id="132"/>
      <w:bookmarkEnd w:id="133"/>
      <w:bookmarkEnd w:id="134"/>
    </w:p>
    <w:p w14:paraId="1EB552C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22.1采购代理机构将在招标公告中规定的时间和地点组织公开开标。投标人应当按照《操作手册》规定，参加开标活动和在苏采云系统规定的时间内对投标文件进行解密。</w:t>
      </w:r>
    </w:p>
    <w:p w14:paraId="33DFD8A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22.2开标仪式由采购代理机构组织。苏采云系统将自动对项目进行开标，并宣布各投标人名称和投标价格。</w:t>
      </w:r>
    </w:p>
    <w:p w14:paraId="4A85114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7FD4AF0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324AD29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35" w:name="_Toc20823303"/>
      <w:bookmarkStart w:id="136" w:name="_Toc513029231"/>
      <w:bookmarkStart w:id="137" w:name="_Toc16938547"/>
      <w:r>
        <w:rPr>
          <w:rFonts w:hint="eastAsia" w:ascii="宋体" w:hAnsi="宋体" w:eastAsia="宋体" w:cs="宋体"/>
          <w:color w:val="auto"/>
          <w:sz w:val="24"/>
          <w:szCs w:val="24"/>
          <w:highlight w:val="none"/>
        </w:rPr>
        <w:t>23、评标委员会</w:t>
      </w:r>
      <w:bookmarkEnd w:id="135"/>
      <w:bookmarkEnd w:id="136"/>
      <w:bookmarkEnd w:id="137"/>
    </w:p>
    <w:p w14:paraId="359A90B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开标后，采购代理机构将立即组织评标委员会（以下简称评委会）进行评标。</w:t>
      </w:r>
    </w:p>
    <w:p w14:paraId="2056011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23.2评委会由采购人代表和有关技术、经济等方面的专家组成，且人员构成符合政府采购有关规定。</w:t>
      </w:r>
    </w:p>
    <w:p w14:paraId="7C39697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23.3评委会独立工作，负责评审所有投标文件并确定中标候选人。</w:t>
      </w:r>
    </w:p>
    <w:p w14:paraId="72EAA1B4">
      <w:pPr>
        <w:pStyle w:val="259"/>
        <w:keepNext/>
        <w:keepLines/>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24．评标过程的保密与公正</w:t>
      </w:r>
    </w:p>
    <w:p w14:paraId="0ED58CA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24.1凡是与审查、澄清、评价和比较投标的有关资料以及授标建议等，采购人、评委、采购代理机构均不得向投标人或与评标无关的其他人员透露。</w:t>
      </w:r>
    </w:p>
    <w:p w14:paraId="475F2EA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24.2在评标过程中，投标人不得以任何行为影响评标过程，否则其投标文件将被作为无效投标文件。</w:t>
      </w:r>
    </w:p>
    <w:p w14:paraId="17F5512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采购代理机构和评标委员会不向未中标的投标人解释未中标原因，也不公布评标过程中的相关细节。</w:t>
      </w:r>
    </w:p>
    <w:p w14:paraId="4806CAD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03254E5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38" w:name="_Toc20823304"/>
      <w:bookmarkStart w:id="139" w:name="_Toc513029232"/>
      <w:bookmarkStart w:id="140" w:name="_Toc16938548"/>
      <w:r>
        <w:rPr>
          <w:rFonts w:hint="eastAsia" w:ascii="宋体" w:hAnsi="宋体" w:eastAsia="宋体" w:cs="宋体"/>
          <w:color w:val="auto"/>
          <w:sz w:val="24"/>
          <w:szCs w:val="24"/>
          <w:highlight w:val="none"/>
        </w:rPr>
        <w:t>25．投标文件的澄清</w:t>
      </w:r>
      <w:bookmarkEnd w:id="138"/>
      <w:bookmarkEnd w:id="139"/>
      <w:bookmarkEnd w:id="140"/>
    </w:p>
    <w:p w14:paraId="0BF2FBC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41" w:name="_Toc20823305"/>
      <w:bookmarkStart w:id="142" w:name="_Toc16938549"/>
      <w:bookmarkStart w:id="143" w:name="_Toc513029233"/>
      <w:r>
        <w:rPr>
          <w:rFonts w:hint="eastAsia" w:ascii="宋体" w:hAnsi="宋体" w:eastAsia="宋体" w:cs="宋体"/>
          <w:color w:val="auto"/>
          <w:sz w:val="24"/>
          <w:szCs w:val="24"/>
          <w:highlight w:val="none"/>
        </w:rPr>
        <w:t>25.1评标期间，评委会对投标文件中含义不明确、同类问题表述不一致或者有明显文字和计算错误的内容，有权要求投标人作出必要的澄清、说明或者补正。</w:t>
      </w:r>
      <w:bookmarkEnd w:id="141"/>
      <w:bookmarkEnd w:id="142"/>
      <w:bookmarkEnd w:id="143"/>
    </w:p>
    <w:p w14:paraId="4D6FD25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2290EAA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064B96F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9F33EE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接到评委会澄清、说明和补正要求的投标人如未按规定作出澄清、说明和补正，其风险由投标人自行承担。</w:t>
      </w:r>
    </w:p>
    <w:p w14:paraId="4197107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26、对投标文件的初审</w:t>
      </w:r>
    </w:p>
    <w:p w14:paraId="05B96C8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26.1投标文件初审分为资格审查和符合性审查。</w:t>
      </w:r>
    </w:p>
    <w:p w14:paraId="7F58C3C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5903049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3478698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auto"/>
          <w:sz w:val="24"/>
          <w:szCs w:val="24"/>
          <w:highlight w:val="none"/>
          <w:lang w:val="en-US" w:eastAsia="zh-CN"/>
        </w:rPr>
        <w:t>信用</w:t>
      </w:r>
      <w:r>
        <w:rPr>
          <w:rFonts w:hint="eastAsia" w:ascii="宋体" w:hAnsi="宋体" w:eastAsia="宋体" w:cs="宋体"/>
          <w:color w:val="auto"/>
          <w:sz w:val="24"/>
          <w:szCs w:val="24"/>
          <w:highlight w:val="none"/>
        </w:rPr>
        <w:t>记录。</w:t>
      </w:r>
    </w:p>
    <w:p w14:paraId="1822E96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085F387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未通过资格审查或符合性审查的投标人，采购代理机构将在苏采云系统中告知未通过资格审查或符合性审查的原因，评审结束后，采购代理机构将不再告知未通过资格审查或符合性审查的原因。</w:t>
      </w:r>
    </w:p>
    <w:p w14:paraId="5DE7360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6C6FD3C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724F67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26.3如果投标文件实质上没有响应招标文件的要求，评委会将予以拒绝，投标人不得通过修改或撤销不符合要求的偏离或保留而使其投标成为实质性响应的投标。</w:t>
      </w:r>
    </w:p>
    <w:p w14:paraId="6669A56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3D28EA0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214D702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06DE7D0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2ED1324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687AC38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5013E22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735DED9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44" w:name="_Toc20823306"/>
      <w:bookmarkStart w:id="145" w:name="_Toc513029234"/>
      <w:bookmarkStart w:id="146" w:name="_Toc16938550"/>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bookmarkEnd w:id="145"/>
      <w:bookmarkEnd w:id="146"/>
    </w:p>
    <w:p w14:paraId="34E4A2AF">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231F0E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74B407F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26.7投标人在开、评标全过程中应保持通信畅通，及时登录苏采云系统查阅、答复相关信息，并安排专人与采购代理机构及评标委员会联系。</w:t>
      </w:r>
    </w:p>
    <w:p w14:paraId="587F81A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27、无效投标条款和废标条款</w:t>
      </w:r>
    </w:p>
    <w:p w14:paraId="4F9F812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47" w:name="_Toc20823307"/>
      <w:bookmarkStart w:id="148" w:name="_Toc16938551"/>
      <w:bookmarkStart w:id="149" w:name="_Toc513029235"/>
      <w:r>
        <w:rPr>
          <w:rFonts w:hint="eastAsia" w:ascii="宋体" w:hAnsi="宋体" w:eastAsia="宋体" w:cs="宋体"/>
          <w:color w:val="auto"/>
          <w:sz w:val="24"/>
          <w:szCs w:val="24"/>
          <w:highlight w:val="none"/>
        </w:rPr>
        <w:t>27.1无效投标条款</w:t>
      </w:r>
      <w:bookmarkEnd w:id="147"/>
      <w:bookmarkEnd w:id="148"/>
      <w:bookmarkEnd w:id="149"/>
    </w:p>
    <w:p w14:paraId="0E41E9C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1378D04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283ABA6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723F0E9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31B046B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037B4A3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7461DC2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36070736">
      <w:pPr>
        <w:pStyle w:val="25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574C898">
      <w:pPr>
        <w:pStyle w:val="25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27.1.9投标文件含有采购人不能接受的附加条件的。</w:t>
      </w:r>
    </w:p>
    <w:p w14:paraId="43D2B57A">
      <w:pPr>
        <w:pStyle w:val="25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27.1.10投标人不能证明其报价合理性的，评标委员会应当将其作为无效投标处理。</w:t>
      </w:r>
    </w:p>
    <w:p w14:paraId="0DE7AF38">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（一）评审过程中出现下列情形之一的，评标委员会应当启动异常低价投标审查程序：</w:t>
      </w:r>
    </w:p>
    <w:p w14:paraId="76105DBB">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w:t>
      </w:r>
      <w:r>
        <w:rPr>
          <w:rFonts w:hint="eastAsia" w:ascii="宋体" w:hAnsi="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lang w:val="en-US" w:eastAsia="zh-CN" w:bidi="ar-SA"/>
        </w:rPr>
        <w:t>0%的，即投标（响应）报价&lt;全部通过符合性审查供应商投标（响应）报价平均值×</w:t>
      </w:r>
      <w:r>
        <w:rPr>
          <w:rFonts w:hint="eastAsia" w:ascii="宋体" w:hAnsi="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lang w:val="en-US" w:eastAsia="zh-CN" w:bidi="ar-SA"/>
        </w:rPr>
        <w:t>0%；</w:t>
      </w:r>
    </w:p>
    <w:p w14:paraId="41224011">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w:t>
      </w:r>
      <w:r>
        <w:rPr>
          <w:rFonts w:hint="eastAsia" w:ascii="宋体" w:hAnsi="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lang w:val="en-US" w:eastAsia="zh-CN" w:bidi="ar-SA"/>
        </w:rPr>
        <w:t>0%的，即投标（响应）报价&lt;通过符合性审查的次低报价供应商投标（响应）报价×</w:t>
      </w:r>
      <w:r>
        <w:rPr>
          <w:rFonts w:hint="eastAsia" w:ascii="宋体" w:hAnsi="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lang w:val="en-US" w:eastAsia="zh-CN" w:bidi="ar-SA"/>
        </w:rPr>
        <w:t>0%；</w:t>
      </w:r>
    </w:p>
    <w:p w14:paraId="7EA1E0E8">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w:t>
      </w:r>
      <w:r>
        <w:rPr>
          <w:rFonts w:hint="eastAsia" w:ascii="宋体" w:hAnsi="宋体" w:cs="宋体"/>
          <w:b/>
          <w:bCs/>
          <w:color w:val="auto"/>
          <w:sz w:val="24"/>
          <w:szCs w:val="24"/>
          <w:highlight w:val="none"/>
          <w:lang w:val="en-US" w:eastAsia="zh-CN" w:bidi="ar-SA"/>
        </w:rPr>
        <w:t>60</w:t>
      </w:r>
      <w:r>
        <w:rPr>
          <w:rFonts w:hint="eastAsia" w:ascii="宋体" w:hAnsi="宋体" w:eastAsia="宋体" w:cs="宋体"/>
          <w:b/>
          <w:bCs/>
          <w:color w:val="auto"/>
          <w:sz w:val="24"/>
          <w:szCs w:val="24"/>
          <w:highlight w:val="none"/>
          <w:lang w:val="en-US" w:eastAsia="zh-CN" w:bidi="ar-SA"/>
        </w:rPr>
        <w:t>%的，即投标（响应）报价&lt;采购项目最高限价×</w:t>
      </w:r>
      <w:r>
        <w:rPr>
          <w:rFonts w:hint="eastAsia" w:ascii="宋体" w:hAnsi="宋体" w:cs="宋体"/>
          <w:b/>
          <w:bCs/>
          <w:color w:val="auto"/>
          <w:sz w:val="24"/>
          <w:szCs w:val="24"/>
          <w:highlight w:val="none"/>
          <w:lang w:val="en-US" w:eastAsia="zh-CN" w:bidi="ar-SA"/>
        </w:rPr>
        <w:t>60</w:t>
      </w:r>
      <w:r>
        <w:rPr>
          <w:rFonts w:hint="eastAsia" w:ascii="宋体" w:hAnsi="宋体" w:eastAsia="宋体" w:cs="宋体"/>
          <w:b/>
          <w:bCs/>
          <w:color w:val="auto"/>
          <w:sz w:val="24"/>
          <w:szCs w:val="24"/>
          <w:highlight w:val="none"/>
          <w:lang w:val="en-US" w:eastAsia="zh-CN" w:bidi="ar-SA"/>
        </w:rPr>
        <w:t>%；</w:t>
      </w:r>
    </w:p>
    <w:p w14:paraId="6C764EE8">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347CA16C">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p>
    <w:p w14:paraId="1DA9AF6D">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CED9642">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F4F47A3">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5F520CB">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C83D084">
      <w:pPr>
        <w:pStyle w:val="99"/>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7C511EB">
      <w:pPr>
        <w:pStyle w:val="25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D5484D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5C1722A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27.1.13其他法律、法规及本招标文件规定的属无效投标的情形。</w:t>
      </w:r>
    </w:p>
    <w:p w14:paraId="1887F3D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27.2废标条款</w:t>
      </w:r>
    </w:p>
    <w:p w14:paraId="07E9F537">
      <w:pPr>
        <w:pStyle w:val="259"/>
        <w:pageBreakBefore w:val="0"/>
        <w:widowControl w:val="0"/>
        <w:kinsoku/>
        <w:wordWrap/>
        <w:overflowPunct/>
        <w:topLinePunct w:val="0"/>
        <w:autoSpaceDE/>
        <w:autoSpaceDN/>
        <w:bidi w:val="0"/>
        <w:adjustRightInd/>
        <w:snapToGrid/>
        <w:spacing w:beforeAutospacing="0" w:afterAutospacing="0" w:line="50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27.2.1符合专业条件的供应商或者对招标文件作实质响应的供应商不足三家的。27.2.2出现影响采购公正的违法、违规行为的。</w:t>
      </w:r>
    </w:p>
    <w:p w14:paraId="229C4B3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029CB36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1C6BCDA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因苏采云系统故障原因造成开标不成功的。</w:t>
      </w:r>
    </w:p>
    <w:p w14:paraId="0973720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5A59FCF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0C46314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2"/>
        <w:jc w:val="both"/>
        <w:textAlignment w:val="auto"/>
        <w:rPr>
          <w:rFonts w:hint="eastAsia" w:ascii="宋体" w:hAnsi="宋体" w:eastAsia="宋体" w:cs="宋体"/>
          <w:color w:val="auto"/>
          <w:sz w:val="24"/>
          <w:szCs w:val="24"/>
          <w:highlight w:val="none"/>
        </w:rPr>
      </w:pPr>
      <w:bookmarkStart w:id="150" w:name="_Toc120614219"/>
      <w:r>
        <w:rPr>
          <w:rFonts w:hint="eastAsia" w:ascii="宋体" w:hAnsi="宋体" w:eastAsia="宋体" w:cs="宋体"/>
          <w:b/>
          <w:color w:val="auto"/>
          <w:sz w:val="24"/>
          <w:szCs w:val="24"/>
          <w:highlight w:val="none"/>
        </w:rPr>
        <w:t>六、定标</w:t>
      </w:r>
      <w:bookmarkEnd w:id="150"/>
    </w:p>
    <w:p w14:paraId="0EC8E36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51" w:name="_Toc20823310"/>
      <w:bookmarkStart w:id="152" w:name="_Toc16938554"/>
      <w:bookmarkStart w:id="153" w:name="_Toc513029238"/>
      <w:r>
        <w:rPr>
          <w:rFonts w:hint="eastAsia" w:ascii="宋体" w:hAnsi="宋体" w:eastAsia="宋体" w:cs="宋体"/>
          <w:color w:val="auto"/>
          <w:sz w:val="24"/>
          <w:szCs w:val="24"/>
          <w:highlight w:val="none"/>
        </w:rPr>
        <w:t>28、</w:t>
      </w:r>
      <w:bookmarkEnd w:id="151"/>
      <w:r>
        <w:rPr>
          <w:rFonts w:hint="eastAsia" w:ascii="宋体" w:hAnsi="宋体" w:eastAsia="宋体" w:cs="宋体"/>
          <w:color w:val="auto"/>
          <w:sz w:val="24"/>
          <w:szCs w:val="24"/>
          <w:highlight w:val="none"/>
        </w:rPr>
        <w:t>确定</w:t>
      </w:r>
      <w:bookmarkEnd w:id="152"/>
      <w:bookmarkEnd w:id="153"/>
      <w:r>
        <w:rPr>
          <w:rFonts w:hint="eastAsia" w:ascii="宋体" w:hAnsi="宋体" w:eastAsia="宋体" w:cs="宋体"/>
          <w:color w:val="auto"/>
          <w:sz w:val="24"/>
          <w:szCs w:val="24"/>
          <w:highlight w:val="none"/>
        </w:rPr>
        <w:t>中标单位</w:t>
      </w:r>
    </w:p>
    <w:p w14:paraId="061084C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1ABD657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4FCD8BC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采购代理机构将在中国政府采购网”“江苏政府采购网”“盐城市政府采购网</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rPr>
        <w:t>发布中标公告，公告期限为1个工作日。</w:t>
      </w:r>
    </w:p>
    <w:p w14:paraId="7483682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5D1AFB6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0A5BB37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28.4.2向采购人、采购代理机构行贿或者提供其他不正当利益的。</w:t>
      </w:r>
    </w:p>
    <w:p w14:paraId="762EB7C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351BD19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7D09732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23B9032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54" w:name="_Toc200451960"/>
      <w:r>
        <w:rPr>
          <w:rFonts w:hint="eastAsia" w:ascii="宋体" w:hAnsi="宋体" w:eastAsia="宋体" w:cs="宋体"/>
          <w:color w:val="auto"/>
          <w:sz w:val="24"/>
          <w:szCs w:val="24"/>
          <w:highlight w:val="none"/>
        </w:rPr>
        <w:t>28.5. 有下列情形之一的，视为投标人串通投标，投标无效：</w:t>
      </w:r>
      <w:bookmarkEnd w:id="154"/>
    </w:p>
    <w:p w14:paraId="5007BA1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75EFD7A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5FE6987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2250C53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088EF86F">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29、质疑处理</w:t>
      </w:r>
    </w:p>
    <w:p w14:paraId="04A1CE1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4717C36F">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7DAC1A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0E255B1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29.2.2对采购过程提出质疑的，为各采购程序环节结束之日；  </w:t>
      </w:r>
    </w:p>
    <w:p w14:paraId="17A5BB5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29.2.3对中标或者成交结果提出质疑的，为中标或者成交结果公告期限届满之日。</w:t>
      </w:r>
    </w:p>
    <w:p w14:paraId="07B1613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66FDE73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1488300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50F1A4A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采购人及代理机构只接收以纸质原件形式送达的质疑,采购人和代理机构不接受未填写快递运单的快件。</w:t>
      </w:r>
    </w:p>
    <w:p w14:paraId="27CEE1BF">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6D3699D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6F83163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4E74735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6E90124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2C519D7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29.5.5供应商组成联合体参加投标，联合体中任何一方或多方未按要求签字、盖章、加盖公章的质疑。</w:t>
      </w:r>
    </w:p>
    <w:p w14:paraId="167EE99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03B811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30、中标通知书</w:t>
      </w:r>
    </w:p>
    <w:p w14:paraId="24E566E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497464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51179E2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2"/>
        <w:jc w:val="both"/>
        <w:textAlignment w:val="auto"/>
        <w:rPr>
          <w:rFonts w:hint="eastAsia" w:ascii="宋体" w:hAnsi="宋体" w:eastAsia="宋体" w:cs="宋体"/>
          <w:color w:val="auto"/>
          <w:sz w:val="24"/>
          <w:szCs w:val="24"/>
          <w:highlight w:val="none"/>
        </w:rPr>
      </w:pPr>
      <w:bookmarkStart w:id="155" w:name="_Toc16938552"/>
      <w:bookmarkStart w:id="156" w:name="_Toc120614220"/>
      <w:bookmarkStart w:id="157" w:name="_Toc513029236"/>
      <w:bookmarkStart w:id="158" w:name="_Toc20823308"/>
      <w:r>
        <w:rPr>
          <w:rFonts w:hint="eastAsia" w:ascii="宋体" w:hAnsi="宋体" w:eastAsia="宋体" w:cs="宋体"/>
          <w:b/>
          <w:color w:val="auto"/>
          <w:sz w:val="24"/>
          <w:szCs w:val="24"/>
          <w:highlight w:val="none"/>
        </w:rPr>
        <w:t>七、授予合同</w:t>
      </w:r>
      <w:bookmarkEnd w:id="155"/>
      <w:bookmarkEnd w:id="156"/>
      <w:bookmarkEnd w:id="157"/>
      <w:bookmarkEnd w:id="158"/>
    </w:p>
    <w:p w14:paraId="281DBEB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bookmarkStart w:id="159" w:name="_Toc20823309"/>
      <w:bookmarkStart w:id="160" w:name="_Toc16938553"/>
      <w:bookmarkStart w:id="161" w:name="_Toc513029237"/>
      <w:r>
        <w:rPr>
          <w:rFonts w:hint="eastAsia" w:ascii="宋体" w:hAnsi="宋体" w:eastAsia="宋体" w:cs="宋体"/>
          <w:color w:val="auto"/>
          <w:sz w:val="24"/>
          <w:szCs w:val="24"/>
          <w:highlight w:val="none"/>
        </w:rPr>
        <w:t>31. 签订合同</w:t>
      </w:r>
      <w:bookmarkEnd w:id="159"/>
      <w:bookmarkEnd w:id="160"/>
      <w:bookmarkEnd w:id="161"/>
    </w:p>
    <w:p w14:paraId="48F33CB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31.l中标人应当在中标通知书发出之日起三十日内，按照招标文件确定的事项与采购人签订政府采购合同。</w:t>
      </w:r>
    </w:p>
    <w:p w14:paraId="6CB1358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31.2招标文件、中标人的投标文件及招标过程中有关澄清、承诺文件均应作为合同附件。</w:t>
      </w:r>
    </w:p>
    <w:p w14:paraId="3D35E4C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011BF32D">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32、货物（包含与货物相关的服务）的追加</w:t>
      </w:r>
    </w:p>
    <w:p w14:paraId="477CC17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15E54351">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33.政府采购政策功能落实</w:t>
      </w:r>
    </w:p>
    <w:p w14:paraId="4FEB573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33.1政府采购线上合同信用融资政策</w:t>
      </w:r>
    </w:p>
    <w:p w14:paraId="4AF83571">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1A9D765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33.2进口产品</w:t>
      </w:r>
    </w:p>
    <w:p w14:paraId="685CB45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4558AC9">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33.3中小企业、监狱企业及残疾人福利性单位</w:t>
      </w:r>
    </w:p>
    <w:p w14:paraId="4519AE0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33.3.1中小企业定义：</w:t>
      </w:r>
    </w:p>
    <w:p w14:paraId="6595067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0C45C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33.3.2供应商提供的货物、工程或者服务符合下列情形的，享受中小企业扶持政策：</w:t>
      </w:r>
    </w:p>
    <w:p w14:paraId="033089F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33.3.2.1在货物采购项目中，货物由中小企业制造，即货物由中小企业生产且使用该中小企业商号或者注册商标；</w:t>
      </w:r>
    </w:p>
    <w:p w14:paraId="0C09B88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33.3.2.2在工程采购项目中，工程由中小企业承建，即工程施工单位为中小企业；</w:t>
      </w:r>
    </w:p>
    <w:p w14:paraId="42337E2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33.3.2.3在服务采购项目中，服务由中小企业承接，即提供服务的人员为中小企业依照《中华人民共和国劳动合同法》订立劳动合同的从业人员。</w:t>
      </w:r>
    </w:p>
    <w:p w14:paraId="6C84663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33.3.3在货物采购项目中，供应商提供的货物既有中小企业制造货物，也有大型企业制造货物的，不享受中小企业扶持政策。</w:t>
      </w:r>
    </w:p>
    <w:p w14:paraId="2797571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33.3.4以联合体形式参加政府采购活动，联合体各方均为中小企业的，联合体视同中小企业。其中，联合体各方均为小微企业的，联合体视同小微企业。</w:t>
      </w:r>
    </w:p>
    <w:p w14:paraId="15707AD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33577F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33.3.6残疾人福利单位定义：享受政府采购支持政策的残疾人福利性单位应当同时满足以下条件：</w:t>
      </w:r>
    </w:p>
    <w:p w14:paraId="1D5695C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33.3.6.1安置的残疾人占本单位在职职工人数的比例不低于25%（含25%），并且安置的残疾人人数不少于10 人（含10人）；</w:t>
      </w:r>
    </w:p>
    <w:p w14:paraId="1696F87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33.3.6.2依法与安置的每位残疾人签订了一年以上（含一年）的劳动合同或服务协议；</w:t>
      </w:r>
    </w:p>
    <w:p w14:paraId="1671EDF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33.3.6.3为安置的每位残疾人按月足额缴纳了基本养老保险、基本医疗保险、失业保险、工伤保险和生育保险等社会保险费；</w:t>
      </w:r>
    </w:p>
    <w:p w14:paraId="02DCB60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33.3.6.4通过银行等金融机构向安置的每位残疾人，按月支付了不低于单位所在区县适用的经省级人民政府批准的月最低工资标准的工资；</w:t>
      </w:r>
    </w:p>
    <w:p w14:paraId="218AEA1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33.3.6.5提供本单位制造的货物、承担的工程或者服务（以下简称产品），或者提供其他残疾人福利性单位制造的货物（不包括使用非残疾人福利性单位注册商标的货物）；</w:t>
      </w:r>
    </w:p>
    <w:p w14:paraId="03F9DA9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ABEEA61">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33.3.7本项目是否专门面向中小企业预留采购份额见第一章《招标公告》。</w:t>
      </w:r>
    </w:p>
    <w:p w14:paraId="34C6F676">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33.3.8采购标的对应的中小企业划分标准所属行业见第四章《采购需求》。</w:t>
      </w:r>
    </w:p>
    <w:p w14:paraId="0651C903">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33.3.9小微企业价格评审优惠的政策：见第五章《评标方法和评标标准》。</w:t>
      </w:r>
    </w:p>
    <w:p w14:paraId="0046A61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33.4政府采购节能产品、环境标志产品</w:t>
      </w:r>
    </w:p>
    <w:p w14:paraId="47B14745">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68FD15FE">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2172B07">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33.5绿色包装</w:t>
      </w:r>
    </w:p>
    <w:p w14:paraId="61DE9804">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333A120">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33.6政府采购创新产品</w:t>
      </w:r>
    </w:p>
    <w:p w14:paraId="44900612">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采购人优先采购各级政府部门公开发布的有效期内的创新产品、创新服务、首台套、首购首用等《目录》的创新产品。</w:t>
      </w:r>
    </w:p>
    <w:p w14:paraId="606D1B98">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33.7绿色数据中心政策 </w:t>
      </w:r>
    </w:p>
    <w:p w14:paraId="45BF3F44">
      <w:pPr>
        <w:pStyle w:val="25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41A503A">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33.8实施本国产品标准及相关政策</w:t>
      </w:r>
    </w:p>
    <w:p w14:paraId="5E69B3C7">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1.本项目对采购本国产品给予政策支持，具体内容见招标文件“第五章 评标方法与评标标准”。</w:t>
      </w:r>
    </w:p>
    <w:p w14:paraId="77793151">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5ACE1B0">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7652F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CF6813D">
      <w:pPr>
        <w:pStyle w:val="25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履约保证金政策</w:t>
      </w:r>
    </w:p>
    <w:p w14:paraId="799CFF79">
      <w:pPr>
        <w:pStyle w:val="25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确需收取履约保证金的，履约保证金的缴纳形式：</w:t>
      </w:r>
    </w:p>
    <w:p w14:paraId="72A87CD0">
      <w:pPr>
        <w:pStyle w:val="25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6DDDBC">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如以履约保函（保险）形式缴纳履约保证金，供应商可通过政府采购电子履约保函（保险）平台（www.jsdzbh.com）在线申请履约保函（保险）。</w:t>
      </w:r>
    </w:p>
    <w:p w14:paraId="5557771A">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履约保证金金额不得超过合同金额的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%，采购人对第三方信用服务机构依据标准规范评定为 AA 级及以上的政府采购供应商（需在签订采购合同前提供信用管理 部门备案的第三方信用报告，且信用报告通过“信用盐城网”可查实），免收履约保证金。</w:t>
      </w:r>
    </w:p>
    <w:p w14:paraId="308B59BB">
      <w:pPr>
        <w:pStyle w:val="259"/>
        <w:pageBreakBefore w:val="0"/>
        <w:widowControl w:val="0"/>
        <w:kinsoku/>
        <w:wordWrap/>
        <w:overflowPunct/>
        <w:topLinePunct w:val="0"/>
        <w:autoSpaceDE/>
        <w:autoSpaceDN/>
        <w:bidi w:val="0"/>
        <w:adjustRightInd/>
        <w:snapToGrid/>
        <w:spacing w:beforeAutospacing="0" w:afterAutospacing="0" w:line="50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预付款制度</w:t>
      </w:r>
    </w:p>
    <w:p w14:paraId="34370B26">
      <w:pPr>
        <w:pageBreakBefore w:val="0"/>
        <w:widowControl w:val="0"/>
        <w:kinsoku/>
        <w:wordWrap/>
        <w:overflowPunct/>
        <w:topLinePunct w:val="0"/>
        <w:autoSpaceDE/>
        <w:autoSpaceDN/>
        <w:bidi w:val="0"/>
        <w:adjustRightInd/>
        <w:snapToGrid/>
        <w:spacing w:line="500" w:lineRule="exact"/>
        <w:ind w:left="0" w:firstLine="420"/>
        <w:textAlignment w:val="auto"/>
        <w:rPr>
          <w:color w:val="auto"/>
          <w:sz w:val="36"/>
          <w:szCs w:val="44"/>
          <w:highlight w:val="none"/>
        </w:rPr>
      </w:pPr>
      <w:r>
        <w:rPr>
          <w:rFonts w:hint="eastAsia" w:ascii="宋体" w:hAnsi="宋体" w:eastAsia="宋体" w:cs="宋体"/>
          <w:color w:val="auto"/>
          <w:sz w:val="24"/>
          <w:szCs w:val="24"/>
          <w:highlight w:val="none"/>
        </w:rPr>
        <w:t>本项目落实预付款制度，预付款比例为</w:t>
      </w:r>
      <w:r>
        <w:rPr>
          <w:rFonts w:hint="eastAsia" w:ascii="宋体" w:hAnsi="宋体" w:eastAsia="宋体" w:cs="宋体"/>
          <w:color w:val="auto"/>
          <w:sz w:val="24"/>
          <w:szCs w:val="24"/>
          <w:highlight w:val="none"/>
          <w:u w:val="single"/>
        </w:rPr>
        <w:t>30</w:t>
      </w:r>
      <w:r>
        <w:rPr>
          <w:rFonts w:hint="eastAsia" w:ascii="宋体" w:hAnsi="宋体" w:eastAsia="宋体" w:cs="宋体"/>
          <w:color w:val="auto"/>
          <w:sz w:val="24"/>
          <w:szCs w:val="24"/>
          <w:highlight w:val="none"/>
        </w:rPr>
        <w:t>%。在签订合同时，中标、成交供应商明确书面表示无需预付款或者主动要求降低预付款比例的，采购人可就预付款比例作相应调整</w:t>
      </w:r>
      <w:r>
        <w:rPr>
          <w:rFonts w:hint="eastAsia" w:ascii="宋体" w:hAnsi="宋体" w:cs="宋体"/>
          <w:color w:val="auto"/>
          <w:szCs w:val="21"/>
          <w:highlight w:val="none"/>
        </w:rPr>
        <w:t>。</w:t>
      </w:r>
      <w:bookmarkStart w:id="162" w:name="_Toc479757211"/>
      <w:bookmarkStart w:id="163" w:name="_Toc120614244"/>
      <w:bookmarkStart w:id="164" w:name="_Hlt16619350"/>
      <w:bookmarkStart w:id="165" w:name="_Toc20823346"/>
      <w:bookmarkStart w:id="166" w:name="_Toc16938590"/>
      <w:bookmarkStart w:id="167" w:name="_Toc462564139"/>
      <w:bookmarkStart w:id="168" w:name="_Hlt16619369"/>
    </w:p>
    <w:p w14:paraId="750F01EE">
      <w:pPr>
        <w:rPr>
          <w:rFonts w:hint="eastAsia" w:ascii="宋体" w:hAnsi="宋体" w:cs="宋体"/>
          <w:b/>
          <w:color w:val="auto"/>
          <w:sz w:val="48"/>
          <w:szCs w:val="44"/>
          <w:highlight w:val="none"/>
        </w:rPr>
      </w:pPr>
      <w:r>
        <w:rPr>
          <w:rFonts w:hint="eastAsia" w:ascii="宋体" w:hAnsi="宋体" w:cs="宋体"/>
          <w:b/>
          <w:color w:val="auto"/>
          <w:sz w:val="48"/>
          <w:szCs w:val="44"/>
          <w:highlight w:val="none"/>
        </w:rPr>
        <w:br w:type="page" w:clear="all"/>
      </w:r>
    </w:p>
    <w:p w14:paraId="7C1AB9A3">
      <w:pPr>
        <w:widowControl/>
        <w:spacing w:line="360" w:lineRule="auto"/>
        <w:jc w:val="center"/>
        <w:rPr>
          <w:rFonts w:hint="eastAsia" w:ascii="宋体" w:hAnsi="宋体" w:cs="宋体"/>
          <w:b/>
          <w:color w:val="auto"/>
          <w:sz w:val="48"/>
          <w:szCs w:val="44"/>
          <w:highlight w:val="none"/>
        </w:rPr>
      </w:pPr>
      <w:r>
        <w:rPr>
          <w:rFonts w:hint="eastAsia" w:ascii="宋体" w:hAnsi="宋体" w:cs="宋体"/>
          <w:b/>
          <w:color w:val="auto"/>
          <w:sz w:val="48"/>
          <w:szCs w:val="44"/>
          <w:highlight w:val="none"/>
        </w:rPr>
        <w:t>第三章  合同条款</w:t>
      </w:r>
    </w:p>
    <w:p w14:paraId="371449B3">
      <w:pPr>
        <w:keepNext w:val="0"/>
        <w:keepLines w:val="0"/>
        <w:pageBreakBefore w:val="0"/>
        <w:widowControl w:val="0"/>
        <w:kinsoku/>
        <w:wordWrap/>
        <w:overflowPunct/>
        <w:topLinePunct w:val="0"/>
        <w:autoSpaceDE/>
        <w:autoSpaceDN/>
        <w:bidi w:val="0"/>
        <w:adjustRightInd/>
        <w:snapToGrid/>
        <w:spacing w:beforeLines="0" w:afterLines="0" w:line="500" w:lineRule="exact"/>
        <w:jc w:val="center"/>
        <w:textAlignment w:val="auto"/>
        <w:outlineLvl w:val="0"/>
        <w:rPr>
          <w:rFonts w:hint="default" w:cs="Microsoft Himalaya"/>
          <w:color w:val="auto"/>
          <w:sz w:val="21"/>
          <w:szCs w:val="24"/>
          <w:highlight w:val="none"/>
        </w:rPr>
      </w:pPr>
      <w:bookmarkStart w:id="169" w:name="EB6d2006462e294de090c16e672cecc3bd"/>
      <w:bookmarkEnd w:id="169"/>
      <w:r>
        <w:rPr>
          <w:rFonts w:hint="eastAsia" w:ascii="宋体" w:hAnsi="宋体"/>
          <w:b/>
          <w:color w:val="auto"/>
          <w:sz w:val="24"/>
          <w:szCs w:val="24"/>
          <w:highlight w:val="none"/>
        </w:rPr>
        <w:t>政府采购合同（合同编号）</w:t>
      </w:r>
    </w:p>
    <w:p w14:paraId="5A7605BA">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2"/>
          <w:highlight w:val="none"/>
        </w:rPr>
      </w:pPr>
    </w:p>
    <w:p w14:paraId="57A9E06C">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rPr>
        <w:t>项目名称：</w:t>
      </w:r>
      <w:r>
        <w:rPr>
          <w:rFonts w:hint="eastAsia" w:ascii="宋体" w:hAnsi="宋体"/>
          <w:color w:val="auto"/>
          <w:sz w:val="24"/>
          <w:szCs w:val="22"/>
          <w:highlight w:val="none"/>
          <w:lang w:eastAsia="zh-CN"/>
        </w:rPr>
        <w:t>盐城市公安局盐都分局交管力量数字化提升项目</w:t>
      </w:r>
    </w:p>
    <w:p w14:paraId="566DB4A8">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2"/>
          <w:highlight w:val="none"/>
        </w:rPr>
      </w:pPr>
      <w:r>
        <w:rPr>
          <w:rFonts w:hint="eastAsia" w:ascii="宋体" w:hAnsi="宋体" w:cs="宋体"/>
          <w:color w:val="auto"/>
          <w:sz w:val="24"/>
          <w:szCs w:val="22"/>
          <w:highlight w:val="none"/>
        </w:rPr>
        <w:t>项目编号：JSZC-320903-JCJS-G2026-0007</w:t>
      </w:r>
      <w:r>
        <w:rPr>
          <w:rFonts w:hint="eastAsia" w:ascii="宋体" w:hAnsi="宋体" w:cs="宋体"/>
          <w:color w:val="auto"/>
          <w:sz w:val="24"/>
          <w:szCs w:val="24"/>
          <w:highlight w:val="none"/>
        </w:rPr>
        <w:t xml:space="preserve">     </w:t>
      </w:r>
    </w:p>
    <w:p w14:paraId="189477A5">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甲方：盐城市公安局盐都分局</w:t>
      </w:r>
    </w:p>
    <w:p w14:paraId="4CC3BE67">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 </w:t>
      </w:r>
    </w:p>
    <w:p w14:paraId="04521603">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b/>
          <w:color w:val="auto"/>
          <w:sz w:val="24"/>
          <w:szCs w:val="24"/>
          <w:highlight w:val="none"/>
        </w:rPr>
      </w:pPr>
      <w:r>
        <w:rPr>
          <w:rFonts w:hint="eastAsia" w:ascii="宋体" w:hAnsi="宋体" w:cs="宋体"/>
          <w:color w:val="auto"/>
          <w:sz w:val="24"/>
          <w:szCs w:val="24"/>
          <w:highlight w:val="none"/>
        </w:rPr>
        <w:t>甲、乙双方根据</w:t>
      </w:r>
      <w:r>
        <w:rPr>
          <w:rFonts w:hint="eastAsia" w:ascii="Times New Roman" w:hAnsi="宋体"/>
          <w:color w:val="auto"/>
          <w:sz w:val="24"/>
          <w:szCs w:val="21"/>
          <w:highlight w:val="none"/>
          <w:lang w:eastAsia="zh-CN"/>
        </w:rPr>
        <w:t>盐城市公安局盐都分局交管力量数字化提升项目</w:t>
      </w:r>
      <w:r>
        <w:rPr>
          <w:rFonts w:hint="eastAsia" w:ascii="宋体" w:hAnsi="宋体" w:cs="宋体"/>
          <w:color w:val="auto"/>
          <w:sz w:val="24"/>
          <w:szCs w:val="24"/>
          <w:highlight w:val="none"/>
        </w:rPr>
        <w:t>公开招标的结果，签署本合同。</w:t>
      </w:r>
    </w:p>
    <w:p w14:paraId="38142963">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bookmarkStart w:id="170" w:name="_Toc22903"/>
      <w:bookmarkStart w:id="171" w:name="_Toc10523"/>
      <w:r>
        <w:rPr>
          <w:rFonts w:hint="eastAsia" w:ascii="宋体" w:hAnsi="宋体" w:cs="宋体"/>
          <w:b/>
          <w:color w:val="auto"/>
          <w:sz w:val="24"/>
          <w:szCs w:val="24"/>
          <w:highlight w:val="none"/>
        </w:rPr>
        <w:t>一、货物内容</w:t>
      </w:r>
      <w:bookmarkEnd w:id="170"/>
      <w:bookmarkEnd w:id="171"/>
    </w:p>
    <w:p w14:paraId="70F5BF3A">
      <w:pPr>
        <w:pStyle w:val="28"/>
        <w:keepNext w:val="0"/>
        <w:keepLines w:val="0"/>
        <w:pageBreakBefore w:val="0"/>
        <w:widowControl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产品/服务内容：</w:t>
      </w:r>
      <w:r>
        <w:rPr>
          <w:rFonts w:hint="eastAsia" w:ascii="宋体" w:hAnsi="宋体"/>
          <w:color w:val="auto"/>
          <w:sz w:val="24"/>
          <w:szCs w:val="22"/>
          <w:highlight w:val="none"/>
          <w:lang w:eastAsia="zh-CN"/>
        </w:rPr>
        <w:t>盐城市公安局盐都分局交管力量数字化提升项目</w:t>
      </w:r>
      <w:r>
        <w:rPr>
          <w:rFonts w:hint="eastAsia" w:ascii="宋体" w:hAnsi="宋体" w:cs="宋体"/>
          <w:color w:val="auto"/>
          <w:sz w:val="24"/>
          <w:szCs w:val="24"/>
          <w:highlight w:val="none"/>
          <w:lang w:eastAsia="zh-CN"/>
        </w:rPr>
        <w:t>。</w:t>
      </w:r>
    </w:p>
    <w:p w14:paraId="12C5C1F5">
      <w:pPr>
        <w:pStyle w:val="28"/>
        <w:keepNext w:val="0"/>
        <w:keepLines w:val="0"/>
        <w:pageBreakBefore w:val="0"/>
        <w:widowControl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宋体" w:hAnsi="宋体" w:cs="黑体"/>
          <w:color w:val="auto"/>
          <w:sz w:val="24"/>
          <w:szCs w:val="24"/>
          <w:highlight w:val="none"/>
        </w:rPr>
      </w:pPr>
      <w:r>
        <w:rPr>
          <w:rFonts w:hint="eastAsia" w:ascii="宋体" w:hAnsi="宋体" w:cs="黑体"/>
          <w:color w:val="auto"/>
          <w:sz w:val="24"/>
          <w:szCs w:val="24"/>
          <w:highlight w:val="none"/>
        </w:rPr>
        <w:t>2</w:t>
      </w:r>
      <w:r>
        <w:rPr>
          <w:rFonts w:hint="eastAsia" w:ascii="宋体" w:hAnsi="宋体" w:cs="黑体"/>
          <w:color w:val="auto"/>
          <w:sz w:val="24"/>
          <w:szCs w:val="24"/>
          <w:highlight w:val="none"/>
          <w:lang w:eastAsia="zh-CN"/>
        </w:rPr>
        <w:t>、</w:t>
      </w:r>
      <w:r>
        <w:rPr>
          <w:rFonts w:hint="eastAsia" w:ascii="宋体" w:hAnsi="宋体" w:cs="黑体"/>
          <w:color w:val="auto"/>
          <w:sz w:val="24"/>
          <w:szCs w:val="24"/>
          <w:highlight w:val="none"/>
        </w:rPr>
        <w:t>合同履行期限（工期）：合同签订后</w:t>
      </w:r>
      <w:r>
        <w:rPr>
          <w:rFonts w:hint="eastAsia" w:ascii="宋体" w:hAnsi="宋体" w:cs="黑体"/>
          <w:color w:val="auto"/>
          <w:sz w:val="24"/>
          <w:szCs w:val="24"/>
          <w:highlight w:val="none"/>
          <w:lang w:val="en-US" w:eastAsia="zh-CN"/>
        </w:rPr>
        <w:t>9</w:t>
      </w:r>
      <w:r>
        <w:rPr>
          <w:rFonts w:hint="eastAsia" w:ascii="宋体" w:hAnsi="宋体" w:cs="黑体"/>
          <w:color w:val="auto"/>
          <w:sz w:val="24"/>
          <w:szCs w:val="24"/>
          <w:highlight w:val="none"/>
        </w:rPr>
        <w:t>0日历天内必须完成供货并安装、调试，验收合格后交付</w:t>
      </w:r>
      <w:r>
        <w:rPr>
          <w:rFonts w:hint="eastAsia" w:ascii="宋体" w:hAnsi="宋体" w:cs="黑体"/>
          <w:color w:val="auto"/>
          <w:sz w:val="24"/>
          <w:szCs w:val="24"/>
          <w:highlight w:val="none"/>
          <w:lang w:val="en-US" w:eastAsia="zh-CN"/>
        </w:rPr>
        <w:t>甲方</w:t>
      </w:r>
      <w:r>
        <w:rPr>
          <w:rFonts w:hint="eastAsia" w:ascii="宋体" w:hAnsi="宋体" w:cs="黑体"/>
          <w:color w:val="auto"/>
          <w:sz w:val="24"/>
          <w:szCs w:val="24"/>
          <w:highlight w:val="none"/>
        </w:rPr>
        <w:t>使用。</w:t>
      </w:r>
    </w:p>
    <w:p w14:paraId="5562227F">
      <w:pPr>
        <w:pStyle w:val="28"/>
        <w:keepNext w:val="0"/>
        <w:keepLines w:val="0"/>
        <w:pageBreakBefore w:val="0"/>
        <w:widowControl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宋体" w:hAnsi="宋体" w:cs="黑体"/>
          <w:color w:val="auto"/>
          <w:sz w:val="24"/>
          <w:szCs w:val="24"/>
          <w:highlight w:val="none"/>
        </w:rPr>
      </w:pPr>
      <w:r>
        <w:rPr>
          <w:rFonts w:hint="eastAsia" w:ascii="宋体" w:hAnsi="宋体" w:cs="黑体"/>
          <w:color w:val="auto"/>
          <w:sz w:val="24"/>
          <w:szCs w:val="24"/>
          <w:highlight w:val="none"/>
        </w:rPr>
        <w:t>3</w:t>
      </w:r>
      <w:r>
        <w:rPr>
          <w:rFonts w:hint="eastAsia" w:ascii="宋体" w:hAnsi="宋体" w:cs="黑体"/>
          <w:color w:val="auto"/>
          <w:sz w:val="24"/>
          <w:szCs w:val="24"/>
          <w:highlight w:val="none"/>
          <w:lang w:eastAsia="zh-CN"/>
        </w:rPr>
        <w:t>、</w:t>
      </w:r>
      <w:r>
        <w:rPr>
          <w:rFonts w:hint="eastAsia" w:ascii="宋体" w:hAnsi="宋体" w:cs="黑体"/>
          <w:color w:val="auto"/>
          <w:sz w:val="24"/>
          <w:szCs w:val="24"/>
          <w:highlight w:val="none"/>
        </w:rPr>
        <w:t>补充条款：/</w:t>
      </w:r>
    </w:p>
    <w:p w14:paraId="264B17C3">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bookmarkStart w:id="172" w:name="_Toc28243"/>
      <w:bookmarkStart w:id="173" w:name="_Toc26546"/>
      <w:r>
        <w:rPr>
          <w:rFonts w:hint="eastAsia" w:ascii="宋体" w:hAnsi="宋体" w:cs="宋体"/>
          <w:b/>
          <w:color w:val="auto"/>
          <w:sz w:val="24"/>
          <w:szCs w:val="24"/>
          <w:highlight w:val="none"/>
        </w:rPr>
        <w:t>二、合同金额</w:t>
      </w:r>
      <w:bookmarkEnd w:id="172"/>
      <w:bookmarkEnd w:id="173"/>
    </w:p>
    <w:p w14:paraId="681B39DD">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本合同金额为人民币（大写）：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w:t>
      </w:r>
    </w:p>
    <w:p w14:paraId="7A32C95E">
      <w:pPr>
        <w:pStyle w:val="253"/>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eastAsia="zh-CN"/>
        </w:rPr>
        <w:t>、</w:t>
      </w:r>
      <w:r>
        <w:rPr>
          <w:rFonts w:hint="eastAsia" w:hAnsi="宋体" w:cs="宋体"/>
          <w:color w:val="auto"/>
          <w:sz w:val="24"/>
          <w:szCs w:val="24"/>
          <w:highlight w:val="none"/>
        </w:rPr>
        <w:t>上述金额是乙方对本次采购项目各项支付金额的总和。上述金额包括乙方为完成本次采购文件所确定的采购内容，包括（但不限于）：设备材料价格【含全套设备（包括主设备、配套设备、附件等）、管线、基础、支架及其它安装所需辅材、配件、备品备件、技术资料等】、软件价格（含设计、开发、优化、升级等）、直接和间接成本费、材料损耗费、大型机械进出场及安拆费、劳务费、竣工面的清洁费、垃圾清运费、包装费、运杂费（含运输费）、装卸费、调试（含试运行）费、系统集成费、保修费、保险费、配合费、安装费、检测费、技术（含操作、维护等）培训、维护、升级、保密及售后服务费、管理费、税金、利润、风险费、成品保护费、不可预见费及其他一切相关费用等所需的全部费用，凡漏项或少计均视为优惠，甲方不另行增加费用。各类风险和政策性调整等风险已包括在投标报价中，最终结算时除合同约定调整外一律不予调整。</w:t>
      </w:r>
    </w:p>
    <w:p w14:paraId="6AB9BF0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bookmarkStart w:id="174" w:name="_Toc32000"/>
      <w:bookmarkStart w:id="175" w:name="_Toc26109"/>
      <w:r>
        <w:rPr>
          <w:rFonts w:hint="eastAsia" w:ascii="宋体" w:hAnsi="宋体" w:cs="宋体"/>
          <w:b/>
          <w:color w:val="auto"/>
          <w:sz w:val="24"/>
          <w:szCs w:val="24"/>
          <w:highlight w:val="none"/>
        </w:rPr>
        <w:t>三、技术资料</w:t>
      </w:r>
      <w:bookmarkEnd w:id="174"/>
      <w:bookmarkEnd w:id="175"/>
    </w:p>
    <w:p w14:paraId="1A59CC3D">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乙方应按招标文件规定的时间向甲方提供有关技术资料。</w:t>
      </w:r>
    </w:p>
    <w:p w14:paraId="5096A7EA">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p>
    <w:p w14:paraId="529B138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bookmarkStart w:id="176" w:name="_Toc12568"/>
      <w:bookmarkStart w:id="177" w:name="_Toc2217"/>
      <w:r>
        <w:rPr>
          <w:rFonts w:hint="eastAsia" w:ascii="宋体" w:hAnsi="宋体" w:cs="宋体"/>
          <w:b/>
          <w:color w:val="auto"/>
          <w:sz w:val="24"/>
          <w:szCs w:val="24"/>
          <w:highlight w:val="none"/>
        </w:rPr>
        <w:t>四、知识产权</w:t>
      </w:r>
      <w:bookmarkEnd w:id="176"/>
      <w:bookmarkEnd w:id="177"/>
    </w:p>
    <w:p w14:paraId="595F875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bookmarkStart w:id="178" w:name="_Toc31486"/>
      <w:bookmarkStart w:id="179" w:name="_Toc1675"/>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w:t>
      </w:r>
      <w:r>
        <w:rPr>
          <w:rFonts w:hint="eastAsia" w:ascii="宋体" w:hAnsi="宋体" w:cs="宋体"/>
          <w:color w:val="auto"/>
          <w:sz w:val="24"/>
          <w:szCs w:val="24"/>
          <w:highlight w:val="none"/>
          <w:lang w:eastAsia="en-US"/>
        </w:rPr>
        <w:t>包括间接损失在内的</w:t>
      </w:r>
      <w:r>
        <w:rPr>
          <w:rFonts w:hint="eastAsia" w:ascii="宋体" w:hAnsi="宋体" w:cs="宋体"/>
          <w:color w:val="auto"/>
          <w:sz w:val="24"/>
          <w:szCs w:val="24"/>
          <w:highlight w:val="none"/>
        </w:rPr>
        <w:t>全部</w:t>
      </w:r>
      <w:r>
        <w:rPr>
          <w:rFonts w:hint="eastAsia" w:ascii="宋体" w:hAnsi="宋体" w:cs="宋体"/>
          <w:color w:val="auto"/>
          <w:sz w:val="24"/>
          <w:szCs w:val="24"/>
          <w:highlight w:val="none"/>
          <w:lang w:eastAsia="en-US"/>
        </w:rPr>
        <w:t>赔偿责任</w:t>
      </w:r>
      <w:r>
        <w:rPr>
          <w:rFonts w:hint="eastAsia" w:ascii="宋体" w:hAnsi="宋体" w:cs="宋体"/>
          <w:color w:val="auto"/>
          <w:sz w:val="24"/>
          <w:szCs w:val="24"/>
          <w:highlight w:val="none"/>
        </w:rPr>
        <w:t>。</w:t>
      </w:r>
    </w:p>
    <w:p w14:paraId="7035301A">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五、产权担保</w:t>
      </w:r>
      <w:bookmarkEnd w:id="178"/>
      <w:bookmarkEnd w:id="179"/>
    </w:p>
    <w:p w14:paraId="7DA5B4E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项目涉及的所有货物产权归乙方所有，且乙方保证所交付的货物无任何抵押、查封等产权瑕疵。</w:t>
      </w:r>
    </w:p>
    <w:p w14:paraId="5C97319D">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bookmarkStart w:id="180" w:name="_Toc4738"/>
      <w:bookmarkStart w:id="181" w:name="_Toc25624"/>
      <w:r>
        <w:rPr>
          <w:rFonts w:hint="eastAsia" w:ascii="宋体" w:hAnsi="宋体" w:cs="宋体"/>
          <w:b/>
          <w:color w:val="auto"/>
          <w:sz w:val="24"/>
          <w:szCs w:val="24"/>
          <w:highlight w:val="none"/>
        </w:rPr>
        <w:t>六、履约保证金</w:t>
      </w:r>
      <w:bookmarkEnd w:id="180"/>
      <w:bookmarkEnd w:id="181"/>
    </w:p>
    <w:p w14:paraId="105E860F">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乙方交纳人民币_____元作为本合同的履约保证金。（合同金额的5%，甲方对AA评级及以上政府采购供应商（需提供信用管理部门备案的第三方信用报告）减半收取履约保证金。</w:t>
      </w:r>
    </w:p>
    <w:p w14:paraId="43A3C6D9">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确需收取履约保证金的，履约保证金的缴纳形式：</w:t>
      </w:r>
    </w:p>
    <w:p w14:paraId="19418952">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6.2.1供应商应当以支票、汇票、本票或者金融机构、担保机构出具的保函等非现金形式提交履约保证金。依据《关于在全省政府采购领域推行电子履约保函（保险）的通知》，鼓励乙方自愿使用履约保函（保险）代替缴纳履约保证金）。</w:t>
      </w:r>
    </w:p>
    <w:p w14:paraId="02856C58">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2.2如以履约保函（保险）形式缴纳履约保证金，供应商可通过政府采购电子履约保函（保险）平台（www.jsdzbh.com）在线申请履约保函（保险）。</w:t>
      </w:r>
    </w:p>
    <w:p w14:paraId="0EBD4949">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Courier New"/>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合同履行结束后，甲方在验收合格后15日内退还交纳的履约保证金。</w:t>
      </w:r>
    </w:p>
    <w:p w14:paraId="6386D505">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履约保证金的退还：</w:t>
      </w:r>
    </w:p>
    <w:p w14:paraId="15281705">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4.1方式：无息退还至投标人缴纳履约保证金的账户。如为保函，在到期时自行失效。</w:t>
      </w:r>
    </w:p>
    <w:p w14:paraId="3158DE6F">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4.2时间：验收合格后15日内。</w:t>
      </w:r>
    </w:p>
    <w:p w14:paraId="1EA556F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4.3条件：按合同要求全部履约完成并经甲方验收合格。</w:t>
      </w:r>
    </w:p>
    <w:p w14:paraId="20906176">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4.4不予退还情形：</w:t>
      </w:r>
    </w:p>
    <w:p w14:paraId="46694F6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除不可抗力情况外，乙方出现下列情形之一的，其履约保证金，甲方将视情节决定不予退还或部分不予退还。</w:t>
      </w:r>
    </w:p>
    <w:p w14:paraId="1760DC78">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（1）乙方无正当理由拒绝签订合同的，或者在签订合同时向甲方提出附加条件或者更改合同实质性内容要求的；</w:t>
      </w:r>
    </w:p>
    <w:p w14:paraId="7DF5D3D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（2）乙方不履行与甲方订立的合同的；</w:t>
      </w:r>
    </w:p>
    <w:p w14:paraId="622BE0C0">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（3）乙方所供货物或服务或工程不符合招标文件规定要求的；</w:t>
      </w:r>
    </w:p>
    <w:p w14:paraId="5DF62ABD">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（4）乙方采取欺骗、弄虚作假方式投标的或与其他投标人串通投标的；</w:t>
      </w:r>
    </w:p>
    <w:p w14:paraId="305BD485">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（5）乙方将合同内容转包、违法分包的；</w:t>
      </w:r>
    </w:p>
    <w:p w14:paraId="2EB28778">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（6）乙方故意捏造事实或伪造证明材料，进行虚假恶意投诉或反映的。</w:t>
      </w:r>
    </w:p>
    <w:p w14:paraId="718DE5CC">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逾期退还的违约责任：甲方逾期无故未退还履约保证金的，按中国人民银行同期贷款基准利率上浮20%后的利率支付超期资金占用费，但因供应商自身原因导致无法及时退还的除外。</w:t>
      </w:r>
    </w:p>
    <w:p w14:paraId="38D8DBC7">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bookmarkStart w:id="182" w:name="_Toc25913"/>
      <w:bookmarkStart w:id="183" w:name="_Toc15133"/>
      <w:r>
        <w:rPr>
          <w:rFonts w:hint="eastAsia" w:ascii="宋体" w:hAnsi="宋体" w:cs="宋体"/>
          <w:b/>
          <w:color w:val="auto"/>
          <w:sz w:val="24"/>
          <w:szCs w:val="24"/>
          <w:highlight w:val="none"/>
        </w:rPr>
        <w:t>七、转包或分包</w:t>
      </w:r>
      <w:bookmarkEnd w:id="182"/>
      <w:bookmarkEnd w:id="183"/>
    </w:p>
    <w:p w14:paraId="32A61DC6">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本合同范围内产品或服务，应由乙方直接供应，不得转让他人供应；</w:t>
      </w:r>
    </w:p>
    <w:p w14:paraId="46193412">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除非得到甲方的书面同意，乙方不得部分分包给他人供应；</w:t>
      </w:r>
    </w:p>
    <w:p w14:paraId="0D57C9DC">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如有转让和未经甲方同意的分包行为，甲方有权给予终止合同。</w:t>
      </w:r>
    </w:p>
    <w:p w14:paraId="18016927">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default" w:ascii="宋体" w:hAnsi="宋体" w:eastAsia="宋体" w:cs="宋体"/>
          <w:b/>
          <w:color w:val="auto"/>
          <w:sz w:val="24"/>
          <w:szCs w:val="24"/>
          <w:highlight w:val="none"/>
          <w:lang w:val="en-US" w:eastAsia="zh-CN"/>
        </w:rPr>
      </w:pPr>
      <w:bookmarkStart w:id="184" w:name="_Toc2822"/>
      <w:bookmarkStart w:id="185" w:name="_Toc13032"/>
      <w:r>
        <w:rPr>
          <w:rFonts w:hint="eastAsia" w:ascii="宋体" w:hAnsi="宋体" w:cs="宋体"/>
          <w:b/>
          <w:color w:val="auto"/>
          <w:sz w:val="24"/>
          <w:szCs w:val="24"/>
          <w:highlight w:val="none"/>
        </w:rPr>
        <w:t>八、</w:t>
      </w:r>
      <w:bookmarkEnd w:id="184"/>
      <w:bookmarkEnd w:id="185"/>
      <w:r>
        <w:rPr>
          <w:rFonts w:hint="eastAsia" w:ascii="宋体" w:hAnsi="宋体" w:cs="宋体"/>
          <w:b/>
          <w:color w:val="auto"/>
          <w:sz w:val="24"/>
          <w:szCs w:val="24"/>
          <w:highlight w:val="none"/>
        </w:rPr>
        <w:t>质保期</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驻场服务（如投标承诺）</w:t>
      </w:r>
    </w:p>
    <w:p w14:paraId="05EDCA2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质保期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年。（自交货验收合格之日起计）</w:t>
      </w:r>
    </w:p>
    <w:p w14:paraId="138C7955">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2、乙方安排一名运维人员（本科及以上学历，具有智能化或信息工程工作经验）提供驻场服务，该服务人员接受交管部门的工作安排，与区公安交管部门同步上班考勤。运维人员驻场时间：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日 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日。</w:t>
      </w:r>
    </w:p>
    <w:p w14:paraId="2FDB5842">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bookmarkStart w:id="186" w:name="_Toc14479"/>
      <w:bookmarkStart w:id="187" w:name="_Toc15184"/>
      <w:r>
        <w:rPr>
          <w:rFonts w:hint="eastAsia" w:ascii="宋体" w:hAnsi="宋体" w:cs="宋体"/>
          <w:b/>
          <w:color w:val="auto"/>
          <w:sz w:val="24"/>
          <w:szCs w:val="24"/>
          <w:highlight w:val="none"/>
        </w:rPr>
        <w:t>九、工期、交付方式及交付地点</w:t>
      </w:r>
      <w:bookmarkEnd w:id="186"/>
      <w:bookmarkEnd w:id="187"/>
    </w:p>
    <w:p w14:paraId="5BE8C773">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工期：</w:t>
      </w:r>
      <w:r>
        <w:rPr>
          <w:rFonts w:hint="eastAsia" w:ascii="宋体" w:hAnsi="宋体" w:cs="宋体"/>
          <w:color w:val="auto"/>
          <w:sz w:val="24"/>
          <w:szCs w:val="24"/>
          <w:highlight w:val="none"/>
          <w:u w:val="single"/>
        </w:rPr>
        <w:t>合同签订后</w:t>
      </w:r>
      <w:r>
        <w:rPr>
          <w:rFonts w:hint="eastAsia" w:ascii="宋体" w:hAnsi="宋体" w:cs="宋体"/>
          <w:color w:val="auto"/>
          <w:sz w:val="24"/>
          <w:szCs w:val="24"/>
          <w:highlight w:val="none"/>
          <w:u w:val="single"/>
          <w:lang w:val="en-US" w:eastAsia="zh-CN"/>
        </w:rPr>
        <w:t>90</w:t>
      </w:r>
      <w:r>
        <w:rPr>
          <w:rFonts w:hint="eastAsia" w:ascii="宋体" w:hAnsi="宋体" w:cs="宋体"/>
          <w:color w:val="auto"/>
          <w:sz w:val="24"/>
          <w:szCs w:val="24"/>
          <w:highlight w:val="none"/>
          <w:u w:val="single"/>
        </w:rPr>
        <w:t>日历天内必须完成供货并安装、调试，验收合格后交付甲方使用。</w:t>
      </w:r>
    </w:p>
    <w:p w14:paraId="4570FE84">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交付方式：</w:t>
      </w:r>
      <w:r>
        <w:rPr>
          <w:rFonts w:hint="eastAsia" w:ascii="宋体" w:hAnsi="宋体" w:cs="宋体"/>
          <w:color w:val="auto"/>
          <w:sz w:val="24"/>
          <w:szCs w:val="24"/>
          <w:highlight w:val="none"/>
          <w:u w:val="single"/>
        </w:rPr>
        <w:t>送货到甲方指定地点并安装调试</w:t>
      </w:r>
      <w:r>
        <w:rPr>
          <w:rFonts w:hint="eastAsia" w:ascii="宋体" w:hAnsi="宋体" w:cs="宋体"/>
          <w:color w:val="auto"/>
          <w:sz w:val="24"/>
          <w:szCs w:val="24"/>
          <w:highlight w:val="none"/>
        </w:rPr>
        <w:t>。</w:t>
      </w:r>
    </w:p>
    <w:p w14:paraId="4D3DFFA9">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b/>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交付地点：</w:t>
      </w:r>
      <w:r>
        <w:rPr>
          <w:rFonts w:hint="eastAsia" w:ascii="宋体" w:hAnsi="宋体" w:cs="宋体"/>
          <w:color w:val="auto"/>
          <w:sz w:val="24"/>
          <w:szCs w:val="24"/>
          <w:highlight w:val="none"/>
          <w:u w:val="single"/>
        </w:rPr>
        <w:t>按甲方指定地点</w:t>
      </w:r>
      <w:r>
        <w:rPr>
          <w:rFonts w:hint="eastAsia" w:ascii="宋体" w:hAnsi="宋体" w:cs="宋体"/>
          <w:color w:val="auto"/>
          <w:sz w:val="24"/>
          <w:szCs w:val="24"/>
          <w:highlight w:val="none"/>
        </w:rPr>
        <w:t>。</w:t>
      </w:r>
    </w:p>
    <w:p w14:paraId="7347D594">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default" w:ascii="宋体" w:hAnsi="宋体" w:eastAsia="宋体" w:cs="宋体"/>
          <w:b/>
          <w:color w:val="auto"/>
          <w:sz w:val="24"/>
          <w:szCs w:val="24"/>
          <w:highlight w:val="none"/>
          <w:lang w:val="en-US" w:eastAsia="zh-CN"/>
        </w:rPr>
      </w:pPr>
      <w:bookmarkStart w:id="188" w:name="_Toc17303"/>
      <w:bookmarkStart w:id="189" w:name="_Toc17645"/>
      <w:r>
        <w:rPr>
          <w:rFonts w:hint="eastAsia" w:ascii="宋体" w:hAnsi="宋体" w:cs="宋体"/>
          <w:b/>
          <w:color w:val="auto"/>
          <w:sz w:val="24"/>
          <w:szCs w:val="24"/>
          <w:highlight w:val="none"/>
        </w:rPr>
        <w:t>十、</w:t>
      </w:r>
      <w:bookmarkEnd w:id="188"/>
      <w:bookmarkEnd w:id="189"/>
      <w:r>
        <w:rPr>
          <w:rFonts w:hint="eastAsia" w:ascii="宋体" w:hAnsi="宋体" w:cs="宋体"/>
          <w:b/>
          <w:color w:val="auto"/>
          <w:sz w:val="24"/>
          <w:szCs w:val="24"/>
          <w:highlight w:val="none"/>
          <w:lang w:val="en-US" w:eastAsia="zh-CN"/>
        </w:rPr>
        <w:t>合同款支付</w:t>
      </w:r>
    </w:p>
    <w:p w14:paraId="0BE53145">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rPr>
          <w:rFonts w:hint="eastAsia" w:ascii="宋体" w:hAnsi="宋体" w:cs="宋体"/>
          <w:b/>
          <w:color w:val="auto"/>
          <w:sz w:val="24"/>
          <w:szCs w:val="24"/>
          <w:highlight w:val="none"/>
          <w:u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付款方式：</w:t>
      </w:r>
      <w:r>
        <w:rPr>
          <w:rFonts w:hint="eastAsia" w:ascii="宋体" w:hAnsi="宋体" w:cs="宋体"/>
          <w:b/>
          <w:color w:val="auto"/>
          <w:sz w:val="24"/>
          <w:szCs w:val="24"/>
          <w:highlight w:val="none"/>
          <w:u w:val="none"/>
        </w:rPr>
        <w:t>合同签订且承包人进场7日后，发包人支付合同价的30%作为预付款；</w:t>
      </w:r>
    </w:p>
    <w:p w14:paraId="0EDF65C0">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rPr>
          <w:rFonts w:hint="eastAsia" w:ascii="宋体" w:hAnsi="宋体" w:cs="宋体"/>
          <w:b/>
          <w:color w:val="auto"/>
          <w:sz w:val="24"/>
          <w:szCs w:val="24"/>
          <w:highlight w:val="none"/>
          <w:u w:val="none"/>
        </w:rPr>
      </w:pPr>
      <w:r>
        <w:rPr>
          <w:rFonts w:hint="eastAsia" w:ascii="宋体" w:hAnsi="宋体" w:cs="宋体"/>
          <w:b/>
          <w:color w:val="auto"/>
          <w:sz w:val="24"/>
          <w:szCs w:val="24"/>
          <w:highlight w:val="none"/>
          <w:u w:val="none"/>
          <w:lang w:val="en-US" w:eastAsia="zh-CN"/>
        </w:rPr>
        <w:t>项目</w:t>
      </w:r>
      <w:r>
        <w:rPr>
          <w:rFonts w:hint="eastAsia" w:ascii="宋体" w:hAnsi="宋体" w:cs="宋体"/>
          <w:b/>
          <w:color w:val="auto"/>
          <w:sz w:val="24"/>
          <w:szCs w:val="24"/>
          <w:highlight w:val="none"/>
          <w:u w:val="none"/>
        </w:rPr>
        <w:t>竣工验收合格后，付至合同价的70%，完成审计后付至审计价的80%。</w:t>
      </w:r>
    </w:p>
    <w:p w14:paraId="778926B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rPr>
          <w:rFonts w:hint="eastAsia" w:ascii="宋体" w:hAnsi="宋体" w:cs="宋体"/>
          <w:b/>
          <w:color w:val="auto"/>
          <w:sz w:val="24"/>
          <w:szCs w:val="24"/>
          <w:highlight w:val="none"/>
          <w:u w:val="none"/>
        </w:rPr>
      </w:pPr>
      <w:r>
        <w:rPr>
          <w:rFonts w:hint="eastAsia" w:ascii="宋体" w:hAnsi="宋体" w:cs="宋体"/>
          <w:b/>
          <w:color w:val="auto"/>
          <w:sz w:val="24"/>
          <w:szCs w:val="24"/>
          <w:highlight w:val="none"/>
          <w:u w:val="none"/>
        </w:rPr>
        <w:t>如有二审，在一审后的第二年完成二审的，于年底付至审定价的97%；如无二审，则在一审后的第二年年底付至审定价的97%。同时发包人无息退还履约保证金（但考核扣款除外）。</w:t>
      </w:r>
    </w:p>
    <w:p w14:paraId="5ABFB899">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rPr>
          <w:rFonts w:hint="eastAsia" w:ascii="宋体" w:hAnsi="宋体" w:cs="宋体"/>
          <w:b/>
          <w:color w:val="auto"/>
          <w:sz w:val="24"/>
          <w:szCs w:val="24"/>
          <w:highlight w:val="none"/>
          <w:u w:val="none"/>
        </w:rPr>
      </w:pPr>
      <w:r>
        <w:rPr>
          <w:rFonts w:hint="eastAsia" w:ascii="宋体" w:hAnsi="宋体" w:cs="宋体"/>
          <w:b/>
          <w:color w:val="auto"/>
          <w:sz w:val="24"/>
          <w:szCs w:val="24"/>
          <w:highlight w:val="none"/>
          <w:u w:val="none"/>
        </w:rPr>
        <w:t>余款3%作质保金，验收合格满3年且无质量问题付清余款（如乙方在投标时承诺提供质保期的，则按乙方承诺质保</w:t>
      </w:r>
      <w:r>
        <w:rPr>
          <w:rFonts w:hint="eastAsia" w:hAnsi="宋体" w:cs="宋体"/>
          <w:b/>
          <w:color w:val="auto"/>
          <w:sz w:val="24"/>
          <w:szCs w:val="24"/>
          <w:highlight w:val="none"/>
          <w:u w:val="none"/>
          <w:lang w:val="en-US" w:eastAsia="zh-CN"/>
        </w:rPr>
        <w:t>期</w:t>
      </w:r>
      <w:r>
        <w:rPr>
          <w:rFonts w:hint="eastAsia" w:ascii="宋体" w:hAnsi="宋体" w:cs="宋体"/>
          <w:b/>
          <w:color w:val="auto"/>
          <w:sz w:val="24"/>
          <w:szCs w:val="24"/>
          <w:highlight w:val="none"/>
          <w:u w:val="none"/>
        </w:rPr>
        <w:t>执行）。</w:t>
      </w:r>
    </w:p>
    <w:p w14:paraId="2F52E2B0">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注：1、对于满足合同约定支付条件的，</w:t>
      </w:r>
      <w:r>
        <w:rPr>
          <w:rFonts w:hint="eastAsia" w:ascii="宋体" w:hAnsi="宋体" w:cs="黑体"/>
          <w:color w:val="auto"/>
          <w:sz w:val="24"/>
          <w:szCs w:val="24"/>
          <w:highlight w:val="none"/>
          <w:lang w:val="en-US" w:eastAsia="zh-CN"/>
        </w:rPr>
        <w:t>甲方</w:t>
      </w:r>
      <w:r>
        <w:rPr>
          <w:rFonts w:hint="eastAsia" w:ascii="宋体" w:hAnsi="宋体" w:cs="宋体"/>
          <w:color w:val="auto"/>
          <w:sz w:val="24"/>
          <w:szCs w:val="24"/>
          <w:highlight w:val="none"/>
        </w:rPr>
        <w:t>应当自收到发票后10个工作日内将资金支付到合同约定的供应商账户。</w:t>
      </w:r>
    </w:p>
    <w:p w14:paraId="06F14EC7">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2、以上付款均不计任何利息和相关费用。</w:t>
      </w:r>
    </w:p>
    <w:p w14:paraId="05FF0D14">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当采购数量与实际使用数量不一致时，按实际使用量乘以成交单价进行计算。如由于工程量清单有误或设计变更等非乙方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乙方提出增加部分的工程量或减少后剩余部分的工程量的综合单价调整意见，经甲方确认后作为结算的依据。</w:t>
      </w:r>
    </w:p>
    <w:p w14:paraId="7E651080">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bookmarkStart w:id="190" w:name="_Toc25925"/>
      <w:bookmarkStart w:id="191" w:name="_Toc6666"/>
      <w:r>
        <w:rPr>
          <w:rFonts w:hint="eastAsia" w:ascii="宋体" w:hAnsi="宋体" w:cs="宋体"/>
          <w:b/>
          <w:color w:val="auto"/>
          <w:sz w:val="24"/>
          <w:szCs w:val="24"/>
          <w:highlight w:val="none"/>
        </w:rPr>
        <w:t>十一、税费</w:t>
      </w:r>
      <w:bookmarkEnd w:id="190"/>
      <w:bookmarkEnd w:id="191"/>
    </w:p>
    <w:p w14:paraId="44224B92">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本合同执行中相关的一切税费均由乙方负担。</w:t>
      </w:r>
    </w:p>
    <w:p w14:paraId="2405C085">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color w:val="auto"/>
          <w:sz w:val="24"/>
          <w:szCs w:val="24"/>
          <w:highlight w:val="none"/>
        </w:rPr>
      </w:pPr>
      <w:bookmarkStart w:id="192" w:name="_Toc30086"/>
      <w:bookmarkStart w:id="193" w:name="_Toc32475"/>
      <w:r>
        <w:rPr>
          <w:rFonts w:hint="eastAsia" w:ascii="宋体" w:hAnsi="宋体" w:cs="宋体"/>
          <w:b/>
          <w:color w:val="auto"/>
          <w:sz w:val="24"/>
          <w:szCs w:val="24"/>
          <w:highlight w:val="none"/>
        </w:rPr>
        <w:t>十二、质量保证及售后服务</w:t>
      </w:r>
      <w:bookmarkEnd w:id="192"/>
      <w:bookmarkEnd w:id="193"/>
    </w:p>
    <w:p w14:paraId="4E5E1BB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乙方应按招标文件规定的货物性能、技术要求、质量标准向甲方提供未经使用的全新产品。</w:t>
      </w:r>
    </w:p>
    <w:p w14:paraId="49E9B925">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乙方提供的货物在质保期内因货物本身的质量问题发生故障，乙方应负责免费更换。对达不到技术要求者，根据实际情况，经双方协商，可按以下办法处理：</w:t>
      </w:r>
    </w:p>
    <w:p w14:paraId="13C2CF9A">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（1）更换：由乙方承担所发生的全部费用。</w:t>
      </w:r>
    </w:p>
    <w:p w14:paraId="6F148B2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（2）贬值处理：由甲乙双方合议定价。</w:t>
      </w:r>
    </w:p>
    <w:p w14:paraId="599B16D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（3）退货处理：乙方应退还甲方支付的合同款，同时应承担该货物的直接费用（运输、保险、检验、贷款利息及银行手续费等）。</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p>
    <w:p w14:paraId="0D31FF88">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bookmarkStart w:id="194" w:name="_Toc8549"/>
      <w:bookmarkStart w:id="195" w:name="_Toc137"/>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如在使用过程中发生质量问题，乙方在接到甲方通知后在30分钟以内响应，120分钟内到达现场。</w:t>
      </w:r>
      <w:r>
        <w:rPr>
          <w:rFonts w:hint="eastAsia" w:ascii="宋体" w:hAnsi="宋体" w:cs="宋体"/>
          <w:color w:val="auto"/>
          <w:sz w:val="24"/>
          <w:szCs w:val="24"/>
          <w:highlight w:val="none"/>
          <w:lang w:eastAsia="zh-CN"/>
        </w:rPr>
        <w:t>维护人员</w:t>
      </w:r>
      <w:r>
        <w:rPr>
          <w:rFonts w:hint="eastAsia" w:ascii="宋体" w:hAnsi="宋体" w:cs="宋体"/>
          <w:color w:val="auto"/>
          <w:sz w:val="24"/>
          <w:szCs w:val="24"/>
          <w:highlight w:val="none"/>
        </w:rPr>
        <w:t>自接到故障报修时间起，故障修复时限为24小时。24小时不能修复的障碍需提前向甲方监管部门说明情况，双方共同商定修复时限。</w:t>
      </w:r>
    </w:p>
    <w:p w14:paraId="4B2A0B5E">
      <w:pPr>
        <w:pStyle w:val="253"/>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hAnsi="宋体" w:cs="宋体"/>
          <w:color w:val="auto"/>
          <w:sz w:val="24"/>
          <w:szCs w:val="24"/>
          <w:highlight w:val="none"/>
        </w:rPr>
      </w:pPr>
      <w:r>
        <w:rPr>
          <w:rFonts w:hint="eastAsia" w:hAnsi="宋体" w:cs="宋体"/>
          <w:color w:val="auto"/>
          <w:sz w:val="24"/>
          <w:szCs w:val="24"/>
          <w:highlight w:val="none"/>
        </w:rPr>
        <w:t>4</w:t>
      </w:r>
      <w:r>
        <w:rPr>
          <w:rFonts w:hint="eastAsia" w:hAnsi="宋体" w:cs="宋体"/>
          <w:color w:val="auto"/>
          <w:sz w:val="24"/>
          <w:szCs w:val="24"/>
          <w:highlight w:val="none"/>
          <w:lang w:eastAsia="zh-CN"/>
        </w:rPr>
        <w:t>、</w:t>
      </w:r>
      <w:r>
        <w:rPr>
          <w:rFonts w:hint="eastAsia" w:hAnsi="宋体" w:cs="宋体"/>
          <w:color w:val="auto"/>
          <w:sz w:val="24"/>
          <w:szCs w:val="24"/>
          <w:highlight w:val="none"/>
        </w:rPr>
        <w:t>在质保期内，乙方应对货物出现的质量及安全问题负责处理解决并承担一切费用。</w:t>
      </w:r>
    </w:p>
    <w:p w14:paraId="20B43D26">
      <w:pPr>
        <w:pStyle w:val="253"/>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hAnsi="宋体" w:cs="宋体"/>
          <w:color w:val="auto"/>
          <w:sz w:val="24"/>
          <w:szCs w:val="24"/>
          <w:highlight w:val="none"/>
        </w:rPr>
      </w:pPr>
      <w:r>
        <w:rPr>
          <w:rFonts w:hint="eastAsia" w:hAnsi="宋体" w:cs="宋体"/>
          <w:color w:val="auto"/>
          <w:sz w:val="24"/>
          <w:szCs w:val="24"/>
          <w:highlight w:val="none"/>
        </w:rPr>
        <w:t>5</w:t>
      </w:r>
      <w:r>
        <w:rPr>
          <w:rFonts w:hint="eastAsia" w:hAnsi="宋体" w:cs="宋体"/>
          <w:color w:val="auto"/>
          <w:sz w:val="24"/>
          <w:szCs w:val="24"/>
          <w:highlight w:val="none"/>
          <w:lang w:eastAsia="zh-CN"/>
        </w:rPr>
        <w:t>、</w:t>
      </w:r>
      <w:r>
        <w:rPr>
          <w:rFonts w:hint="eastAsia" w:hAnsi="宋体" w:cs="宋体"/>
          <w:color w:val="auto"/>
          <w:sz w:val="24"/>
          <w:szCs w:val="24"/>
          <w:highlight w:val="none"/>
        </w:rPr>
        <w:t>免费保修期内因人为因素出现的故障不在免费保修范围内。超过保修期的机器设备，终身维修，维修时只收部件成本费。</w:t>
      </w:r>
    </w:p>
    <w:p w14:paraId="1A39CF04">
      <w:pPr>
        <w:pStyle w:val="253"/>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hAnsi="宋体" w:cs="宋体"/>
          <w:color w:val="auto"/>
          <w:sz w:val="24"/>
          <w:szCs w:val="24"/>
          <w:highlight w:val="none"/>
        </w:rPr>
      </w:pPr>
      <w:r>
        <w:rPr>
          <w:rFonts w:hint="eastAsia" w:hAnsi="宋体" w:cs="宋体"/>
          <w:color w:val="auto"/>
          <w:sz w:val="24"/>
          <w:szCs w:val="24"/>
          <w:highlight w:val="none"/>
        </w:rPr>
        <w:t>6</w:t>
      </w:r>
      <w:r>
        <w:rPr>
          <w:rFonts w:hint="eastAsia" w:hAnsi="宋体" w:cs="宋体"/>
          <w:color w:val="auto"/>
          <w:sz w:val="24"/>
          <w:szCs w:val="24"/>
          <w:highlight w:val="none"/>
          <w:lang w:eastAsia="zh-CN"/>
        </w:rPr>
        <w:t>、</w:t>
      </w:r>
      <w:r>
        <w:rPr>
          <w:rFonts w:hint="eastAsia" w:hAnsi="宋体" w:cs="宋体"/>
          <w:color w:val="auto"/>
          <w:sz w:val="24"/>
          <w:szCs w:val="24"/>
          <w:highlight w:val="none"/>
        </w:rPr>
        <w:t>乙方在供货前须提供技术参数中要求的检测报告原件（或未经修改的彩色照片影印件）技术资料等供甲方核验，若乙方在供货前不能提供下列资料或提供不全的，甲方有权根据设计及功能需求，指定生产厂家直接供货，设备费用按生产厂家供货价直接从乙方合同价款中扣除，并对乙方处以该项设备生产厂家供货价款的2倍金额的罚金。</w:t>
      </w:r>
    </w:p>
    <w:p w14:paraId="2D43A9E6">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十三、调试和验收</w:t>
      </w:r>
      <w:bookmarkEnd w:id="194"/>
      <w:bookmarkEnd w:id="195"/>
    </w:p>
    <w:p w14:paraId="07E6694C">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bookmarkStart w:id="196" w:name="_Hlk195779991"/>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方对乙方提交的货物依据招标文件上的技术规格要求和国家有关质量标准进行现场初步验收，外观、说明书符合招标文件技术要求的，给予签收，初步验收不合格的可不予签收。货到后，甲方需在五个工作日内验收。</w:t>
      </w:r>
    </w:p>
    <w:p w14:paraId="34F5C19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乙方交货前应对产品作出全面检查和对验收文件进行整理，并列出清单，作为甲方收货验收和使用的技术条件依据，检验的结果应随货物交甲方。</w:t>
      </w:r>
    </w:p>
    <w:p w14:paraId="5F7652DD">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甲方对乙方提供的货物在使用前进行调试时，乙方须负责安装并培训甲方的使用操作人员，并协助甲方一起调试，直到符合技术要求，甲方才做最终验收。</w:t>
      </w:r>
    </w:p>
    <w:p w14:paraId="3C8B64D4">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对技术复杂的货物，甲方可请国家认可的专业检测机构参与初步验收及最终验收，并由其出具质量检测报告。</w:t>
      </w:r>
    </w:p>
    <w:p w14:paraId="62A102B9">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验收</w:t>
      </w:r>
    </w:p>
    <w:p w14:paraId="0C52BF3E">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5.1验收标准要求：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p>
    <w:p w14:paraId="76F0D05A">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5.2项目验收流程：全部货物送达约定的安装地点安装并调试完成后，所有前端点位在线率和合格率达98%，后台录像存储有效率达100%，软件应用全部符合招标需求。</w:t>
      </w:r>
    </w:p>
    <w:p w14:paraId="2FA7C833">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5.3项目检测要求：甲方</w:t>
      </w:r>
      <w:r>
        <w:rPr>
          <w:rFonts w:hint="eastAsia" w:ascii="宋体" w:hAnsi="宋体" w:cs="宋体"/>
          <w:b w:val="0"/>
          <w:bCs/>
          <w:color w:val="auto"/>
          <w:sz w:val="24"/>
          <w:szCs w:val="24"/>
          <w:highlight w:val="none"/>
          <w:lang w:val="en-US" w:eastAsia="zh-CN"/>
        </w:rPr>
        <w:t>有权</w:t>
      </w:r>
      <w:r>
        <w:rPr>
          <w:rFonts w:hint="eastAsia" w:ascii="宋体" w:hAnsi="宋体" w:cs="宋体"/>
          <w:b w:val="0"/>
          <w:bCs/>
          <w:color w:val="auto"/>
          <w:sz w:val="24"/>
          <w:szCs w:val="24"/>
          <w:highlight w:val="none"/>
        </w:rPr>
        <w:t>聘请专业检测机构参与验收，并按照</w:t>
      </w:r>
      <w:r>
        <w:rPr>
          <w:rFonts w:hint="eastAsia" w:ascii="宋体" w:hAnsi="宋体" w:cs="宋体"/>
          <w:b w:val="0"/>
          <w:bCs/>
          <w:color w:val="auto"/>
          <w:sz w:val="24"/>
          <w:szCs w:val="24"/>
          <w:highlight w:val="none"/>
          <w:lang w:val="en-US" w:eastAsia="zh-CN"/>
        </w:rPr>
        <w:t>上述</w:t>
      </w:r>
      <w:r>
        <w:rPr>
          <w:rFonts w:hint="eastAsia" w:ascii="宋体" w:hAnsi="宋体" w:cs="宋体"/>
          <w:b w:val="0"/>
          <w:bCs/>
          <w:color w:val="auto"/>
          <w:sz w:val="24"/>
          <w:szCs w:val="24"/>
          <w:highlight w:val="none"/>
        </w:rPr>
        <w:t>5.1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5%的费用。</w:t>
      </w:r>
      <w:bookmarkEnd w:id="196"/>
    </w:p>
    <w:p w14:paraId="05B3FDE6">
      <w:pPr>
        <w:keepNext w:val="0"/>
        <w:keepLines w:val="0"/>
        <w:pageBreakBefore w:val="0"/>
        <w:widowControl w:val="0"/>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十四、货物包装、发运及运输</w:t>
      </w:r>
    </w:p>
    <w:p w14:paraId="40204C42">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乙方应在货物发运前对其进行满足运输距离、防潮、防震、防锈和防破损装卸等要求包装，以保证货物安全运达甲方指定地点。</w:t>
      </w:r>
    </w:p>
    <w:p w14:paraId="7619FC84">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使用说明书、质量检验证明书、随配附件和工具以及清单一并附于货物内。</w:t>
      </w:r>
    </w:p>
    <w:p w14:paraId="2C52DE4A">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乙方在货物发运手续办理完毕后24小时内或货到甲方48小时前通知甲方，以准备接货。</w:t>
      </w:r>
    </w:p>
    <w:p w14:paraId="127437B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货物在交付甲方前发生的风险均由乙方负责。</w:t>
      </w:r>
    </w:p>
    <w:p w14:paraId="56358BC0">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货物在规定的交付期限内由乙方送达甲方指定的地点视为交付，乙方同时需通知甲方货物已送达。</w:t>
      </w:r>
    </w:p>
    <w:p w14:paraId="6444BC54">
      <w:pPr>
        <w:keepNext w:val="0"/>
        <w:keepLines w:val="0"/>
        <w:pageBreakBefore w:val="0"/>
        <w:widowControl w:val="0"/>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十五、违约责任</w:t>
      </w:r>
    </w:p>
    <w:p w14:paraId="6423F216">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甲方无正当理由拒收货物的，甲方向乙方偿付拒收货款总值的百分之五违约金。</w:t>
      </w:r>
    </w:p>
    <w:p w14:paraId="357FE89E">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甲方无故逾期验收和办理货款支付手续的,甲方应按逾期付款总额每日万分之五向乙方支付违约金。</w:t>
      </w:r>
    </w:p>
    <w:p w14:paraId="5B05AFF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如因乙方自身施工组织问题造成工期逾期的，每逾期</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天，从合同款中扣除2000元，逾期时间如超过</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天，每逾期</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天，从合同款中扣除5000元，逾期</w:t>
      </w:r>
      <w:r>
        <w:rPr>
          <w:rFonts w:hint="eastAsia" w:ascii="宋体" w:hAnsi="宋体" w:cs="宋体"/>
          <w:color w:val="auto"/>
          <w:sz w:val="24"/>
          <w:szCs w:val="24"/>
          <w:highlight w:val="none"/>
          <w:lang w:val="en-US" w:eastAsia="zh-CN"/>
        </w:rPr>
        <w:t>15天及</w:t>
      </w:r>
      <w:r>
        <w:rPr>
          <w:rFonts w:hint="eastAsia" w:ascii="宋体" w:hAnsi="宋体" w:cs="宋体"/>
          <w:color w:val="auto"/>
          <w:sz w:val="24"/>
          <w:szCs w:val="24"/>
          <w:highlight w:val="none"/>
        </w:rPr>
        <w:t>以上，甲方有权解除合同，一切损失由乙方承担。（工期逾期处罚款项在审计时直接扣除）</w:t>
      </w:r>
    </w:p>
    <w:p w14:paraId="3EA324B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所交的产品或服务品种、型号、规格、技术参数、质量不符合合同规定及招标文件规定标准的，甲方有权拒收，乙方愿意更换但逾期交付的，按乙方逾期交付处理。乙方拒绝更换货物的，甲方可单方面解除合同。</w:t>
      </w:r>
    </w:p>
    <w:p w14:paraId="4C482F64">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本项目设备在实施过程中如发现存在私自变更设备品牌、参数的，立即解除合同，已完工程量不予结算。</w:t>
      </w:r>
    </w:p>
    <w:p w14:paraId="60A94A2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因乙方投标时虚报设备技术参数、功能，导致甲方在实际运用中发现所供产品设备不符合本次招标要求，实际技术参数与招标文件的技术参数不一致、产生负偏离的,甲方退回所有设备，乙方必须无条件更换符合或优于招标文件技术参数要求的产品保证相关点位正常运行，甲方在乙方费用中扣除本设备投标总价的五倍费用。</w:t>
      </w:r>
    </w:p>
    <w:p w14:paraId="5B8DA34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甲方检查发现乙方施工过程中光缆、电源线未按甲方规定要求布放的，甲方不予验收。</w:t>
      </w:r>
    </w:p>
    <w:p w14:paraId="1118F46C">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default" w:ascii="宋体" w:hAnsi="宋体" w:eastAsia="宋体" w:cs="宋体"/>
          <w:b/>
          <w:color w:val="auto"/>
          <w:sz w:val="24"/>
          <w:szCs w:val="24"/>
          <w:u w:val="none" w:color="auto"/>
          <w:lang w:val="en-US" w:eastAsia="zh-CN" w:bidi="ar-SA"/>
        </w:rPr>
        <w:t>十</w:t>
      </w:r>
      <w:r>
        <w:rPr>
          <w:rFonts w:hint="eastAsia" w:ascii="宋体" w:hAnsi="宋体" w:cs="宋体"/>
          <w:b/>
          <w:color w:val="auto"/>
          <w:sz w:val="24"/>
          <w:szCs w:val="24"/>
          <w:u w:val="none" w:color="auto"/>
          <w:lang w:val="en-US" w:eastAsia="zh-CN" w:bidi="ar-SA"/>
        </w:rPr>
        <w:t>六</w:t>
      </w:r>
      <w:r>
        <w:rPr>
          <w:rFonts w:hint="default" w:ascii="宋体" w:hAnsi="宋体" w:eastAsia="宋体" w:cs="宋体"/>
          <w:b/>
          <w:color w:val="auto"/>
          <w:sz w:val="24"/>
          <w:szCs w:val="24"/>
          <w:u w:val="none" w:color="auto"/>
          <w:lang w:val="en-US" w:eastAsia="zh-CN" w:bidi="ar-SA"/>
        </w:rPr>
        <w:t>、</w:t>
      </w:r>
      <w:r>
        <w:rPr>
          <w:rFonts w:hint="eastAsia" w:ascii="宋体" w:hAnsi="宋体" w:cs="宋体"/>
          <w:b/>
          <w:color w:val="auto"/>
          <w:sz w:val="24"/>
          <w:szCs w:val="24"/>
          <w:highlight w:val="none"/>
        </w:rPr>
        <w:t>售后服务与技术支持</w:t>
      </w:r>
    </w:p>
    <w:p w14:paraId="249A8009">
      <w:pPr>
        <w:keepNext w:val="0"/>
        <w:keepLines w:val="0"/>
        <w:pageBreakBefore w:val="0"/>
        <w:widowControl w:val="0"/>
        <w:kinsoku/>
        <w:wordWrap/>
        <w:overflowPunct/>
        <w:topLinePunct w:val="0"/>
        <w:autoSpaceDE/>
        <w:autoSpaceDN/>
        <w:bidi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1、乙方需为甲方现场免费培训技术人员，提供终身技术服务咨询。</w:t>
      </w:r>
    </w:p>
    <w:p w14:paraId="37D78C6B">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2、乙方须配置</w:t>
      </w:r>
      <w:r>
        <w:rPr>
          <w:rFonts w:hint="eastAsia" w:ascii="宋体" w:hAnsi="宋体" w:cs="宋体"/>
          <w:color w:val="auto"/>
          <w:sz w:val="24"/>
          <w:szCs w:val="24"/>
          <w:highlight w:val="none"/>
          <w:lang w:eastAsia="zh-CN"/>
        </w:rPr>
        <w:t>维护人员</w:t>
      </w:r>
      <w:r>
        <w:rPr>
          <w:rFonts w:hint="eastAsia" w:ascii="宋体" w:hAnsi="宋体" w:eastAsia="宋体" w:cs="宋体"/>
          <w:color w:val="auto"/>
          <w:sz w:val="24"/>
          <w:szCs w:val="24"/>
          <w:highlight w:val="none"/>
        </w:rPr>
        <w:t>每天对建设项目前端及后台运行情况进行巡查并形成材料交由甲方，如有图像中断、图像效果不达标、数据存储问题等现象，立刻安排售后人员维修。如甲方发现问题，需30分钟以内响应，120分钟内到达现场。</w:t>
      </w:r>
      <w:r>
        <w:rPr>
          <w:rFonts w:hint="eastAsia" w:ascii="宋体" w:hAnsi="宋体" w:cs="宋体"/>
          <w:color w:val="auto"/>
          <w:sz w:val="24"/>
          <w:szCs w:val="24"/>
          <w:highlight w:val="none"/>
          <w:lang w:eastAsia="zh-CN"/>
        </w:rPr>
        <w:t>维护人员</w:t>
      </w:r>
      <w:r>
        <w:rPr>
          <w:rFonts w:hint="eastAsia" w:ascii="宋体" w:hAnsi="宋体" w:eastAsia="宋体" w:cs="宋体"/>
          <w:color w:val="auto"/>
          <w:sz w:val="24"/>
          <w:szCs w:val="24"/>
          <w:highlight w:val="none"/>
        </w:rPr>
        <w:t>自接到故障报修时间起，故障修复时限为24小时。24小时不能修复的障碍需提前向甲方监管部门说明情况，双方共同商定修复时限，修复时限最长为72小时。甲方有重要活动，乙方必须按照甲方通知的时间派出技术人员在现场进行全天候服务保障。质保期满后实行终身维修服务，甲方只承担维修的成本费。</w:t>
      </w:r>
    </w:p>
    <w:p w14:paraId="2A88E0BF">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3、在保修期及保修范围内，乙方应对任何因设计、工艺、材料、产品质量和部件造成的货物或部件损坏，实行维修全免费上门服务。若乙方未按照约定提供售后服务，乙方需补偿甲方因此产生的费用。</w:t>
      </w:r>
    </w:p>
    <w:p w14:paraId="6400A4BC">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在质保期内</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乙方须向甲方提供</w:t>
      </w:r>
      <w:r>
        <w:rPr>
          <w:rFonts w:hint="eastAsia" w:ascii="宋体" w:hAnsi="宋体" w:eastAsia="宋体" w:cs="宋体"/>
          <w:color w:val="auto"/>
          <w:sz w:val="24"/>
          <w:szCs w:val="24"/>
          <w:highlight w:val="none"/>
        </w:rPr>
        <w:t>设备厂商原厂售后服务</w:t>
      </w:r>
      <w:r>
        <w:rPr>
          <w:rFonts w:hint="eastAsia" w:ascii="宋体" w:hAnsi="宋体" w:cs="宋体"/>
          <w:color w:val="auto"/>
          <w:sz w:val="24"/>
          <w:szCs w:val="24"/>
          <w:highlight w:val="none"/>
          <w:lang w:eastAsia="zh-CN"/>
        </w:rPr>
        <w:t>。</w:t>
      </w:r>
    </w:p>
    <w:p w14:paraId="36522188">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乙方</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备品、备件</w:t>
      </w:r>
      <w:r>
        <w:rPr>
          <w:rFonts w:hint="eastAsia" w:ascii="宋体" w:hAnsi="宋体" w:cs="宋体"/>
          <w:color w:val="auto"/>
          <w:sz w:val="24"/>
          <w:szCs w:val="24"/>
          <w:highlight w:val="none"/>
          <w:lang w:val="en-US" w:eastAsia="zh-CN"/>
        </w:rPr>
        <w:t>直接从设备厂商原厂</w:t>
      </w:r>
      <w:r>
        <w:rPr>
          <w:rFonts w:hint="eastAsia" w:ascii="宋体" w:hAnsi="宋体" w:eastAsia="宋体" w:cs="宋体"/>
          <w:color w:val="auto"/>
          <w:sz w:val="24"/>
          <w:szCs w:val="24"/>
          <w:highlight w:val="none"/>
        </w:rPr>
        <w:t>补充，使用当地的备品、备件始终保持在规定的范围</w:t>
      </w:r>
      <w:r>
        <w:rPr>
          <w:rFonts w:hint="eastAsia" w:ascii="宋体" w:hAnsi="宋体" w:cs="宋体"/>
          <w:color w:val="auto"/>
          <w:sz w:val="24"/>
          <w:szCs w:val="24"/>
          <w:highlight w:val="none"/>
          <w:lang w:eastAsia="zh-CN"/>
        </w:rPr>
        <w:t>。</w:t>
      </w:r>
    </w:p>
    <w:p w14:paraId="01C3E3C5">
      <w:pPr>
        <w:keepNext w:val="0"/>
        <w:keepLines w:val="0"/>
        <w:pageBreakBefore w:val="0"/>
        <w:widowControl w:val="0"/>
        <w:kinsoku/>
        <w:wordWrap/>
        <w:overflowPunct/>
        <w:topLinePunct w:val="0"/>
        <w:autoSpaceDE/>
        <w:autoSpaceDN/>
        <w:bidi w:val="0"/>
        <w:snapToGrid w:val="0"/>
        <w:spacing w:line="500" w:lineRule="exact"/>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在质保期内</w:t>
      </w:r>
      <w:r>
        <w:rPr>
          <w:rFonts w:hint="eastAsia" w:ascii="宋体" w:hAnsi="宋体" w:eastAsia="宋体" w:cs="宋体"/>
          <w:color w:val="auto"/>
          <w:sz w:val="24"/>
          <w:szCs w:val="24"/>
          <w:highlight w:val="none"/>
        </w:rPr>
        <w:t>，乙方保证定期对</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进行回访维护，以保证全部</w:t>
      </w:r>
      <w:r>
        <w:rPr>
          <w:rFonts w:hint="eastAsia" w:ascii="宋体" w:hAnsi="宋体" w:eastAsia="宋体" w:cs="宋体"/>
          <w:color w:val="auto"/>
          <w:sz w:val="24"/>
          <w:szCs w:val="24"/>
          <w:highlight w:val="none"/>
          <w:lang w:val="en-US" w:eastAsia="zh-CN"/>
        </w:rPr>
        <w:t>产品设备</w:t>
      </w:r>
      <w:r>
        <w:rPr>
          <w:rFonts w:hint="eastAsia" w:ascii="宋体" w:hAnsi="宋体" w:eastAsia="宋体" w:cs="宋体"/>
          <w:color w:val="auto"/>
          <w:sz w:val="24"/>
          <w:szCs w:val="24"/>
          <w:highlight w:val="none"/>
        </w:rPr>
        <w:t>达到设计寿命</w:t>
      </w:r>
      <w:r>
        <w:rPr>
          <w:rFonts w:hint="eastAsia" w:ascii="宋体" w:hAnsi="宋体" w:cs="宋体"/>
          <w:color w:val="auto"/>
          <w:sz w:val="24"/>
          <w:szCs w:val="24"/>
          <w:highlight w:val="none"/>
          <w:lang w:eastAsia="zh-CN"/>
        </w:rPr>
        <w:t>。</w:t>
      </w:r>
    </w:p>
    <w:p w14:paraId="5A72E9AD">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、乙方在收到甲方的报修通知后，在合同所附服务承诺约定的时间内没有响应服务、排除故障的，甲方可采取必要的补救措施，但风险和费用由乙方承担</w:t>
      </w:r>
      <w:r>
        <w:rPr>
          <w:rFonts w:hint="eastAsia" w:ascii="宋体" w:hAnsi="宋体" w:cs="宋体"/>
          <w:color w:val="auto"/>
          <w:sz w:val="24"/>
          <w:szCs w:val="24"/>
          <w:highlight w:val="none"/>
          <w:lang w:eastAsia="zh-CN"/>
        </w:rPr>
        <w:t>。</w:t>
      </w:r>
    </w:p>
    <w:p w14:paraId="636EE425">
      <w:pPr>
        <w:keepNext w:val="0"/>
        <w:keepLines w:val="0"/>
        <w:pageBreakBefore w:val="0"/>
        <w:widowControl w:val="0"/>
        <w:kinsoku/>
        <w:wordWrap/>
        <w:overflowPunct/>
        <w:topLinePunct w:val="0"/>
        <w:autoSpaceDE/>
        <w:autoSpaceDN/>
        <w:bidi w:val="0"/>
        <w:adjustRightInd/>
        <w:snapToGrid w:val="0"/>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、在设备合理的使用期限内，乙方因任何原因而提供替换设备组件或升级设备组件进行的替换或升级，被替换或升级的设备功能性不得低于或少于原设备所应具备的功能性。</w:t>
      </w:r>
    </w:p>
    <w:p w14:paraId="05A48CA9">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、乙方的免费服务包括对维修器件供应、软件升级更新、软件修改等，维护服务不收取任何费用</w:t>
      </w:r>
      <w:r>
        <w:rPr>
          <w:rFonts w:hint="eastAsia" w:ascii="宋体" w:hAnsi="宋体" w:cs="宋体"/>
          <w:color w:val="auto"/>
          <w:sz w:val="24"/>
          <w:szCs w:val="24"/>
          <w:highlight w:val="none"/>
        </w:rPr>
        <w:t>。</w:t>
      </w:r>
    </w:p>
    <w:p w14:paraId="2AD37CEE">
      <w:pPr>
        <w:keepNext w:val="0"/>
        <w:keepLines w:val="0"/>
        <w:pageBreakBefore w:val="0"/>
        <w:widowControl w:val="0"/>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十</w:t>
      </w:r>
      <w:r>
        <w:rPr>
          <w:rFonts w:hint="eastAsia" w:ascii="宋体" w:hAnsi="宋体" w:cs="宋体"/>
          <w:b/>
          <w:color w:val="auto"/>
          <w:sz w:val="24"/>
          <w:szCs w:val="24"/>
          <w:highlight w:val="none"/>
          <w:lang w:val="en-US" w:eastAsia="zh-CN"/>
        </w:rPr>
        <w:t>七</w:t>
      </w:r>
      <w:r>
        <w:rPr>
          <w:rFonts w:hint="eastAsia" w:ascii="宋体" w:hAnsi="宋体" w:cs="宋体"/>
          <w:b/>
          <w:color w:val="auto"/>
          <w:sz w:val="24"/>
          <w:szCs w:val="24"/>
          <w:highlight w:val="none"/>
        </w:rPr>
        <w:t>、设备安装及培训</w:t>
      </w:r>
    </w:p>
    <w:p w14:paraId="5733E722">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rPr>
        <w:t>设备安装</w:t>
      </w:r>
    </w:p>
    <w:p w14:paraId="03E637A6">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拟投入本项目的现场施工安装人员应具备相应资质、取得相关证书。本次施工安装的一切费用及安全责任均由乙方承担。</w:t>
      </w:r>
    </w:p>
    <w:p w14:paraId="633EB7A8">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设备安装进度报告</w:t>
      </w:r>
    </w:p>
    <w:p w14:paraId="58351BB7">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在合同签署后五天内，乙方必须将设备安装进度计划书送交甲方批准。乙方每隔一周，向甲方递交详细的设备安装进度实施报告，以满足甲方有效地审议工作进度。如安装进度延续或有可能延误，应分析原因提出改进意见和措施，以达到原计划进度要求。</w:t>
      </w:r>
    </w:p>
    <w:p w14:paraId="0008453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安全防护</w:t>
      </w:r>
    </w:p>
    <w:p w14:paraId="7808873C">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在设备验收前的整个施工期间，乙方必须制定并实施必要的措施，保证工作现场施工安全。对不符合安全规程及本合同的安全隐患事故，甲方有权向乙方提出干涉。乙方应根据国家颁布的各种安全规程，结合自己的实际，制订适合本工程的安全防护规程。在工程开工前，乙方应对有关人员进行安全作业教育，并在施工中及时解决安全作业中存在的问题。如发生安全事件，乙方应积极处置、赔偿，未积极处置配置的，甲方有权直接向相关人员和单位支付合理费用，并从项目合同款中折抵。</w:t>
      </w:r>
    </w:p>
    <w:p w14:paraId="1D38871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2"/>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4</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设备安装监督、检查、验收</w:t>
      </w:r>
    </w:p>
    <w:p w14:paraId="578881F6">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乙方应选派有经验的工程技术人员对施工现场的各施工环节和完工工程质量进行监督检查。乙方的监督人员应及时向甲方报告检查中发现的问题，并提供必要的资料。经甲方检查认为质量不合格时，乙方应按甲方要求进行整修和返工，由此引起的工程延误和费用由乙方自负。完成后，乙方应整理全部质检资料、试验资料、竣工图纸，作为整个工程竣工验收的一部分，报甲方验收。</w:t>
      </w:r>
    </w:p>
    <w:p w14:paraId="5C617E7C">
      <w:pPr>
        <w:keepNext w:val="0"/>
        <w:keepLines w:val="0"/>
        <w:pageBreakBefore w:val="0"/>
        <w:widowControl w:val="0"/>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十</w:t>
      </w:r>
      <w:r>
        <w:rPr>
          <w:rFonts w:hint="eastAsia" w:ascii="宋体" w:hAnsi="宋体" w:cs="宋体"/>
          <w:b/>
          <w:color w:val="auto"/>
          <w:sz w:val="24"/>
          <w:szCs w:val="24"/>
          <w:highlight w:val="none"/>
          <w:lang w:val="en-US" w:eastAsia="zh-CN"/>
        </w:rPr>
        <w:t>八</w:t>
      </w:r>
      <w:r>
        <w:rPr>
          <w:rFonts w:hint="eastAsia" w:ascii="宋体" w:hAnsi="宋体" w:cs="宋体"/>
          <w:b/>
          <w:color w:val="auto"/>
          <w:sz w:val="24"/>
          <w:szCs w:val="24"/>
          <w:highlight w:val="none"/>
        </w:rPr>
        <w:t>、运维管理</w:t>
      </w:r>
    </w:p>
    <w:p w14:paraId="2BAD9A53">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rPr>
        <w:t>质保期内同一设备（本次采购的新设备）一年内发生2次故障而维修的，乙方须免费更换投标产品同型号的迭代产品或优于投标产品同型号的设备。</w:t>
      </w:r>
    </w:p>
    <w:p w14:paraId="432E3670">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rPr>
        <w:t>设备发生故障，乙方未按期修复或临时替换设备投入使用的，甲方有权自行进行安排修复、临时替换或直接更换设备，所产生的一切费用由乙方承担，并在后续支付款项中扣除。</w:t>
      </w:r>
    </w:p>
    <w:p w14:paraId="47452BE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3、</w:t>
      </w:r>
      <w:r>
        <w:rPr>
          <w:rFonts w:hint="eastAsia" w:ascii="宋体" w:hAnsi="宋体" w:cs="宋体"/>
          <w:b w:val="0"/>
          <w:bCs w:val="0"/>
          <w:color w:val="auto"/>
          <w:sz w:val="24"/>
          <w:szCs w:val="24"/>
          <w:highlight w:val="none"/>
        </w:rPr>
        <w:t>乙方须积极开展巡查工作。如因城市更新或其他原因导致设备丢失的，由乙方承担损失。如因市政建设、应用场景变化等原因发生本项目设备点位迁移需求的，乙方须立即按照甲方指定位置在30天内完成迁移，所有费用由乙方承担，逾期或未按要求调整的，甲方按照每个点位5000元扣除乙方费用。拒不完成的，甲方有权自行安排人员实施，所产生的费用由乙方全额承担。</w:t>
      </w:r>
    </w:p>
    <w:p w14:paraId="0E9CBBDD">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hint="eastAsia" w:ascii="宋体" w:hAnsi="宋体" w:cs="宋体"/>
          <w:b w:val="0"/>
          <w:bCs w:val="0"/>
          <w:color w:val="auto"/>
          <w:sz w:val="24"/>
          <w:szCs w:val="24"/>
          <w:highlight w:val="none"/>
        </w:rPr>
        <w:t>服务的实施交付过程中，甲方可安排监理、跟踪审计、检测单位开展相关管理工作，确保服务货物及安装达到相关标准要求。未能依法依规及时提供相关管理工作材料的，自文件传到乙方之日起，超期反馈的，每超出1日历天，扣除合同金额1000元。</w:t>
      </w:r>
    </w:p>
    <w:p w14:paraId="3C1C21A7">
      <w:pPr>
        <w:keepNext w:val="0"/>
        <w:keepLines w:val="0"/>
        <w:pageBreakBefore w:val="0"/>
        <w:widowControl w:val="0"/>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十九</w:t>
      </w:r>
      <w:r>
        <w:rPr>
          <w:rFonts w:hint="eastAsia" w:ascii="宋体" w:hAnsi="宋体" w:cs="宋体"/>
          <w:b/>
          <w:color w:val="auto"/>
          <w:sz w:val="24"/>
          <w:szCs w:val="24"/>
          <w:highlight w:val="none"/>
        </w:rPr>
        <w:t>、本合同违约事项的认定及处罚决定，经甲方项目管理办公室研究确认后执行。</w:t>
      </w:r>
    </w:p>
    <w:p w14:paraId="08DA80D1">
      <w:pPr>
        <w:keepNext w:val="0"/>
        <w:keepLines w:val="0"/>
        <w:pageBreakBefore w:val="0"/>
        <w:widowControl w:val="0"/>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二十、不可抗力事件处理</w:t>
      </w:r>
    </w:p>
    <w:p w14:paraId="6977DE0A">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在合同有效期内，任何一方因不可抗力事件导致不能履行合同，则合同履行期可延长，其延长期与不可抗力影响期相同。</w:t>
      </w:r>
    </w:p>
    <w:p w14:paraId="4701CF02">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不可抗力事件发生后，应立即通知对方，并寄送有关权威机构出具的证明。</w:t>
      </w:r>
    </w:p>
    <w:p w14:paraId="166C9E0F">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不可抗力事件延续120天以上，双方应通过友好协商，确定是否继续履行合同。</w:t>
      </w:r>
    </w:p>
    <w:p w14:paraId="037EFDF1">
      <w:pPr>
        <w:keepNext w:val="0"/>
        <w:keepLines w:val="0"/>
        <w:pageBreakBefore w:val="0"/>
        <w:widowControl w:val="0"/>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二十</w:t>
      </w:r>
      <w:r>
        <w:rPr>
          <w:rFonts w:hint="eastAsia" w:ascii="宋体" w:hAnsi="宋体" w:cs="宋体"/>
          <w:b/>
          <w:color w:val="auto"/>
          <w:sz w:val="24"/>
          <w:szCs w:val="24"/>
          <w:highlight w:val="none"/>
          <w:lang w:val="en-US" w:eastAsia="zh-CN"/>
        </w:rPr>
        <w:t>一</w:t>
      </w:r>
      <w:r>
        <w:rPr>
          <w:rFonts w:hint="eastAsia" w:ascii="宋体" w:hAnsi="宋体" w:cs="宋体"/>
          <w:b/>
          <w:color w:val="auto"/>
          <w:sz w:val="24"/>
          <w:szCs w:val="24"/>
          <w:highlight w:val="none"/>
        </w:rPr>
        <w:t>、安全问题</w:t>
      </w:r>
    </w:p>
    <w:p w14:paraId="3E502E47">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乙方必须考虑货物供应、运输、装卸过程中的安全问题。如因产品质量不合格、不坚固，以及一切自然损坏而造成的货物损坏和人身伤害事故（不包括不可抗力因素），由乙方承担全部责任。</w:t>
      </w:r>
    </w:p>
    <w:p w14:paraId="552459F4">
      <w:pPr>
        <w:keepNext w:val="0"/>
        <w:keepLines w:val="0"/>
        <w:pageBreakBefore w:val="0"/>
        <w:widowControl w:val="0"/>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二十</w:t>
      </w:r>
      <w:r>
        <w:rPr>
          <w:rFonts w:hint="eastAsia" w:ascii="宋体" w:hAnsi="宋体" w:cs="宋体"/>
          <w:b/>
          <w:color w:val="auto"/>
          <w:sz w:val="24"/>
          <w:szCs w:val="24"/>
          <w:highlight w:val="none"/>
          <w:lang w:val="en-US" w:eastAsia="zh-CN"/>
        </w:rPr>
        <w:t>二</w:t>
      </w:r>
      <w:r>
        <w:rPr>
          <w:rFonts w:hint="eastAsia" w:ascii="宋体" w:hAnsi="宋体" w:cs="宋体"/>
          <w:b/>
          <w:color w:val="auto"/>
          <w:sz w:val="24"/>
          <w:szCs w:val="24"/>
          <w:highlight w:val="none"/>
        </w:rPr>
        <w:t>、诉讼</w:t>
      </w:r>
    </w:p>
    <w:p w14:paraId="4A302A27">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p>
    <w:p w14:paraId="1A243EC3">
      <w:pPr>
        <w:keepNext w:val="0"/>
        <w:keepLines w:val="0"/>
        <w:pageBreakBefore w:val="0"/>
        <w:widowControl w:val="0"/>
        <w:kinsoku/>
        <w:wordWrap/>
        <w:overflowPunct/>
        <w:topLinePunct w:val="0"/>
        <w:autoSpaceDE/>
        <w:autoSpaceDN/>
        <w:bidi w:val="0"/>
        <w:adjustRightInd/>
        <w:snapToGrid/>
        <w:spacing w:beforeLines="0" w:afterLines="0" w:line="500" w:lineRule="exact"/>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二十</w:t>
      </w:r>
      <w:r>
        <w:rPr>
          <w:rFonts w:hint="eastAsia" w:ascii="宋体" w:hAnsi="宋体" w:cs="宋体"/>
          <w:b/>
          <w:color w:val="auto"/>
          <w:sz w:val="24"/>
          <w:szCs w:val="24"/>
          <w:highlight w:val="none"/>
          <w:lang w:val="en-US" w:eastAsia="zh-CN"/>
        </w:rPr>
        <w:t>三</w:t>
      </w:r>
      <w:r>
        <w:rPr>
          <w:rFonts w:hint="eastAsia" w:ascii="宋体" w:hAnsi="宋体" w:cs="宋体"/>
          <w:b/>
          <w:color w:val="auto"/>
          <w:sz w:val="24"/>
          <w:szCs w:val="24"/>
          <w:highlight w:val="none"/>
        </w:rPr>
        <w:t>、合同生效及其它</w:t>
      </w:r>
    </w:p>
    <w:p w14:paraId="7BED0D35">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合同经双方法定代表人或授权委托代表人签字并加盖单位公章后生效。</w:t>
      </w:r>
    </w:p>
    <w:p w14:paraId="2BC2D0A1">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本合同未尽事宜，遵照《中华人民共和国民法典》有关条文执行，也可另行签订补充协议，效力与本合同一致。</w:t>
      </w:r>
    </w:p>
    <w:p w14:paraId="1479434B">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项目实施过程中一切地方矛盾由乙方自行解决。</w:t>
      </w:r>
    </w:p>
    <w:p w14:paraId="3F983516">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施工实施过程中一切安全责任问题由乙方自行负责。</w:t>
      </w:r>
    </w:p>
    <w:p w14:paraId="220DD5C6">
      <w:pPr>
        <w:keepNext w:val="0"/>
        <w:keepLines w:val="0"/>
        <w:pageBreakBefore w:val="0"/>
        <w:widowControl w:val="0"/>
        <w:kinsoku/>
        <w:wordWrap/>
        <w:overflowPunct/>
        <w:topLinePunct w:val="0"/>
        <w:autoSpaceDE/>
        <w:autoSpaceDN/>
        <w:bidi w:val="0"/>
        <w:adjustRightInd/>
        <w:snapToGrid/>
        <w:spacing w:beforeLines="0" w:afterLines="0" w:line="50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本项目实施过程中造成其他设备设施的损坏，乙方承担对其恢复原状、改造及处理其他善后事项。</w:t>
      </w:r>
    </w:p>
    <w:p w14:paraId="30ABF76C">
      <w:pPr>
        <w:pStyle w:val="258"/>
        <w:keepNext w:val="0"/>
        <w:keepLines w:val="0"/>
        <w:pageBreakBefore w:val="0"/>
        <w:widowControl w:val="0"/>
        <w:kinsoku/>
        <w:wordWrap/>
        <w:overflowPunct/>
        <w:topLinePunct w:val="0"/>
        <w:autoSpaceDE/>
        <w:autoSpaceDN/>
        <w:bidi w:val="0"/>
        <w:adjustRightInd/>
        <w:snapToGrid/>
        <w:spacing w:beforeLines="0" w:after="0" w:afterLines="0" w:line="500" w:lineRule="exact"/>
        <w:ind w:firstLine="482"/>
        <w:textAlignment w:val="auto"/>
        <w:rPr>
          <w:rFonts w:hint="eastAsia" w:ascii="宋体" w:hAnsi="宋体"/>
          <w:b/>
          <w:color w:val="auto"/>
          <w:sz w:val="24"/>
          <w:szCs w:val="24"/>
          <w:highlight w:val="none"/>
        </w:rPr>
      </w:pPr>
      <w:r>
        <w:rPr>
          <w:rFonts w:hint="eastAsia" w:ascii="宋体" w:hAnsi="宋体" w:eastAsia="宋体" w:cs="宋体"/>
          <w:color w:val="auto"/>
          <w:sz w:val="24"/>
          <w:szCs w:val="24"/>
          <w:highlight w:val="none"/>
          <w:lang w:val="en-US" w:eastAsia="zh-CN" w:bidi="ar-SA"/>
        </w:rPr>
        <w:t>6、本合同正本一式陆份，具有同等法律效力，甲方、乙方各执叁份。</w:t>
      </w:r>
    </w:p>
    <w:p w14:paraId="553AC6FD">
      <w:pPr>
        <w:keepNext w:val="0"/>
        <w:keepLines w:val="0"/>
        <w:pageBreakBefore w:val="0"/>
        <w:widowControl w:val="0"/>
        <w:kinsoku/>
        <w:wordWrap/>
        <w:overflowPunct/>
        <w:topLinePunct w:val="0"/>
        <w:autoSpaceDE/>
        <w:autoSpaceDN/>
        <w:bidi w:val="0"/>
        <w:adjustRightInd/>
        <w:snapToGrid/>
        <w:spacing w:beforeLines="0" w:afterLines="0" w:line="500" w:lineRule="exact"/>
        <w:ind w:firstLine="238"/>
        <w:textAlignment w:val="auto"/>
        <w:rPr>
          <w:rFonts w:hint="eastAsia" w:ascii="宋体" w:hAnsi="宋体" w:cs="Courier New"/>
          <w:color w:val="auto"/>
          <w:sz w:val="24"/>
          <w:szCs w:val="24"/>
          <w:highlight w:val="none"/>
        </w:rPr>
      </w:pPr>
    </w:p>
    <w:p w14:paraId="7BC9705E">
      <w:pPr>
        <w:keepNext w:val="0"/>
        <w:keepLines w:val="0"/>
        <w:pageBreakBefore w:val="0"/>
        <w:widowControl w:val="0"/>
        <w:kinsoku/>
        <w:wordWrap/>
        <w:overflowPunct/>
        <w:topLinePunct w:val="0"/>
        <w:autoSpaceDE/>
        <w:autoSpaceDN/>
        <w:bidi w:val="0"/>
        <w:adjustRightInd/>
        <w:snapToGrid/>
        <w:spacing w:beforeLines="0" w:afterLines="0" w:line="500" w:lineRule="exact"/>
        <w:ind w:firstLine="751" w:firstLineChars="313"/>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甲方：                                乙方：</w:t>
      </w:r>
    </w:p>
    <w:p w14:paraId="551212E4">
      <w:pPr>
        <w:keepNext w:val="0"/>
        <w:keepLines w:val="0"/>
        <w:pageBreakBefore w:val="0"/>
        <w:widowControl w:val="0"/>
        <w:kinsoku/>
        <w:wordWrap/>
        <w:overflowPunct/>
        <w:topLinePunct w:val="0"/>
        <w:autoSpaceDE/>
        <w:autoSpaceDN/>
        <w:bidi w:val="0"/>
        <w:adjustRightInd/>
        <w:snapToGrid/>
        <w:spacing w:beforeLines="0" w:afterLines="0" w:line="500" w:lineRule="exact"/>
        <w:ind w:firstLine="751" w:firstLineChars="313"/>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地址：                                地址：</w:t>
      </w:r>
    </w:p>
    <w:p w14:paraId="4FAA83DE">
      <w:pPr>
        <w:keepNext w:val="0"/>
        <w:keepLines w:val="0"/>
        <w:pageBreakBefore w:val="0"/>
        <w:widowControl w:val="0"/>
        <w:kinsoku/>
        <w:wordWrap/>
        <w:overflowPunct/>
        <w:topLinePunct w:val="0"/>
        <w:autoSpaceDE/>
        <w:autoSpaceDN/>
        <w:bidi w:val="0"/>
        <w:adjustRightInd/>
        <w:snapToGrid/>
        <w:spacing w:beforeLines="0" w:afterLines="0" w:line="500" w:lineRule="exact"/>
        <w:ind w:firstLine="751" w:firstLineChars="313"/>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法定代表人或授权代表：                法定代表人或授权代表：</w:t>
      </w:r>
    </w:p>
    <w:p w14:paraId="4BC737C2">
      <w:pPr>
        <w:keepNext w:val="0"/>
        <w:keepLines w:val="0"/>
        <w:pageBreakBefore w:val="0"/>
        <w:widowControl w:val="0"/>
        <w:kinsoku/>
        <w:wordWrap/>
        <w:overflowPunct/>
        <w:topLinePunct w:val="0"/>
        <w:autoSpaceDE/>
        <w:autoSpaceDN/>
        <w:bidi w:val="0"/>
        <w:adjustRightInd/>
        <w:snapToGrid/>
        <w:spacing w:beforeLines="0" w:afterLines="0" w:line="500" w:lineRule="exact"/>
        <w:ind w:firstLine="751" w:firstLineChars="313"/>
        <w:textAlignment w:val="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联系电话：                            联系电话：</w:t>
      </w:r>
    </w:p>
    <w:p w14:paraId="1195D39B">
      <w:pPr>
        <w:keepNext w:val="0"/>
        <w:keepLines w:val="0"/>
        <w:pageBreakBefore w:val="0"/>
        <w:widowControl w:val="0"/>
        <w:kinsoku/>
        <w:wordWrap/>
        <w:overflowPunct/>
        <w:topLinePunct w:val="0"/>
        <w:autoSpaceDE/>
        <w:autoSpaceDN/>
        <w:bidi w:val="0"/>
        <w:adjustRightInd/>
        <w:snapToGrid/>
        <w:spacing w:beforeLines="0" w:afterLines="0" w:line="500" w:lineRule="exact"/>
        <w:ind w:firstLine="751" w:firstLineChars="313"/>
        <w:textAlignment w:val="auto"/>
        <w:rPr>
          <w:rFonts w:hint="eastAsia" w:ascii="黑体" w:hAnsi="宋体" w:eastAsia="宋体" w:cs="黑体"/>
          <w:color w:val="auto"/>
          <w:sz w:val="44"/>
          <w:szCs w:val="44"/>
          <w:highlight w:val="none"/>
          <w:lang w:eastAsia="zh-CN"/>
        </w:rPr>
      </w:pPr>
      <w:r>
        <w:rPr>
          <w:rFonts w:hint="eastAsia" w:ascii="宋体" w:hAnsi="宋体" w:cs="Courier New"/>
          <w:color w:val="auto"/>
          <w:sz w:val="24"/>
          <w:szCs w:val="24"/>
          <w:highlight w:val="none"/>
        </w:rPr>
        <w:t>签订日期：                            签订日期</w:t>
      </w:r>
      <w:r>
        <w:rPr>
          <w:rFonts w:hint="eastAsia" w:ascii="宋体" w:hAnsi="宋体" w:cs="Courier New"/>
          <w:color w:val="auto"/>
          <w:sz w:val="24"/>
          <w:szCs w:val="24"/>
          <w:highlight w:val="none"/>
          <w:lang w:eastAsia="zh-CN"/>
        </w:rPr>
        <w:t>：</w:t>
      </w:r>
    </w:p>
    <w:p w14:paraId="7F45456B">
      <w:pPr>
        <w:pStyle w:val="259"/>
        <w:spacing w:before="120" w:beforeAutospacing="0" w:after="120" w:afterAutospacing="0" w:line="0" w:lineRule="atLeast"/>
        <w:jc w:val="center"/>
        <w:rPr>
          <w:rFonts w:hint="eastAsia" w:ascii="黑体" w:hAnsi="宋体" w:eastAsia="黑体" w:cs="黑体"/>
          <w:color w:val="auto"/>
          <w:sz w:val="44"/>
          <w:szCs w:val="44"/>
          <w:highlight w:val="none"/>
        </w:rPr>
        <w:sectPr>
          <w:footerReference r:id="rId4" w:type="default"/>
          <w:pgSz w:w="11906" w:h="16838"/>
          <w:pgMar w:top="1440" w:right="1080" w:bottom="1440" w:left="1080" w:header="851" w:footer="992" w:gutter="0"/>
          <w:cols w:space="1701" w:num="1"/>
          <w:docGrid w:linePitch="360" w:charSpace="0"/>
        </w:sectPr>
      </w:pPr>
    </w:p>
    <w:p w14:paraId="18BDE8D7">
      <w:pPr>
        <w:pStyle w:val="259"/>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62"/>
      <w:r>
        <w:rPr>
          <w:rFonts w:hint="eastAsia" w:ascii="黑体" w:hAnsi="宋体" w:eastAsia="黑体" w:cs="黑体"/>
          <w:color w:val="auto"/>
          <w:sz w:val="44"/>
          <w:szCs w:val="44"/>
          <w:highlight w:val="none"/>
        </w:rPr>
        <w:t>四章 采购需求</w:t>
      </w:r>
      <w:bookmarkEnd w:id="163"/>
      <w:bookmarkEnd w:id="164"/>
      <w:bookmarkEnd w:id="165"/>
      <w:bookmarkEnd w:id="166"/>
      <w:bookmarkEnd w:id="167"/>
    </w:p>
    <w:p w14:paraId="14107708">
      <w:pPr>
        <w:pStyle w:val="56"/>
        <w:keepLines w:val="0"/>
        <w:pageBreakBefore w:val="0"/>
        <w:widowControl w:val="0"/>
        <w:tabs>
          <w:tab w:val="left" w:pos="0"/>
          <w:tab w:val="left" w:pos="3165"/>
          <w:tab w:val="center" w:pos="4153"/>
        </w:tabs>
        <w:kinsoku/>
        <w:wordWrap/>
        <w:overflowPunct/>
        <w:topLinePunct w:val="0"/>
        <w:autoSpaceDE/>
        <w:autoSpaceDN/>
        <w:bidi w:val="0"/>
        <w:adjustRightInd/>
        <w:snapToGrid/>
        <w:spacing w:before="0" w:after="0" w:line="500" w:lineRule="exact"/>
        <w:ind w:left="0" w:firstLine="482" w:firstLineChars="200"/>
        <w:jc w:val="left"/>
        <w:textAlignment w:val="auto"/>
        <w:rPr>
          <w:rFonts w:hint="eastAsia" w:ascii="宋体" w:hAnsi="宋体" w:eastAsia="宋体" w:cs="Courier New"/>
          <w:b/>
          <w:color w:val="auto"/>
          <w:sz w:val="24"/>
          <w:szCs w:val="24"/>
          <w:highlight w:val="none"/>
          <w:lang w:val="en-US" w:eastAsia="zh-CN" w:bidi="ar-SA"/>
        </w:rPr>
      </w:pPr>
      <w:r>
        <w:rPr>
          <w:rFonts w:hint="eastAsia" w:ascii="宋体" w:hAnsi="宋体" w:eastAsia="宋体" w:cs="Courier New"/>
          <w:b/>
          <w:color w:val="auto"/>
          <w:sz w:val="24"/>
          <w:szCs w:val="24"/>
          <w:highlight w:val="none"/>
          <w:lang w:val="en-US" w:eastAsia="zh-CN" w:bidi="ar-SA"/>
        </w:rPr>
        <w:t>一、项目概况</w:t>
      </w:r>
    </w:p>
    <w:p w14:paraId="38C85DD7">
      <w:pPr>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1、项目名称：盐城市公安局盐都分局交管力量数字化提升项目</w:t>
      </w:r>
    </w:p>
    <w:p w14:paraId="0657C7A2">
      <w:pPr>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2、预算金额：300万元</w:t>
      </w:r>
    </w:p>
    <w:p w14:paraId="663F5906">
      <w:pPr>
        <w:keepLines w:val="0"/>
        <w:pageBreakBefore w:val="0"/>
        <w:widowControl w:val="0"/>
        <w:kinsoku/>
        <w:wordWrap/>
        <w:overflowPunct/>
        <w:topLinePunct w:val="0"/>
        <w:autoSpaceDE/>
        <w:autoSpaceDN/>
        <w:bidi w:val="0"/>
        <w:adjustRightInd/>
        <w:snapToGrid/>
        <w:spacing w:line="500" w:lineRule="exact"/>
        <w:ind w:left="0" w:firstLine="480"/>
        <w:textAlignment w:val="auto"/>
        <w:rPr>
          <w:rFonts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3、最高限价：295万元</w:t>
      </w:r>
    </w:p>
    <w:p w14:paraId="6C6A423A">
      <w:pPr>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eastAsia" w:ascii="宋体" w:hAnsi="宋体" w:cs="宋体"/>
          <w:color w:val="auto"/>
          <w:sz w:val="24"/>
          <w:szCs w:val="24"/>
          <w:highlight w:val="none"/>
        </w:rPr>
        <w:t>合同履行期限（工期）</w:t>
      </w:r>
      <w:r>
        <w:rPr>
          <w:rFonts w:hint="eastAsia" w:ascii="宋体" w:hAnsi="宋体"/>
          <w:bCs/>
          <w:color w:val="auto"/>
          <w:sz w:val="24"/>
          <w:szCs w:val="24"/>
          <w:highlight w:val="none"/>
          <w:lang w:val="en-US" w:eastAsia="zh-CN"/>
        </w:rPr>
        <w:t>：合同签订后90日历天内必须完成供货并安装、调试，验收合格后交付采购人使用。</w:t>
      </w:r>
    </w:p>
    <w:p w14:paraId="5A5CEB27">
      <w:pPr>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5、质保期：3年。</w:t>
      </w:r>
    </w:p>
    <w:p w14:paraId="11F3B596">
      <w:pPr>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6、质量标准：符合国家合格标准，并通过采购人验收。</w:t>
      </w:r>
    </w:p>
    <w:p w14:paraId="6FAB02B0">
      <w:pPr>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bCs/>
          <w:color w:val="auto"/>
          <w:sz w:val="24"/>
          <w:szCs w:val="24"/>
          <w:highlight w:val="none"/>
          <w:u w:val="none"/>
          <w:lang w:val="en-US" w:eastAsia="zh-CN"/>
        </w:rPr>
      </w:pPr>
      <w:r>
        <w:rPr>
          <w:rFonts w:hint="eastAsia" w:ascii="宋体" w:hAnsi="宋体"/>
          <w:bCs/>
          <w:color w:val="auto"/>
          <w:sz w:val="24"/>
          <w:szCs w:val="24"/>
          <w:highlight w:val="none"/>
          <w:lang w:val="en-US" w:eastAsia="zh-CN"/>
        </w:rPr>
        <w:t>7、本项目为非单一产品采购项目，采购标的</w:t>
      </w:r>
      <w:r>
        <w:rPr>
          <w:rFonts w:hint="eastAsia" w:ascii="宋体" w:hAnsi="宋体"/>
          <w:bCs/>
          <w:color w:val="auto"/>
          <w:sz w:val="24"/>
          <w:szCs w:val="24"/>
          <w:highlight w:val="none"/>
          <w:u w:val="none"/>
          <w:lang w:val="en-US" w:eastAsia="zh-CN"/>
        </w:rPr>
        <w:t>中的核心产品为“900万电子警察”。</w:t>
      </w:r>
    </w:p>
    <w:p w14:paraId="3D87AFC0">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二、现场踏勘</w:t>
      </w:r>
    </w:p>
    <w:p w14:paraId="28A161D8">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各投标人投标前应踏勘现场以了解项目实际情况，现场踏勘时须确保完全了解项目现状及采购人须达到的效果，并充分考虑各项足以影响承包价格的情况，</w:t>
      </w:r>
      <w:r>
        <w:rPr>
          <w:rFonts w:hint="eastAsia" w:ascii="宋体" w:hAnsi="宋体" w:cs="宋体"/>
          <w:color w:val="auto"/>
          <w:sz w:val="24"/>
          <w:highlight w:val="none"/>
        </w:rPr>
        <w:t>如因未踏勘现场造成的一切后果自负。</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踏勘现场发生的费用自理，自行承担在踏勘现场中所发生的人员伤亡和财产损失。</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到工程实施现场进行踏勘时，应当充分了解</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位置、情况、道路、储存空间、装卸限制及任何其它足以影响报价的情况，并根据现场的实际情况将本工程可预见的相关费用（包括地方矛盾）自行考虑到投标报价中，</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中标后可预见的相关费用包干使用。任何因忽视或误解工地情况而导致的索赔或工期延长申请将不被批准。</w:t>
      </w:r>
    </w:p>
    <w:p w14:paraId="5A0579D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cs="宋体"/>
          <w:b/>
          <w:bCs/>
          <w:color w:val="auto"/>
          <w:sz w:val="24"/>
          <w:szCs w:val="24"/>
          <w:highlight w:val="none"/>
          <w:lang w:val="en-US" w:eastAsia="zh-CN"/>
        </w:rPr>
        <w:sectPr>
          <w:pgSz w:w="11906" w:h="16838"/>
          <w:pgMar w:top="1440" w:right="1080" w:bottom="1440" w:left="1080" w:header="851" w:footer="992" w:gutter="0"/>
          <w:cols w:space="1701" w:num="1"/>
          <w:docGrid w:linePitch="360" w:charSpace="0"/>
        </w:sectPr>
      </w:pPr>
    </w:p>
    <w:p w14:paraId="77F05C0A">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、招标清单及技术参数要求</w:t>
      </w:r>
    </w:p>
    <w:tbl>
      <w:tblPr>
        <w:tblStyle w:val="30"/>
        <w:tblW w:w="140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0"/>
        <w:gridCol w:w="1320"/>
        <w:gridCol w:w="7544"/>
        <w:gridCol w:w="1005"/>
        <w:gridCol w:w="859"/>
        <w:gridCol w:w="845"/>
        <w:gridCol w:w="1077"/>
        <w:gridCol w:w="786"/>
      </w:tblGrid>
      <w:tr w14:paraId="0D673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A0C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683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88F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A80A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计量 </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单位</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DE58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CA65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4986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w:t>
            </w: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5ACB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65F72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217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4D0459">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一、数字化装备提升部分</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8549B">
            <w:pPr>
              <w:rPr>
                <w:rFonts w:hint="eastAsia" w:ascii="宋体" w:hAnsi="宋体" w:eastAsia="宋体" w:cs="宋体"/>
                <w:b/>
                <w:bCs/>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A81C19">
            <w:pPr>
              <w:rPr>
                <w:rFonts w:hint="eastAsia" w:ascii="宋体" w:hAnsi="宋体" w:eastAsia="宋体" w:cs="宋体"/>
                <w:i w:val="0"/>
                <w:iCs w:val="0"/>
                <w:color w:val="000000"/>
                <w:sz w:val="24"/>
                <w:szCs w:val="24"/>
                <w:u w:val="none"/>
              </w:rPr>
            </w:pPr>
          </w:p>
        </w:tc>
      </w:tr>
      <w:tr w14:paraId="5F48E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52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1B79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900万电子警察</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2D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1、设备包含高清抓拍单元由摄像机、高清镜头、室外防护罩、风扇、补光灯、电源适配器、安装万向节等组成；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2、采用不小于1英寸CMOS传感器，视频分辨率不低于4096×2160，图像分辨率不低于4096×2160；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3、支持车辆抓拍、车牌识别和车辆结构化信息提取；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4、支持闯红灯抓拍功能，闯红灯的捕获率≥99%；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5、支持根据时间段控制设备端口使能，可对接入不同端口的补光灯进行使能输出，时间段可设；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6、支持车辆违章变道检测抓拍功能，捕获率≥99%；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7、支持大型货车闯红灯抓拍功能，包括拖车、挂车、罐车、平板货车、集装箱牵引车、渣土车等货车类型；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具有抓拍黄牌车、蓝牌车，绿牌车、渐变绿牌车、黑牌车、黄绿双拼牌车、白牌车、红牌车和不启用抓拍九个设置选项。支持对蓝色、黄色、绿色、渐变绿色、黑色、黄绿双拼色、白色、红色以及其他不同颜色车牌的车辆进行选择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9、支持自动画线功能，可自动识别并画出车道线和抓拍检测线，支持辅助生成车道线和车道线类型，可人工确认并修改，支持辅助生成电警场景配置线和信号灯检测框，可人工确认并修改。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10、支持通过视频触发进行车辆抓拍，支持车牌识别、车身颜色识别、车型识别，通行车辆信息捕获和违章检测功能；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对不按导向行驶的车辆进行违法检测抓拍，在天气晴朗无雾，号牌无遮挡、无污损，白天环境光照度不低于200lx，晚上辅助光照度不高于30lx的条件下测试，白天和晚上的捕获率准确均≥98%，白天和晚上的识别准确率均≥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12、支持非机动车不戴头盔，载人，逆行，闯红灯违法抓拍上传；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13、支持违法行为抓拍，包括压线、违法变道、不按导向行驶、占用非机动车道、倒车、闯红灯、不按规定车道行驶、占用公交车道，禁左、禁右、禁止掉头违章抓拍；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14、防护等级不低于IP66；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15、支持35114A级加密；</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C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B6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034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162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F883">
            <w:pPr>
              <w:jc w:val="center"/>
              <w:rPr>
                <w:rFonts w:hint="eastAsia" w:ascii="宋体" w:hAnsi="宋体" w:eastAsia="宋体" w:cs="宋体"/>
                <w:i w:val="0"/>
                <w:iCs w:val="0"/>
                <w:color w:val="000000"/>
                <w:sz w:val="24"/>
                <w:szCs w:val="24"/>
                <w:u w:val="none"/>
              </w:rPr>
            </w:pPr>
          </w:p>
        </w:tc>
      </w:tr>
      <w:tr w14:paraId="3D2D0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1"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AF8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C56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1200万电子警察</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B9E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1、设备包含高清抓拍单元由摄像机、高清镜头、室外防护罩、风扇、补光灯、电源适配器、安装万向节等组成；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2、★采用不小于1.1英寸CMOS传感器，视频分辨率不低于4112×3072</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3、支持车辆抓拍、车牌识别和车辆结构化信息提取；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4、支持闯红灯抓拍功能，闯红灯的捕获率≥99%；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5、支持根据时间段控制设备端口使能，可对接入不同端口的补光灯进行使能输出，时间段可设；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6、支持车辆违章变道检测抓拍功能，捕获率≥99%；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7、支持大型货车闯红灯抓拍功能，包括拖车、挂车、罐车、平板货车、集装箱牵引车、渣土车等货车类型；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具有抓拍黄牌车、蓝牌车，绿牌车、渐变绿牌车、黑牌车、黄绿双拼牌车、白牌车、红牌车和不启用抓拍九个设置选项。支持对蓝色、黄色、绿色、渐变绿色、黑色、黄绿双拼色、白色、红色以及其他不同颜色车牌的车辆进行选择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9、★支持自动画线功能，可自动识别并画出车道线和抓拍检测线；支持辅助生成车道线和车道线类型，可人工确认并修改；支持辅助生成电警场景配置线和信号灯检测框，可人工确认并修改</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10、支持通过视频触发进行车辆抓拍，支持车牌识别、车身颜色识别、车型识别，通行车辆信息捕获和违章检测功能；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11、闯禁令支持根据车牌类型区分抓拍计划，包括蓝牌、新能源和货车三种，支持设置蓝牌和新能源车牌在22点～7点进行抓拍，黄牌货车24小时全天进行抓拍。；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12、支持非机动车不戴头盔，载人，逆行，闯红灯违法抓拍上传；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13、支持违法行为抓拍，包括压线、违法变道、不按导向行驶、占用非机动车道、倒车、闯红灯、不按规定车道行驶、占用公交车道，禁左、禁右、禁止掉头违章抓拍；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14、防护等级不低于IP66；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15、支持35114A级加密；</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84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12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9F2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638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ABB3">
            <w:pPr>
              <w:jc w:val="center"/>
              <w:rPr>
                <w:rFonts w:hint="eastAsia" w:ascii="宋体" w:hAnsi="宋体" w:eastAsia="宋体" w:cs="宋体"/>
                <w:i w:val="0"/>
                <w:iCs w:val="0"/>
                <w:color w:val="000000"/>
                <w:sz w:val="24"/>
                <w:szCs w:val="24"/>
                <w:u w:val="none"/>
              </w:rPr>
            </w:pPr>
          </w:p>
        </w:tc>
      </w:tr>
      <w:tr w14:paraId="0B483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4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B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91E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400万双目全彩球机</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7C01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1、内置GPU芯片。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2、支持机动车、非机动车、人体检测；支持优选；支持抓拍；支持上报最优的机动车属性抓图。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3、支持人脸检测；支持优选；支持抓拍；支持上报最优的人脸抓图；支持人脸增强，支持人脸属性提取，6种属性8种表情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4、支持绊线入侵、区域入侵、穿越围栏、徘徊、物品遗留、物品搬移、快速移动、停车、人员聚集检测；支持人车分类报警；支持联动跟踪。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5、支持25倍光学变倍，16倍数字变倍。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6、支持星光级低照度。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7、支持H.265编码，实现超低码流传输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8、内置30米白光灯，250米红外灯补光，采用倍率与红外灯功率匹配算法，补光效果更均匀。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9、水平方向360°连续旋转，垂直方向-30°～90°自动翻转180°后连续监视,无监视盲区。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10、支持300个预置位，8条巡航路径，5条巡迹路径。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11、支持1路音频输入和1路音频输出。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12、内置2路报警输入和1路报警输出，支持报警联动功能。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13、支持IP67防护等级，8000V防雷、防浪涌和防突波保护。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14、支持DC36V±25%宽电压输入。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15、支持国密算法SM1、SM2、SM3、SM4，支持GB35114A级。</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BF4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2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61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3E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66D7">
            <w:pPr>
              <w:jc w:val="center"/>
              <w:rPr>
                <w:rFonts w:hint="eastAsia" w:ascii="宋体" w:hAnsi="宋体" w:eastAsia="宋体" w:cs="宋体"/>
                <w:i w:val="0"/>
                <w:iCs w:val="0"/>
                <w:color w:val="000000"/>
                <w:sz w:val="24"/>
                <w:szCs w:val="24"/>
                <w:u w:val="none"/>
              </w:rPr>
            </w:pPr>
          </w:p>
        </w:tc>
      </w:tr>
      <w:tr w14:paraId="5909A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61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BD2F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鱼眼相机</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8D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1、设备内置≥1/2.5”逐行扫描CMOS，视频分辨率≥2688×1944，抓图分辨率帧率≥2688×1944，视频帧率50fps，支持拍摄360°环视画面；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2、低照度：彩色：0.04Lux，黑白：0.02Lux；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3、支持H.265/H.264/MJPEG视频压缩算法；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4、网络直连情况下，在只输出主码流、分辨率设置为2688*1944、帧率设置为25fps，码率设置为1Mbps，网络协议为UDP、最短延时、智能分析关闭时，视频图像传输至客户端的延时时间≤90ms；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5、图像支持饱和度，亮度，对比度，白平衡，增益通过软件可调设置；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6、设备支持PTP校时协议，支持GB/T28181、RTSP协议；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7、设备每秒可抓拍一张高清图像；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8、设备支持DC12V~36V供电。</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74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E8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2B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F1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4EDBF">
            <w:pPr>
              <w:jc w:val="center"/>
              <w:rPr>
                <w:rFonts w:hint="eastAsia" w:ascii="宋体" w:hAnsi="宋体" w:eastAsia="宋体" w:cs="宋体"/>
                <w:i w:val="0"/>
                <w:iCs w:val="0"/>
                <w:color w:val="000000"/>
                <w:sz w:val="24"/>
                <w:szCs w:val="24"/>
                <w:u w:val="none"/>
              </w:rPr>
            </w:pPr>
          </w:p>
        </w:tc>
      </w:tr>
      <w:tr w14:paraId="0E39E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66B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BB5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警用AI眼镜</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134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（一）基本要求：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 AI智能眼镜采用套装设计，包含眼镜本体、外接胶囊电池、蓝牙指环、功能，并满足采购人近视配光要求。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（二）眼镜本体参数要求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1、眼镜外观：形态类似普通眼镜，采用双目一体化设计；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2、眼镜本体重量≤55克；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3、运行内存≥2G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4、存储空间≥32G；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5、采用Micro LED+双目衍射光波导技术，亮度≥1500nits，显示分辨率≥480*640像素，视场角（FOV）≥30°，眼动范围（Eyebox）≥15*10mm，出瞳距离（Eye Relief）≥18mm；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6、★设备拍摄视频的分辨率≥1080P，帧率≥25帧/秒，照片分辨率≥3024*2268像素</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7、★摄像头的水平视场角≥90°；垂直视场角≥75°、对角线视场角≥100°</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8、支持Wi-Fi6（802.11ac）协议，覆盖2.4GHz/5GHz频段，支持蓝牙BT5.3协议；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9、具备9轴陀螺仪；具备单色LED相机指示灯；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10、具备内置定向拾音麦克风阵列，具备降噪算法，配备≥2颗超线性定向高保真扬声器；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11、★眼镜采用内置电池供电，标称容量≥200mAh，支持拓展供电，保证更换拓展电池期间系统不断电关机</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12、使用环境及防护等级：适应环境温度-10℃~55℃，湿度＜93%RH；</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9FF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A6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790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39B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4BF9">
            <w:pPr>
              <w:jc w:val="center"/>
              <w:rPr>
                <w:rFonts w:hint="eastAsia" w:ascii="宋体" w:hAnsi="宋体" w:eastAsia="宋体" w:cs="宋体"/>
                <w:i w:val="0"/>
                <w:iCs w:val="0"/>
                <w:color w:val="000000"/>
                <w:sz w:val="24"/>
                <w:szCs w:val="24"/>
                <w:u w:val="none"/>
              </w:rPr>
            </w:pPr>
          </w:p>
        </w:tc>
      </w:tr>
      <w:tr w14:paraId="5CDC2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0" w:hRule="atLeast"/>
        </w:trPr>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50C2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ACE0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超员检测系统</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285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高清抓拍主相机：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1、传感器：采用1" 900万像素全局曝光传感器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2、镜头： 50mm高清镜头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3、视场角度 H×V：16°×9°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4、抓拍范围：双车道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5、抓拍距离：18~30米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6、聚焦模式：手动调节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7、光圈模式：手动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8、快门时间：1/200~1/100000秒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9、支持协议：GA/T1400，TCP/IP,DHCP,UDP,RTSP,支持FTP、私有SDK上传图片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10、电源：AC100~240V 50/60Hz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11、功耗：&lt;40W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12、工作温度：-30℃ ~60℃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13、工作湿度：10%~90%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14、储存温度：-40℃ ~70℃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15、重量：5Kg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16、防护等级：IP66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17、连接接口：防水航空插头</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FE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6B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6F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03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C4B1">
            <w:pPr>
              <w:jc w:val="center"/>
              <w:rPr>
                <w:rFonts w:hint="eastAsia" w:ascii="宋体" w:hAnsi="宋体" w:eastAsia="宋体" w:cs="宋体"/>
                <w:i w:val="0"/>
                <w:iCs w:val="0"/>
                <w:color w:val="000000"/>
                <w:sz w:val="24"/>
                <w:szCs w:val="24"/>
                <w:u w:val="none"/>
              </w:rPr>
            </w:pPr>
          </w:p>
        </w:tc>
      </w:tr>
      <w:tr w14:paraId="15D92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0"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B9E10">
            <w:pPr>
              <w:jc w:val="center"/>
              <w:rPr>
                <w:rFonts w:hint="eastAsia" w:ascii="宋体" w:hAnsi="宋体" w:eastAsia="宋体" w:cs="宋体"/>
                <w:i w:val="0"/>
                <w:iCs w:val="0"/>
                <w:color w:val="000000"/>
                <w:sz w:val="24"/>
                <w:szCs w:val="24"/>
                <w:u w:val="none"/>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4CAD3">
            <w:pPr>
              <w:jc w:val="center"/>
              <w:rPr>
                <w:rFonts w:hint="eastAsia" w:ascii="宋体" w:hAnsi="宋体" w:eastAsia="宋体" w:cs="宋体"/>
                <w:i w:val="0"/>
                <w:iCs w:val="0"/>
                <w:color w:val="000000"/>
                <w:sz w:val="24"/>
                <w:szCs w:val="24"/>
                <w:u w:val="none"/>
              </w:rPr>
            </w:pP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AD2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侧面人数识别相机：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1、传感器：1/1.8" 300万像素全局曝光传感器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2、镜头：特制4-16mm电动高清透窗镜头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3、视场角度 V×H：110°× 82°(wide) - 25°×19°（tele）</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4、抓拍距离：1~6米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5、聚焦模式：电动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6、光圈模式：手动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7、快门时间：1/100~1/100000秒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8、支持协议：GA/T1400，TCP/IP,HTTP,DHCP,DNS,RTP,RTSP,NTP,支持FTP上传图片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9、支持透过侧面车窗玻璃，在单位连续时间内对经过某一机动车车道的车辆进行抓拍(包括轿车、面包车、9座以下商务车)，在正确的抓拍图像中，有效透窗的图像应≥90%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10、激光灯类型：脉冲、高偏振态准单模高功率红外半导体合束激光器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11、激光照射角度：47.8°×36.8°矩形光斑，与摄像机视场角度高度匹配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12、激光均匀度：≥95%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13、激光器工作方式：采用非连续触发式开启激光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14、激光补光灯波长 ：808±10nm（人眼不可见红外波段）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15、激光灯功率：20W红外激光闪光灯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16、激光人眼安全距离（NOHD）：≤1.4米</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3F6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D2A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943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4B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E1AA9">
            <w:pPr>
              <w:jc w:val="center"/>
              <w:rPr>
                <w:rFonts w:hint="eastAsia" w:ascii="宋体" w:hAnsi="宋体" w:eastAsia="宋体" w:cs="宋体"/>
                <w:i w:val="0"/>
                <w:iCs w:val="0"/>
                <w:color w:val="000000"/>
                <w:sz w:val="24"/>
                <w:szCs w:val="24"/>
                <w:u w:val="none"/>
              </w:rPr>
            </w:pPr>
          </w:p>
        </w:tc>
      </w:tr>
      <w:tr w14:paraId="4C3D0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0"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B2225">
            <w:pPr>
              <w:jc w:val="center"/>
              <w:rPr>
                <w:rFonts w:hint="eastAsia" w:ascii="宋体" w:hAnsi="宋体" w:eastAsia="宋体" w:cs="宋体"/>
                <w:i w:val="0"/>
                <w:iCs w:val="0"/>
                <w:color w:val="000000"/>
                <w:sz w:val="24"/>
                <w:szCs w:val="24"/>
                <w:u w:val="none"/>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044DD">
            <w:pPr>
              <w:jc w:val="center"/>
              <w:rPr>
                <w:rFonts w:hint="eastAsia" w:ascii="宋体" w:hAnsi="宋体" w:eastAsia="宋体" w:cs="宋体"/>
                <w:i w:val="0"/>
                <w:iCs w:val="0"/>
                <w:color w:val="000000"/>
                <w:sz w:val="24"/>
                <w:szCs w:val="24"/>
                <w:u w:val="none"/>
              </w:rPr>
            </w:pP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FA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人数识别算法边缘计算服务器（含软件）：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采用超强21TopsAI算力边缘计算单元；存储能力：内置1TB固态存储硬盘，保证数据安全；算法功能：采用基于神经网络的深度学习算法进行车内人员数量识别，解析激光透窗抓拍主摄相机和激光透窗抓拍人数检测相机捕捉图像，分析车内载人情况，融合多种AI算法及常规算法的改进算法，在有效透窗的车辆图像中，支持识别车内人数。在单位连续时间内对经过某一机动车车道的车辆进行连续抓拍(包括轿车、面包车、9座以下商务车)，在正确抓拍且有效透窗的车辆图像中，人数识别正确率应≥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系统管理：可视化系统管理界面；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运维功能：具备远程电源管理功能，可实时监测前端设备网络状态、电源状态，实现自动化运维工作；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其他性能参数：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电源：AC100~240V 50/60Hz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功耗：&lt;100W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工作温度：-30℃ ~60℃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工作湿度：10%~90%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储存温度：-40℃ ~70℃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尺寸：1.5 米～2 米、直径为 20厘米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重量：20Kg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连接接口：防水航空插头</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9F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0AA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1E4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B8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1FE5">
            <w:pPr>
              <w:jc w:val="center"/>
              <w:rPr>
                <w:rFonts w:hint="eastAsia" w:ascii="宋体" w:hAnsi="宋体" w:eastAsia="宋体" w:cs="宋体"/>
                <w:i w:val="0"/>
                <w:iCs w:val="0"/>
                <w:color w:val="000000"/>
                <w:sz w:val="24"/>
                <w:szCs w:val="24"/>
                <w:u w:val="none"/>
              </w:rPr>
            </w:pPr>
          </w:p>
        </w:tc>
      </w:tr>
      <w:tr w14:paraId="2E7D0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E1011">
            <w:pPr>
              <w:jc w:val="center"/>
              <w:rPr>
                <w:rFonts w:hint="eastAsia" w:ascii="宋体" w:hAnsi="宋体" w:eastAsia="宋体" w:cs="宋体"/>
                <w:i w:val="0"/>
                <w:iCs w:val="0"/>
                <w:color w:val="000000"/>
                <w:sz w:val="24"/>
                <w:szCs w:val="24"/>
                <w:u w:val="none"/>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1FA1E">
            <w:pPr>
              <w:jc w:val="center"/>
              <w:rPr>
                <w:rFonts w:hint="eastAsia" w:ascii="宋体" w:hAnsi="宋体" w:eastAsia="宋体" w:cs="宋体"/>
                <w:i w:val="0"/>
                <w:iCs w:val="0"/>
                <w:color w:val="000000"/>
                <w:sz w:val="24"/>
                <w:szCs w:val="24"/>
                <w:u w:val="none"/>
              </w:rPr>
            </w:pP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0C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人数识别复审软件对接服务：对人数识别结果进行复审，并对接 “公安交通集成指挥平台”。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3F7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D95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E30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AB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08A6">
            <w:pPr>
              <w:jc w:val="center"/>
              <w:rPr>
                <w:rFonts w:hint="eastAsia" w:ascii="宋体" w:hAnsi="宋体" w:eastAsia="宋体" w:cs="宋体"/>
                <w:i w:val="0"/>
                <w:iCs w:val="0"/>
                <w:color w:val="000000"/>
                <w:sz w:val="24"/>
                <w:szCs w:val="24"/>
                <w:u w:val="none"/>
              </w:rPr>
            </w:pPr>
          </w:p>
        </w:tc>
      </w:tr>
      <w:tr w14:paraId="36B39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23CD2">
            <w:pPr>
              <w:jc w:val="center"/>
              <w:rPr>
                <w:rFonts w:hint="eastAsia" w:ascii="宋体" w:hAnsi="宋体" w:eastAsia="宋体" w:cs="宋体"/>
                <w:i w:val="0"/>
                <w:iCs w:val="0"/>
                <w:color w:val="000000"/>
                <w:sz w:val="24"/>
                <w:szCs w:val="24"/>
                <w:u w:val="none"/>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7483C">
            <w:pPr>
              <w:jc w:val="center"/>
              <w:rPr>
                <w:rFonts w:hint="eastAsia" w:ascii="宋体" w:hAnsi="宋体" w:eastAsia="宋体" w:cs="宋体"/>
                <w:i w:val="0"/>
                <w:iCs w:val="0"/>
                <w:color w:val="000000"/>
                <w:sz w:val="24"/>
                <w:szCs w:val="24"/>
                <w:u w:val="none"/>
              </w:rPr>
            </w:pP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67B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人数识别复核软件服务器（含软件）：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搭载人数识别复核软件 GPU 服务器（CPU：X86，内存：32G，硬盘 1TB。）该服务器最多可支持 20 路人数识别复核软件。</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7A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97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5B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437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CF73">
            <w:pPr>
              <w:jc w:val="center"/>
              <w:rPr>
                <w:rFonts w:hint="eastAsia" w:ascii="宋体" w:hAnsi="宋体" w:eastAsia="宋体" w:cs="宋体"/>
                <w:i w:val="0"/>
                <w:iCs w:val="0"/>
                <w:color w:val="000000"/>
                <w:sz w:val="24"/>
                <w:szCs w:val="24"/>
                <w:u w:val="none"/>
              </w:rPr>
            </w:pPr>
          </w:p>
        </w:tc>
      </w:tr>
      <w:tr w14:paraId="462A2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256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63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磁吸声光环</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15F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1、尺寸规格：八边形；边长：105 mm±5 mm；高：40mm±5mm。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2、重量：755g（±0.5g）。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3、发光模式及闪烁频率：红蓝爆闪：闪烁频率 6.0Hz±0.5Hz；红蓝慢闪：闪烁频率 3.0Hz±0.5Hz。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4、电池性能：电池电压3.7V，电池容量3000mAh。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5、充电时间：≤4h。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6、工作时间：声+光连续使用＞10h；单独灯光连续使用＞30h；单独声音连续使用时间＞20h。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7、录音功能：长按录音键 3 秒开始录音，录音时长达 60 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8、录音声压级：在距离声光环0.5m处播放人声录音，声压级≥80dB(A)。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9、环境适应性：高温55±2℃，低温-20±2℃的环境下保持2h后可以正常使用10、开关耐久性：≥10000次。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12、抗坠落性能：≥2000mm。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13、可视距离：≥500m。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14、磁吸声光环具有频闪发光功能和录音功能。</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9A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E6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D3E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212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1551C">
            <w:pPr>
              <w:jc w:val="center"/>
              <w:rPr>
                <w:rFonts w:hint="eastAsia" w:ascii="宋体" w:hAnsi="宋体" w:eastAsia="宋体" w:cs="宋体"/>
                <w:i w:val="0"/>
                <w:iCs w:val="0"/>
                <w:color w:val="000000"/>
                <w:sz w:val="24"/>
                <w:szCs w:val="24"/>
                <w:u w:val="none"/>
              </w:rPr>
            </w:pPr>
          </w:p>
        </w:tc>
      </w:tr>
      <w:tr w14:paraId="7DC22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9"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19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F55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警戒带伸缩路锥</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8E2F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外观结构：警戒带伸缩路锥表面贴有反光膜，通过四节直径逐渐减小的圆环形成中空的可伸缩结构，可在竖直方向上伸缩收纳。内置警戒带，可快速拉出挂在相邻的警戒带伸缩路锥上，用完警戒带可自动收回。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展开尺寸：325×325×695mm(±5mm)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收纳尺寸：325×325×175mm(±5mm)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3、重量：≥5kg（±0.5kg）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4、警戒带长度：≥5米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5、环境适应性：高温55±2℃，低温-20±2℃的环境下保持2h后可以正常使用，且警戒带无粘连、无沾色、无裂纹。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6、低温抗冲击性能：低温-20±2℃温度下放置 2h 后进行低温撞击试验后，试验后交通锥的任何一部分，包括反光面不得脱落、破裂或损坏，锥体冲击后应恢复原状。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7、稳定性能：交通锥应稳定，承受 5N 的顶部水平作用力时，不应出现翻到现象。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8、抗坠落性能：≥1500mm</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88E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7F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321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650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0DC5">
            <w:pPr>
              <w:jc w:val="center"/>
              <w:rPr>
                <w:rFonts w:hint="eastAsia" w:ascii="宋体" w:hAnsi="宋体" w:eastAsia="宋体" w:cs="宋体"/>
                <w:i w:val="0"/>
                <w:iCs w:val="0"/>
                <w:color w:val="000000"/>
                <w:sz w:val="24"/>
                <w:szCs w:val="24"/>
                <w:u w:val="none"/>
              </w:rPr>
            </w:pPr>
          </w:p>
        </w:tc>
      </w:tr>
      <w:tr w14:paraId="1C643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B74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32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警用摩托车</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2B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尺寸与重量参数息：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1、外形尺寸：长 2245mm× 宽 998mm× 高 1360mm（±5%）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2、重量：整备质量 260kg（±5%），总质量 410kg（±5%），额定最大载质量 = 总质量 - 整备质量（150kg）（±5%）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3、轴距：1415mm（±5%）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动力系统：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1、燃料：汽油，排放标准 GB14622-2016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2、排量 ≥649cc，额定最大功率 ≥52.0kW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3、极速：最高车速 ≥170km/h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行走制动配置：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1、轮胎规格：前轮 120/70ZR17、后轮 180/55ZR17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2、转向：方向把式转向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3、制动系统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前轮：双盘制动、手操纵制动；后轮：单盘制动、脚操纵制动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标配 ABS 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4、加装后置工具箱</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32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4A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13E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E6A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58F40">
            <w:pPr>
              <w:jc w:val="center"/>
              <w:rPr>
                <w:rFonts w:hint="eastAsia" w:ascii="宋体" w:hAnsi="宋体" w:eastAsia="宋体" w:cs="宋体"/>
                <w:i w:val="0"/>
                <w:iCs w:val="0"/>
                <w:color w:val="000000"/>
                <w:sz w:val="24"/>
                <w:szCs w:val="24"/>
                <w:u w:val="none"/>
              </w:rPr>
            </w:pPr>
          </w:p>
        </w:tc>
      </w:tr>
      <w:tr w14:paraId="33A2F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03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58D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信号灯检测器</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C9A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1、16路信号灯交流信号输入接口。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2、4个RS485输出接口。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3、1路100M网口输出。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4、1个5VDC输出接口。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5、5路拨码开关，用来设置波特率、地址和上传模式。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6、16路交通灯状态指示。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7、检测、通讯单元采用微控制器设计，稳定可靠。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8、输入接口采用压电保护、光电隔离等防护措施。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9、实时输出交通灯信号状态。</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EC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90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6A5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1D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938C9">
            <w:pPr>
              <w:jc w:val="center"/>
              <w:rPr>
                <w:rFonts w:hint="eastAsia" w:ascii="宋体" w:hAnsi="宋体" w:eastAsia="宋体" w:cs="宋体"/>
                <w:i w:val="0"/>
                <w:iCs w:val="0"/>
                <w:color w:val="000000"/>
                <w:sz w:val="24"/>
                <w:szCs w:val="24"/>
                <w:u w:val="none"/>
              </w:rPr>
            </w:pPr>
          </w:p>
        </w:tc>
      </w:tr>
      <w:tr w14:paraId="16225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958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C452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分贝监测仪</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1D8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1、测量范围：A计权 30～130dB，C计权 35～130dB。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2、测量精确度：±1.5dB。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3、频率响应：31.5Hz ～ 8.5kHz。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4、频率计权：支持 A计权 / C计权。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5、时间计权（动态特性）：Fast（快） / Slow（慢）。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6、动态范围：50dB。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7、取样频率：2次/秒。</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DD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07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099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FC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E83E">
            <w:pPr>
              <w:jc w:val="center"/>
              <w:rPr>
                <w:rFonts w:hint="eastAsia" w:ascii="宋体" w:hAnsi="宋体" w:eastAsia="宋体" w:cs="宋体"/>
                <w:i w:val="0"/>
                <w:iCs w:val="0"/>
                <w:color w:val="000000"/>
                <w:sz w:val="24"/>
                <w:szCs w:val="24"/>
                <w:u w:val="none"/>
              </w:rPr>
            </w:pPr>
          </w:p>
        </w:tc>
      </w:tr>
      <w:tr w14:paraId="58303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C7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3C3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激光笔</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132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1、激光类型：物理激光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2、激光颜色：红光绿光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3、适用设备：白墙幕布 手写板液晶屏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4、功能：翻页激光指示超链接音量调节全屏黑屏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5、遥控距离：100-150米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6、连接方式：Type-C蓝牙 USB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7、电量：≥250mAh锂电池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8、材质：金属外壳</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4DF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890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D76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7B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32E6">
            <w:pPr>
              <w:jc w:val="center"/>
              <w:rPr>
                <w:rFonts w:hint="eastAsia" w:ascii="宋体" w:hAnsi="宋体" w:eastAsia="宋体" w:cs="宋体"/>
                <w:i w:val="0"/>
                <w:iCs w:val="0"/>
                <w:color w:val="000000"/>
                <w:sz w:val="24"/>
                <w:szCs w:val="24"/>
                <w:u w:val="none"/>
              </w:rPr>
            </w:pPr>
          </w:p>
        </w:tc>
      </w:tr>
      <w:tr w14:paraId="6D5E5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B26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983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400万违停摄像机</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D1FA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1、摄像机靶面尺寸≥1/1.8英寸，分辨率≥2688*1520，内置镜头，支持不小于32倍光学变倍，镜头最大焦距不小于192mm。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2、自带雨刷,可通过网络远程控制雨刷功能检验雨刷开启、关闭。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3、★支持VR全景图拼接功能，拼接图可选择柱状全景图和鱼眼全景图2种模式，生成的柱状全景图分辨率为8192x2446，鱼眼全景图分辨率为3458x3458。</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4、支持最低照度可达彩色0.0002Lx，黑白0.0001Lx。</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5、水平旋转范围:0°~360°连续旋转，垂直旋转范围:-20°~90°。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6、支持对距离样机200m处机动车违法停车行为进行抓拍。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7、支持机动车违停、逆行、压线、连续变道、机占非、掉头、蛇形变道、变道、加塞9种交通违法行为进行检测并抓拍，当触发报警后，可联动报警并上传图片。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支持抛洒物检测、行人检测、拥堵检测、路障检测、施工检测、交通事故检测、烟雾检测、火灾检测,当监控场景内道路事件触发报警后,可联动报警输出并上传图片,支持配置灵敏度、持续时间和过滤时间,支持布防多边形检测区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9、支持配置违停检测时,具有布防车牌颜色(黄色车牌、蓝色车牌、绿色车牌和其他车牌)和布防车型(轿车、面包车、货车、客车和其他)配置选项。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10、开启车牌增强功能后，在检测到车辆违停时，可对目标车辆的车牌进行降噪处理。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11、★支持检测到违停车辆时,若目标车牌被遮挡物遮挡时,样机可不对该目标进行车牌识别,并上报无车牌报警。</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12、开启车牌增强功能后，在检测到车辆违停时，可对目标车辆的车牌进行降噪处理。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13、★支持对抛洒物事件中的树影、标线进行过滤;可对停车事件中的施工车辆进行过滤;可对行人事件中的交通设施、车身部件、影子进行过滤。</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14、支持35114A级加密。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15、防护等级不低于IP67。</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7BD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B9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085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ECB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1DABE">
            <w:pPr>
              <w:jc w:val="center"/>
              <w:rPr>
                <w:rFonts w:hint="eastAsia" w:ascii="宋体" w:hAnsi="宋体" w:eastAsia="宋体" w:cs="宋体"/>
                <w:i w:val="0"/>
                <w:iCs w:val="0"/>
                <w:color w:val="000000"/>
                <w:sz w:val="24"/>
                <w:szCs w:val="24"/>
                <w:u w:val="none"/>
              </w:rPr>
            </w:pPr>
          </w:p>
        </w:tc>
      </w:tr>
      <w:tr w14:paraId="333B6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2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F34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球机支架及抱杆配件</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352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材料:定制 安装环境室外。</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7E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247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E85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F4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435E">
            <w:pPr>
              <w:jc w:val="center"/>
              <w:rPr>
                <w:rFonts w:hint="eastAsia" w:ascii="宋体" w:hAnsi="宋体" w:eastAsia="宋体" w:cs="宋体"/>
                <w:i w:val="0"/>
                <w:iCs w:val="0"/>
                <w:color w:val="000000"/>
                <w:sz w:val="24"/>
                <w:szCs w:val="24"/>
                <w:u w:val="none"/>
              </w:rPr>
            </w:pPr>
          </w:p>
        </w:tc>
      </w:tr>
      <w:tr w14:paraId="66F71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6DA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7564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高空瞭望摄像机</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07C7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1、全景通道内置不少于4个镜头、细节通道内置1个镜头。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2、镜头靶面尺寸不小于1/1.8英寸的CMOS传感器，内置算力芯片。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3、全景通道最高分辨率不小于1600万，细节通道最高分辨率不小于2560× 1440。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4、球机通道支持不小于40倍光学变倍，镜头最大焦距不小于220mm。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5、★设备在全景拼接模式下，垂直视场角不小于110°，水平视场角不小于180°。可将4个全景视频图像进行拼接，实现不小于180°拼接画面显示，并抓拍拼接后的图片。</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6、设备内置2个雨刷器，雨刷器1可清洁全景通道镜头表面玻璃，雨刷器2可清洁细节通道镜头表面玻璃。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7、开启补光灯，补光距离不小于300米。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8、设备水平安装在8m高度时，可通过全景通道监控设备正下方8m且水平距离0.5m处的行人目标。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9、★设备具有AI-ISP图像质量提升功能，在低照度环境下，可自动调节预览场景视频画面中人脸、人体、车辆等目标及预览场景视频画面的区域曝光、亮度、色彩饱和度、对比度、锐度等。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10、支持GB35114A级安全加密。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11、防护等级不低于IP66。</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417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A01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26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590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A6CE3">
            <w:pPr>
              <w:jc w:val="center"/>
              <w:rPr>
                <w:rFonts w:hint="eastAsia" w:ascii="宋体" w:hAnsi="宋体" w:eastAsia="宋体" w:cs="宋体"/>
                <w:i w:val="0"/>
                <w:iCs w:val="0"/>
                <w:color w:val="000000"/>
                <w:sz w:val="24"/>
                <w:szCs w:val="24"/>
                <w:u w:val="none"/>
              </w:rPr>
            </w:pPr>
          </w:p>
        </w:tc>
      </w:tr>
      <w:tr w14:paraId="24D57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9A8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B84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高空瞭望摄像机专用支架</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72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材料:定制 安装环境室外。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高空瞭望摄像机专用支架。</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75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E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B3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C0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16D88">
            <w:pPr>
              <w:jc w:val="center"/>
              <w:rPr>
                <w:rFonts w:hint="eastAsia" w:ascii="宋体" w:hAnsi="宋体" w:eastAsia="宋体" w:cs="宋体"/>
                <w:i w:val="0"/>
                <w:iCs w:val="0"/>
                <w:color w:val="000000"/>
                <w:sz w:val="24"/>
                <w:szCs w:val="24"/>
                <w:u w:val="none"/>
              </w:rPr>
            </w:pPr>
          </w:p>
        </w:tc>
      </w:tr>
      <w:tr w14:paraId="11E1A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217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7E2BA3A">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t>二、其他配套部分</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A670">
            <w:pPr>
              <w:jc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506F0">
            <w:pPr>
              <w:jc w:val="center"/>
              <w:rPr>
                <w:rFonts w:hint="eastAsia" w:ascii="宋体" w:hAnsi="宋体" w:eastAsia="宋体" w:cs="宋体"/>
                <w:i w:val="0"/>
                <w:iCs w:val="0"/>
                <w:color w:val="000000"/>
                <w:sz w:val="24"/>
                <w:szCs w:val="24"/>
                <w:u w:val="none"/>
              </w:rPr>
            </w:pPr>
          </w:p>
        </w:tc>
      </w:tr>
      <w:tr w14:paraId="4974A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B5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D554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交通违法抓拍告知牌</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C3F8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技术参数：尺寸详见图纸，铝合金厚度 2mm，反光膜要求：Ⅳ类反光膜。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其他要求：含全部辅材及安装。</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DB6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D1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DCD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8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CE95">
            <w:pPr>
              <w:jc w:val="center"/>
              <w:rPr>
                <w:rFonts w:hint="eastAsia" w:ascii="宋体" w:hAnsi="宋体" w:eastAsia="宋体" w:cs="宋体"/>
                <w:i w:val="0"/>
                <w:iCs w:val="0"/>
                <w:color w:val="000000"/>
                <w:sz w:val="24"/>
                <w:szCs w:val="24"/>
                <w:u w:val="none"/>
              </w:rPr>
            </w:pPr>
          </w:p>
        </w:tc>
      </w:tr>
      <w:tr w14:paraId="0DFE2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1B4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DE3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禁停标志牌</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423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1：名称:禁停标志牌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2、做法详见图纸设计,最终满足相关验收要求和规范规定。</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B23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748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EF3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AF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84CF">
            <w:pPr>
              <w:jc w:val="center"/>
              <w:rPr>
                <w:rFonts w:hint="eastAsia" w:ascii="宋体" w:hAnsi="宋体" w:eastAsia="宋体" w:cs="宋体"/>
                <w:i w:val="0"/>
                <w:iCs w:val="0"/>
                <w:color w:val="000000"/>
                <w:sz w:val="24"/>
                <w:szCs w:val="24"/>
                <w:u w:val="none"/>
              </w:rPr>
            </w:pPr>
          </w:p>
        </w:tc>
      </w:tr>
      <w:tr w14:paraId="63BE2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07F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39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智能监控设备箱（含平台）</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31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1、箱体材质采用优质镀锌板，厚度≥1.2mm。外观尺寸高≥500mm、长≥380mm、宽≥220mm，外壳防护等级≥IP55；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2、机箱具备断路器、电源防雷器、蓝牙智控模块、智能主控、配电单元、防雷器、传输单元、接地排、等部件；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3、配置通信单元， 8个10/100/1000M 下联电口，2个10/100 上联光口；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掉电检测：支持箱内12VDC、220VAC电源供电远程监测，实时上报检测结果，支持设备安装位置查询，通过云平台及在线地图，精准定位设备安装位置。市电掉电平台报警，可以准确分辨电源供电是否稳定，输出给摄像机的电源是否正常。并可以在机房远程控制输出的电源，对摄像机进行断电、通电、重启电源的操作。便于我们对前端设备进行维护。</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安全准入控制：可设定启用/关闭准入控制；可远程显示端口流量统计、端口连接状态；支持视频专网通道中任意网络协议端口的远程开启与关闭。可设置设备MAC地址白名单；摄像机IP、MAC地址与物理端口唯一绑定准入认证功能。支持白名单以外设备接入告警；支持接入设备信息自动上报，可手动/自动阻断或放行设备通讯。支持隔离/恢复任意物理端口，支持一键隔离/恢复整个网络。支持锁定冗余端口，禁止外部设备接入。</w:t>
            </w:r>
            <w:r>
              <w:rPr>
                <w:rFonts w:hint="eastAsia" w:ascii="宋体" w:hAnsi="宋体" w:eastAsia="宋体" w:cs="宋体"/>
                <w:b/>
                <w:bCs/>
                <w:i w:val="0"/>
                <w:iCs w:val="0"/>
                <w:color w:val="000000"/>
                <w:kern w:val="0"/>
                <w:sz w:val="24"/>
                <w:szCs w:val="24"/>
                <w:u w:val="none"/>
                <w:lang w:val="en-US" w:eastAsia="zh-CN" w:bidi="ar"/>
              </w:rPr>
              <w:t>（投标文件中须提供有资质的检测机构出具的检测报告扫描件，并加盖投标人公章）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6、支持实时监测机箱内温-湿度并可联动风扇控制、市电电压、电路连接状态、电能质量检测等参数；能生成数据变化曲线，实现故障预判。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7、支持摄像机视频遮挡告警、移动侦测告警，告警消息实时显示在平台软件上；支持平台软件设置”开箱拍照“等报警联动功能。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8、具有平台API调用接口；支持WINDOWS和Linux双系统部署，可与第三方平台进行对接。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9、中标后提供运维管理平台及嵌入式软件计算机软件著作权登记证书。</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AE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AB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E5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AB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21C2">
            <w:pPr>
              <w:jc w:val="center"/>
              <w:rPr>
                <w:rFonts w:hint="eastAsia" w:ascii="宋体" w:hAnsi="宋体" w:eastAsia="宋体" w:cs="宋体"/>
                <w:i w:val="0"/>
                <w:iCs w:val="0"/>
                <w:color w:val="000000"/>
                <w:sz w:val="24"/>
                <w:szCs w:val="24"/>
                <w:u w:val="none"/>
              </w:rPr>
            </w:pPr>
          </w:p>
        </w:tc>
      </w:tr>
      <w:tr w14:paraId="690DD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C6C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14E3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F杆10m悬臂（含基础）</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82D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1、杆件采用优质Q235材料加工成型。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2、立杆八角型，8.0mm厚-高6.2米。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3、横杆八角型，8.0mm厚-长10米。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4、杆件直缝采用自动埋弧焊焊接，其他法兰及加强部分采用气体保护焊。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5、杆件整体热镀锌,喷塑,颜色为灰色。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6、配M24*25的不锈钢方头螺丝*6套.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7、基础规格：长1600*宽2000*深2000,采用C30或以上商业混凝土浇筑。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8、杆件设计使用年限不少于20年，抗风至少八级。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9、包括但不限于用接地测试、土方开挖、回填、垃圾外运、安全防护、路面(绿化)破坏及恢复等一切费用，详见图纸，满足设计及实际使用需求。</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10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B9C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4E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B77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FE19">
            <w:pPr>
              <w:jc w:val="center"/>
              <w:rPr>
                <w:rFonts w:hint="eastAsia" w:ascii="宋体" w:hAnsi="宋体" w:eastAsia="宋体" w:cs="宋体"/>
                <w:i w:val="0"/>
                <w:iCs w:val="0"/>
                <w:color w:val="000000"/>
                <w:sz w:val="24"/>
                <w:szCs w:val="24"/>
                <w:u w:val="none"/>
              </w:rPr>
            </w:pPr>
          </w:p>
        </w:tc>
      </w:tr>
      <w:tr w14:paraId="11B63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D3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733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F杆8m悬臂（含基础）</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914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1、杆件采用优质Q235材料加工成型。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2、立杆八角型，7.0mm厚-高6.2米。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3、横杆八角型，8.0mm厚-长8米。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4、杆件直缝采用自动埋弧焊焊接，其他法兰及加强部分采用气体保护焊。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5、杆件整体热镀锌,喷塑,颜色为灰色。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6、配M24*25的不锈钢方头螺丝*6套.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7、基础规格：长1600*宽2000*深2000,采用C30或以上商业混凝土浇筑。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8、杆件设计使用年限不少于20年，抗风至少八级。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9、包括但不限于用接地测试、土方开挖、回填、垃圾外运、安全防护、路面(绿化)破坏及恢复等一切费用，详见图纸，满足设计及实际使用需求。</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98A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74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85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9BE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E866">
            <w:pPr>
              <w:jc w:val="center"/>
              <w:rPr>
                <w:rFonts w:hint="eastAsia" w:ascii="宋体" w:hAnsi="宋体" w:eastAsia="宋体" w:cs="宋体"/>
                <w:i w:val="0"/>
                <w:iCs w:val="0"/>
                <w:color w:val="000000"/>
                <w:sz w:val="24"/>
                <w:szCs w:val="24"/>
                <w:u w:val="none"/>
              </w:rPr>
            </w:pPr>
          </w:p>
        </w:tc>
      </w:tr>
      <w:tr w14:paraId="46660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B31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51E4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F杆6m悬臂（含基础）</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6F89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1、杆件采用优质Q235材料加工成型。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2、立杆八角型，5.0mm厚-高6.5米。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3、横杆八角型，4.0mm厚-长6米。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4、杆件直缝采用自动埋弧焊焊接，其他法兰及加强部分采用气体保护焊。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5、杆件整体热镀锌,喷塑,颜色为灰色。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6、配8*25的不锈钢方头螺丝*6套.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7、基础规格：长1200*宽1200*深1200,采用C30或以上商业混凝土浇筑。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8、杆件设计使用年限不少于20年，抗风至少八级。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9、包括但不限于用接地测试、土方开挖、回填、垃圾外运、安全防护、路面(绿化)破坏及恢复等一切费用，详见图纸，满足设计及实际使用需求。</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E9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1F7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49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1E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4298">
            <w:pPr>
              <w:jc w:val="center"/>
              <w:rPr>
                <w:rFonts w:hint="eastAsia" w:ascii="宋体" w:hAnsi="宋体" w:eastAsia="宋体" w:cs="宋体"/>
                <w:i w:val="0"/>
                <w:iCs w:val="0"/>
                <w:color w:val="000000"/>
                <w:sz w:val="24"/>
                <w:szCs w:val="24"/>
                <w:u w:val="none"/>
              </w:rPr>
            </w:pPr>
          </w:p>
        </w:tc>
      </w:tr>
      <w:tr w14:paraId="1B712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58E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4047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F杆4m悬臂（含基础）</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952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1、杆件采用优质Q235材料加工成型。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2、立杆八角型，5.0mm厚-高6.5米。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3、横杆八角型，4.0mm厚-长4米。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4、杆件直缝采用自动埋弧焊焊接，其他法兰及加强部分采用气体保护焊。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5、杆件整体热镀锌,喷塑,颜色为灰色。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6、配8*25的不锈钢方头螺丝*6套.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7、基础规格：长1200*宽1200*深1200,采用C30或以上商业混凝土浇筑。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8、杆件设计使用年限不少于20年，抗风至少八级。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9、包括但不限于用接地测试、土方开挖、回填、垃圾外运、安全防护、路面(绿化)破坏及恢复等一切费用，详见图纸，满足设计及实际使用需求。</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EC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9A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F47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CEC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04BE">
            <w:pPr>
              <w:jc w:val="center"/>
              <w:rPr>
                <w:rFonts w:hint="eastAsia" w:ascii="宋体" w:hAnsi="宋体" w:eastAsia="宋体" w:cs="宋体"/>
                <w:i w:val="0"/>
                <w:iCs w:val="0"/>
                <w:color w:val="000000"/>
                <w:sz w:val="24"/>
                <w:szCs w:val="24"/>
                <w:u w:val="none"/>
              </w:rPr>
            </w:pPr>
          </w:p>
        </w:tc>
      </w:tr>
      <w:tr w14:paraId="6156A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6A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BCC2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借杆加装2m横臂</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9C9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1、杆件采用优质Q235材料加工成型。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2、横杆八角型，4.0mm厚-长2米。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3、杆件直缝采用自动埋弧焊焊接，其他法兰及加强部分采用气体保护焊。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4、杆件整体热镀锌,喷塑,颜色为灰色。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5、配8*25的不锈钢方头螺丝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6、杆件设计使用年限不少于20年，抗风至少八级。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7、包括但不限于用接地测试、垃圾外运、安全防护、路面(绿化)破坏及恢复等一切费用，详见图纸，满足设计及实际使用需求。</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1EB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1A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44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1DA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2F7D0">
            <w:pPr>
              <w:jc w:val="center"/>
              <w:rPr>
                <w:rFonts w:hint="eastAsia" w:ascii="宋体" w:hAnsi="宋体" w:eastAsia="宋体" w:cs="宋体"/>
                <w:i w:val="0"/>
                <w:iCs w:val="0"/>
                <w:color w:val="000000"/>
                <w:sz w:val="24"/>
                <w:szCs w:val="24"/>
                <w:u w:val="none"/>
              </w:rPr>
            </w:pPr>
          </w:p>
        </w:tc>
      </w:tr>
      <w:tr w14:paraId="12FD8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7F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828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配线</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0FC6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1、名称：监控电缆 2、技术参数、规格:RVV2*2.5mm2  3、敷设方式:穿管；4、计量长度按单线延长米，累计用线计，量按实结算。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D3A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263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3485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E1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372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1D32">
            <w:pPr>
              <w:jc w:val="center"/>
              <w:rPr>
                <w:rFonts w:hint="eastAsia" w:ascii="宋体" w:hAnsi="宋体" w:eastAsia="宋体" w:cs="宋体"/>
                <w:i w:val="0"/>
                <w:iCs w:val="0"/>
                <w:color w:val="000000"/>
                <w:sz w:val="24"/>
                <w:szCs w:val="24"/>
                <w:u w:val="none"/>
              </w:rPr>
            </w:pPr>
          </w:p>
        </w:tc>
      </w:tr>
      <w:tr w14:paraId="3348E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11B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7DD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配线</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D14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1、名称：摄像机电源线  2、技术参数：RVV2*1.5mm2  3、敷设方式:穿管；4、计量长度按单线延长米，累计用线计，量按实结算。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4B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8E0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35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149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4550">
            <w:pPr>
              <w:jc w:val="center"/>
              <w:rPr>
                <w:rFonts w:hint="eastAsia" w:ascii="宋体" w:hAnsi="宋体" w:eastAsia="宋体" w:cs="宋体"/>
                <w:i w:val="0"/>
                <w:iCs w:val="0"/>
                <w:color w:val="000000"/>
                <w:sz w:val="24"/>
                <w:szCs w:val="24"/>
                <w:u w:val="none"/>
              </w:rPr>
            </w:pPr>
          </w:p>
        </w:tc>
      </w:tr>
      <w:tr w14:paraId="7BDDC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04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B7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配线</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6D5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1、名称：防雷电源线 3、技术参数：0227 IEC01 (BV) 450/750 1×16 3、敷设方式:穿管；4、计量长度按单线延长米，累计用线计，量按实结算。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EB6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318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E6D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1DD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3BC0">
            <w:pPr>
              <w:jc w:val="center"/>
              <w:rPr>
                <w:rFonts w:hint="eastAsia" w:ascii="宋体" w:hAnsi="宋体" w:eastAsia="宋体" w:cs="宋体"/>
                <w:i w:val="0"/>
                <w:iCs w:val="0"/>
                <w:color w:val="000000"/>
                <w:sz w:val="24"/>
                <w:szCs w:val="24"/>
                <w:u w:val="none"/>
              </w:rPr>
            </w:pPr>
          </w:p>
        </w:tc>
      </w:tr>
      <w:tr w14:paraId="641A0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457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2E07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双绞线缆</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3D6E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1、名称：网络线  2、技术参数、规格：6 类，室外线，防鼠咬 3、敷设方式:穿管；4、计量长度按单线延长米，累计用线计，量按实结算。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F4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EE4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1240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1D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51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54388">
            <w:pPr>
              <w:jc w:val="center"/>
              <w:rPr>
                <w:rFonts w:hint="eastAsia" w:ascii="宋体" w:hAnsi="宋体" w:eastAsia="宋体" w:cs="宋体"/>
                <w:i w:val="0"/>
                <w:iCs w:val="0"/>
                <w:color w:val="000000"/>
                <w:sz w:val="24"/>
                <w:szCs w:val="24"/>
                <w:u w:val="none"/>
              </w:rPr>
            </w:pPr>
          </w:p>
        </w:tc>
      </w:tr>
      <w:tr w14:paraId="708D8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D7E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12D3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牵引管道</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A491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1、土壤类别:投标人自行现场勘察 ；2、管材：PE硬质管DN50；3、施工工艺:牵引法施工；4、机械设备:安装、移位、拆除5、其他:挖土、埋设、回填土；6、计量长度按单管延长米计量，按实结算。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317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5FA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3640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4A3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621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3065">
            <w:pPr>
              <w:jc w:val="center"/>
              <w:rPr>
                <w:rFonts w:hint="eastAsia" w:ascii="宋体" w:hAnsi="宋体" w:eastAsia="宋体" w:cs="宋体"/>
                <w:i w:val="0"/>
                <w:iCs w:val="0"/>
                <w:color w:val="000000"/>
                <w:sz w:val="24"/>
                <w:szCs w:val="24"/>
                <w:u w:val="none"/>
              </w:rPr>
            </w:pPr>
          </w:p>
        </w:tc>
      </w:tr>
      <w:tr w14:paraId="51E14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746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E778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埋设管道</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37A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1、部位:绿化带、人行道下；2、名称</w:t>
            </w:r>
            <w:r>
              <w:rPr>
                <w:rFonts w:hint="eastAsia" w:ascii="宋体" w:hAnsi="宋体" w:eastAsia="宋体" w:cs="宋体"/>
                <w:i/>
                <w:iCs/>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PE硬质管；3、规格:DN50；4、敷设方式:地埋敷设；5、土方开挖、回填夯实、余土外运由投标人综合考虑；6、计量长度按单管延长米计量，按实结算。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61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86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50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DD9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5DEC">
            <w:pPr>
              <w:jc w:val="center"/>
              <w:rPr>
                <w:rFonts w:hint="eastAsia" w:ascii="宋体" w:hAnsi="宋体" w:eastAsia="宋体" w:cs="宋体"/>
                <w:i w:val="0"/>
                <w:iCs w:val="0"/>
                <w:color w:val="000000"/>
                <w:sz w:val="24"/>
                <w:szCs w:val="24"/>
                <w:u w:val="none"/>
              </w:rPr>
            </w:pPr>
          </w:p>
        </w:tc>
      </w:tr>
      <w:tr w14:paraId="286E4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7C2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B4C3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工作井</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66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1、名称：接线井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2、技术参数：（1）手孔井开挖尺寸600*600*600mm；（2）井盖采用混凝土井盖；（3）土方开挖、回填夯实、余土外运由投标人综合考虑。详见图纸。</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EB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0A4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0B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EB2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03758">
            <w:pPr>
              <w:jc w:val="center"/>
              <w:rPr>
                <w:rFonts w:hint="eastAsia" w:ascii="宋体" w:hAnsi="宋体" w:eastAsia="宋体" w:cs="宋体"/>
                <w:i w:val="0"/>
                <w:iCs w:val="0"/>
                <w:color w:val="000000"/>
                <w:sz w:val="24"/>
                <w:szCs w:val="24"/>
                <w:u w:val="none"/>
              </w:rPr>
            </w:pPr>
          </w:p>
        </w:tc>
      </w:tr>
      <w:tr w14:paraId="0ADBD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22C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6B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光纤链路租赁</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EF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1、中标方应做好现场光纤布设、汇聚等工作，所有施工中的问题协调、矛盾调处及发生的相关费用由中标人自行解决。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2、总带宽不低于100兆，满足点位所有设备的视频、图片等数据正常传输需求。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3、光纤租赁期为三年（如投标时承诺增加质保年限的，则按承诺质保年限执行），光纤租赁费包含在投标价中。</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6A3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37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9D4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8A5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610EC">
            <w:pPr>
              <w:jc w:val="center"/>
              <w:rPr>
                <w:rFonts w:hint="eastAsia" w:ascii="宋体" w:hAnsi="宋体" w:eastAsia="宋体" w:cs="宋体"/>
                <w:i w:val="0"/>
                <w:iCs w:val="0"/>
                <w:color w:val="000000"/>
                <w:sz w:val="24"/>
                <w:szCs w:val="24"/>
                <w:u w:val="none"/>
              </w:rPr>
            </w:pPr>
          </w:p>
        </w:tc>
      </w:tr>
      <w:tr w14:paraId="51ACA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AD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CF6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铁塔租赁</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D1A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三年（如投标时承诺增加质保年限的，则按承诺质保年限执行）租赁总费用，费用包含设备更换基站电费设备配套支架及全套设备运维服务。</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5BA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C7C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0E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08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CB9E">
            <w:pPr>
              <w:jc w:val="center"/>
              <w:rPr>
                <w:rFonts w:hint="eastAsia" w:ascii="宋体" w:hAnsi="宋体" w:eastAsia="宋体" w:cs="宋体"/>
                <w:i w:val="0"/>
                <w:iCs w:val="0"/>
                <w:color w:val="000000"/>
                <w:sz w:val="24"/>
                <w:szCs w:val="24"/>
                <w:u w:val="none"/>
              </w:rPr>
            </w:pPr>
          </w:p>
        </w:tc>
      </w:tr>
      <w:tr w14:paraId="32AC2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D5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263A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质保期间电费</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443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开户费和三年质保期内使用电费。（如投标时承诺增加质保年限的，则按承诺质保年限执行）</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866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46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CA0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C6C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6685">
            <w:pPr>
              <w:jc w:val="center"/>
              <w:rPr>
                <w:rFonts w:hint="eastAsia" w:ascii="宋体" w:hAnsi="宋体" w:eastAsia="宋体" w:cs="宋体"/>
                <w:i w:val="0"/>
                <w:iCs w:val="0"/>
                <w:color w:val="000000"/>
                <w:sz w:val="24"/>
                <w:szCs w:val="24"/>
                <w:u w:val="none"/>
              </w:rPr>
            </w:pPr>
          </w:p>
        </w:tc>
      </w:tr>
      <w:tr w14:paraId="68878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22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02C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防疲劳激光设备</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AC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1、输入电压:12V或24V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2、功率≤30W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3、控制模式:通电亮灯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4、Y轴：30度左右（手动调节）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5、光点距离:15º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6、激光输出功率:绿2000mW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7、功率稳定性:5％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8、输出光斑直径(mm): ＞8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9、光斑椭圆度:＞0.9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10、预热时间(min):＜15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11、使用温度:-10ºC到35ºC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12、储存温度:40ºC到-10ºC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13、重量: 3kg</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11C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D8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FE8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B0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C6F6F">
            <w:pPr>
              <w:jc w:val="center"/>
              <w:rPr>
                <w:rFonts w:hint="eastAsia" w:ascii="宋体" w:hAnsi="宋体" w:eastAsia="宋体" w:cs="宋体"/>
                <w:i w:val="0"/>
                <w:iCs w:val="0"/>
                <w:color w:val="000000"/>
                <w:sz w:val="24"/>
                <w:szCs w:val="24"/>
                <w:u w:val="none"/>
              </w:rPr>
            </w:pPr>
          </w:p>
        </w:tc>
      </w:tr>
      <w:tr w14:paraId="393E8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16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F8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爆闪警示灯</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0BC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1、光源类型：LED 发光二极管，单灯板通常配置 20 颗（或 30 颗）高亮红/蓝灯珠，配有真空镀膜反光板。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2、亮度与波长：单颗 LED 亮度须达到 5000~8000mcd；红光波长 625±5nm，蓝光波长 460±5nm。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3、可视距离：在夜间无遮挡环境下，有效可视距离须 ≥800米，且在雨雾天气仍具有良好的警示效果。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4、支持爆闪或红蓝交替闪烁模式。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5、配套立柱：1.2m镀锌管立杆。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6、安装基础：500mm×500mm×800mm。</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807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C63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4DF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26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FF464">
            <w:pPr>
              <w:jc w:val="center"/>
              <w:rPr>
                <w:rFonts w:hint="eastAsia" w:ascii="宋体" w:hAnsi="宋体" w:eastAsia="宋体" w:cs="宋体"/>
                <w:i w:val="0"/>
                <w:iCs w:val="0"/>
                <w:color w:val="000000"/>
                <w:sz w:val="24"/>
                <w:szCs w:val="24"/>
                <w:u w:val="none"/>
              </w:rPr>
            </w:pPr>
          </w:p>
        </w:tc>
      </w:tr>
      <w:tr w14:paraId="6C05C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260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BB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灯带</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8AD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1、可视角度/可视距离 ＞30度/＞300M；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2、工作寿命 ＞80000小时；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3、LED灯数量 红灯144颗/米，黄灯144颗/米，绿灯144颗/米；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4、波长 红灯630±5nm，黄灯590±5nm，绿灯505±5nm；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5、亮度 红色4800-6800mcd，黄色4500-6500mcd，绿色8500-10500mcd。</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C40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1B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82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17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7C4ED">
            <w:pPr>
              <w:jc w:val="center"/>
              <w:rPr>
                <w:rFonts w:hint="eastAsia" w:ascii="宋体" w:hAnsi="宋体" w:eastAsia="宋体" w:cs="宋体"/>
                <w:i w:val="0"/>
                <w:iCs w:val="0"/>
                <w:color w:val="000000"/>
                <w:sz w:val="24"/>
                <w:szCs w:val="24"/>
                <w:u w:val="none"/>
              </w:rPr>
            </w:pPr>
          </w:p>
        </w:tc>
      </w:tr>
      <w:tr w14:paraId="656C9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D2F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4D78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横向震荡线</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22B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1、颜色：黄色，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3、材料品种：喷塑高强度热熔标线漆，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4、工程量按实涂面积计算，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5、其他要求：详见设计图纸</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EBD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8B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AD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ED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A4DC6">
            <w:pPr>
              <w:jc w:val="center"/>
              <w:rPr>
                <w:rFonts w:hint="eastAsia" w:ascii="宋体" w:hAnsi="宋体" w:eastAsia="宋体" w:cs="宋体"/>
                <w:i w:val="0"/>
                <w:iCs w:val="0"/>
                <w:color w:val="000000"/>
                <w:sz w:val="24"/>
                <w:szCs w:val="24"/>
                <w:u w:val="none"/>
              </w:rPr>
            </w:pPr>
          </w:p>
        </w:tc>
      </w:tr>
      <w:tr w14:paraId="62E19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7C6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43F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纵向减速标线</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036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1、颜色：白色；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2、厚度：基线厚度1.8mm～2.5mm；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3、材料品种：热熔型反光标线涂料；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4、工程量按实涂面积计算；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5、其他要求：详见设计图纸</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455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93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88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56D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C9572">
            <w:pPr>
              <w:jc w:val="center"/>
              <w:rPr>
                <w:rFonts w:hint="eastAsia" w:ascii="宋体" w:hAnsi="宋体" w:eastAsia="宋体" w:cs="宋体"/>
                <w:i w:val="0"/>
                <w:iCs w:val="0"/>
                <w:color w:val="000000"/>
                <w:sz w:val="24"/>
                <w:szCs w:val="24"/>
                <w:u w:val="none"/>
              </w:rPr>
            </w:pPr>
          </w:p>
        </w:tc>
      </w:tr>
      <w:tr w14:paraId="42D06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217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861A">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t>三、后端存储扩容部分</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58EFA">
            <w:pPr>
              <w:jc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BB17">
            <w:pPr>
              <w:jc w:val="center"/>
              <w:rPr>
                <w:rFonts w:hint="eastAsia" w:ascii="宋体" w:hAnsi="宋体" w:eastAsia="宋体" w:cs="宋体"/>
                <w:i w:val="0"/>
                <w:iCs w:val="0"/>
                <w:color w:val="000000"/>
                <w:sz w:val="24"/>
                <w:szCs w:val="24"/>
                <w:u w:val="none"/>
              </w:rPr>
            </w:pPr>
          </w:p>
        </w:tc>
      </w:tr>
      <w:tr w14:paraId="4844E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7B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61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云存储服务器</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197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1、处理器：≥1颗64位多核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2、系统盘：≥1×480GB SSD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3、系统内存：≥16GB（可扩展至128GB）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4、磁盘接口：≥36个SATA接口，支持硬盘热插拔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5、网络接口：≥7个千兆数据网口，1个千兆管理网口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6、每个控制单元支持双系统应用，外置系统盘支持RAID1模式，系统盘支持热插拔，当主系统出现故障时，备用系统可接管工作；支持系统盘为独立的2块HDD（SATA、SAS）或SSD盘，组成RAID1；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7、系统支持单机（1台）、HA（2台）、集群（3台及以上）部署模式。支持在线扩容、升级。且扩容、升级过程中实时读写业务不中断，扩容后历史数据无需迁移。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9、云系统支持虚拟化存储空间，存储容量可以按需分配，分配的存储空间支持在线扩大和缩小；系统支持资源池空间弹性伸缩时，不影响读写业务；存储容量可以平滑扩容；且动态扩容和缩容时业务不中断。</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18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70A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57C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D5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B7BE">
            <w:pPr>
              <w:jc w:val="center"/>
              <w:rPr>
                <w:rFonts w:hint="eastAsia" w:ascii="宋体" w:hAnsi="宋体" w:eastAsia="宋体" w:cs="宋体"/>
                <w:i w:val="0"/>
                <w:iCs w:val="0"/>
                <w:color w:val="000000"/>
                <w:sz w:val="24"/>
                <w:szCs w:val="24"/>
                <w:u w:val="none"/>
              </w:rPr>
            </w:pPr>
          </w:p>
        </w:tc>
      </w:tr>
      <w:tr w14:paraId="2AD8B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038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B79B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硬盘企业级硬盘</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CC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8TB容量，3.5英寸，SATA3.0接口，7200RPM，</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F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CD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2A9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867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AA08">
            <w:pPr>
              <w:jc w:val="center"/>
              <w:rPr>
                <w:rFonts w:hint="eastAsia" w:ascii="宋体" w:hAnsi="宋体" w:eastAsia="宋体" w:cs="宋体"/>
                <w:i w:val="0"/>
                <w:iCs w:val="0"/>
                <w:color w:val="000000"/>
                <w:sz w:val="24"/>
                <w:szCs w:val="24"/>
                <w:u w:val="none"/>
              </w:rPr>
            </w:pPr>
          </w:p>
        </w:tc>
      </w:tr>
      <w:tr w14:paraId="328BA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33B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E2B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非现场取证备案</w:t>
            </w:r>
          </w:p>
        </w:tc>
        <w:tc>
          <w:tcPr>
            <w:tcW w:w="7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CF3B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按照甲方要求完成非现场执法取证设备备案，实现违法抓拍数据实时上传公安交通集成指挥平台。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1F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点位</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D55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8A1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208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1603">
            <w:pPr>
              <w:jc w:val="center"/>
              <w:rPr>
                <w:rFonts w:hint="eastAsia" w:ascii="宋体" w:hAnsi="宋体" w:eastAsia="宋体" w:cs="宋体"/>
                <w:i w:val="0"/>
                <w:iCs w:val="0"/>
                <w:color w:val="000000"/>
                <w:sz w:val="24"/>
                <w:szCs w:val="24"/>
                <w:u w:val="none"/>
              </w:rPr>
            </w:pPr>
          </w:p>
        </w:tc>
      </w:tr>
      <w:tr w14:paraId="6D67C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4036"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53B87">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总价</w:t>
            </w:r>
          </w:p>
        </w:tc>
      </w:tr>
    </w:tbl>
    <w:p w14:paraId="5A05F580">
      <w:pPr>
        <w:pStyle w:val="2"/>
        <w:rPr>
          <w:rFonts w:hint="eastAsia" w:ascii="宋体" w:hAnsi="宋体" w:eastAsia="宋体" w:cs="宋体"/>
          <w:b/>
          <w:bCs/>
          <w:color w:val="auto"/>
          <w:sz w:val="24"/>
          <w:szCs w:val="24"/>
          <w:highlight w:val="none"/>
          <w:lang w:val="en-US" w:eastAsia="zh-CN"/>
        </w:rPr>
      </w:pPr>
    </w:p>
    <w:p w14:paraId="44A86CF1">
      <w:pPr>
        <w:pStyle w:val="2"/>
        <w:rPr>
          <w:rFonts w:hint="eastAsia"/>
          <w:lang w:val="en-US" w:eastAsia="zh-CN"/>
        </w:rPr>
      </w:pPr>
    </w:p>
    <w:p w14:paraId="1816D48F">
      <w:pPr>
        <w:pStyle w:val="36"/>
        <w:rPr>
          <w:rFonts w:hint="default"/>
          <w:lang w:val="en-US" w:eastAsia="zh-CN"/>
        </w:rPr>
      </w:pPr>
    </w:p>
    <w:p w14:paraId="4E902129">
      <w:pPr>
        <w:pStyle w:val="286"/>
        <w:keepNext w:val="0"/>
        <w:keepLines w:val="0"/>
        <w:pageBreakBefore w:val="0"/>
        <w:widowControl/>
        <w:kinsoku/>
        <w:wordWrap/>
        <w:overflowPunct/>
        <w:topLinePunct w:val="0"/>
        <w:autoSpaceDE/>
        <w:autoSpaceDN/>
        <w:bidi w:val="0"/>
        <w:adjustRightInd/>
        <w:snapToGrid/>
        <w:spacing w:line="500" w:lineRule="exact"/>
        <w:ind w:left="0" w:leftChars="0" w:right="0" w:firstLine="482" w:firstLineChars="200"/>
        <w:textAlignment w:val="auto"/>
        <w:rPr>
          <w:rFonts w:hint="eastAsia" w:ascii="宋体" w:hAnsi="宋体" w:eastAsia="宋体" w:cs="宋体"/>
          <w:b/>
          <w:bCs/>
          <w:color w:val="auto"/>
          <w:kern w:val="2"/>
          <w:sz w:val="24"/>
          <w:szCs w:val="24"/>
          <w:highlight w:val="none"/>
          <w:lang w:val="en-US" w:eastAsia="zh-CN" w:bidi="ar-SA"/>
        </w:rPr>
        <w:sectPr>
          <w:pgSz w:w="16838" w:h="11906" w:orient="landscape"/>
          <w:pgMar w:top="1080" w:right="1440" w:bottom="1080" w:left="1440" w:header="851" w:footer="992" w:gutter="0"/>
          <w:cols w:space="1701" w:num="1"/>
          <w:docGrid w:linePitch="360" w:charSpace="0"/>
        </w:sectPr>
      </w:pPr>
    </w:p>
    <w:p w14:paraId="37AC62ED">
      <w:pPr>
        <w:pStyle w:val="286"/>
        <w:keepNext w:val="0"/>
        <w:keepLines w:val="0"/>
        <w:pageBreakBefore w:val="0"/>
        <w:widowControl/>
        <w:kinsoku/>
        <w:wordWrap/>
        <w:overflowPunct/>
        <w:topLinePunct w:val="0"/>
        <w:autoSpaceDE/>
        <w:autoSpaceDN/>
        <w:bidi w:val="0"/>
        <w:adjustRightInd/>
        <w:snapToGrid/>
        <w:spacing w:line="500" w:lineRule="exact"/>
        <w:ind w:left="0" w:leftChars="0" w:right="0" w:firstLine="482" w:firstLineChars="200"/>
        <w:textAlignment w:val="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四、高空监控点位设备安装</w:t>
      </w:r>
    </w:p>
    <w:p w14:paraId="0F0895BA">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高空监控规划点位要求偏差位置小于50米（含50米），平台高度不低于35米，荷载能力不低于100kg，（壁厚：所有构件均需按照《金属覆盖层钢铁制件热浸镀锌层技术要求及试验方法》GB/T13912进行热镀锌防腐处理。镀层厚度应达到如下要求：当构件厚度≥5mm时，不小于86微米；当构件厚度＜5mm时，不小于65微米。）迎风面积不低于0.6m²，以风荷载为主的荷载标准组合下，单管塔塔顶水平位移不应大于塔高的1/33、角钢塔和三管塔塔顶水平位移不应大于塔高的1/75。</w:t>
      </w:r>
    </w:p>
    <w:tbl>
      <w:tblPr>
        <w:tblStyle w:val="30"/>
        <w:tblW w:w="9071" w:type="dxa"/>
        <w:jc w:val="center"/>
        <w:tblLayout w:type="fixed"/>
        <w:tblCellMar>
          <w:top w:w="0" w:type="dxa"/>
          <w:left w:w="108" w:type="dxa"/>
          <w:bottom w:w="0" w:type="dxa"/>
          <w:right w:w="108" w:type="dxa"/>
        </w:tblCellMar>
      </w:tblPr>
      <w:tblGrid>
        <w:gridCol w:w="3588"/>
        <w:gridCol w:w="2481"/>
        <w:gridCol w:w="3002"/>
      </w:tblGrid>
      <w:tr w14:paraId="65D76F46">
        <w:tblPrEx>
          <w:tblCellMar>
            <w:top w:w="0" w:type="dxa"/>
            <w:left w:w="108" w:type="dxa"/>
            <w:bottom w:w="0" w:type="dxa"/>
            <w:right w:w="108" w:type="dxa"/>
          </w:tblCellMar>
        </w:tblPrEx>
        <w:trPr>
          <w:trHeight w:val="285" w:hRule="atLeast"/>
          <w:jc w:val="center"/>
        </w:trPr>
        <w:tc>
          <w:tcPr>
            <w:tcW w:w="9071" w:type="dxa"/>
            <w:gridSpan w:val="3"/>
            <w:tcBorders>
              <w:top w:val="single" w:color="000000" w:sz="4" w:space="0"/>
              <w:left w:val="single" w:color="000000" w:sz="4" w:space="0"/>
              <w:bottom w:val="single" w:color="000000" w:sz="4" w:space="0"/>
              <w:right w:val="single" w:color="000000" w:sz="4" w:space="0"/>
            </w:tcBorders>
            <w:noWrap/>
            <w:vAlign w:val="bottom"/>
          </w:tcPr>
          <w:p w14:paraId="5AFAE2B0">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规划点位</w:t>
            </w:r>
          </w:p>
        </w:tc>
      </w:tr>
      <w:tr w14:paraId="6CC98595">
        <w:tblPrEx>
          <w:tblCellMar>
            <w:top w:w="0" w:type="dxa"/>
            <w:left w:w="108" w:type="dxa"/>
            <w:bottom w:w="0" w:type="dxa"/>
            <w:right w:w="108" w:type="dxa"/>
          </w:tblCellMar>
        </w:tblPrEx>
        <w:trPr>
          <w:trHeight w:val="285" w:hRule="atLeast"/>
          <w:jc w:val="center"/>
        </w:trPr>
        <w:tc>
          <w:tcPr>
            <w:tcW w:w="3588" w:type="dxa"/>
            <w:tcBorders>
              <w:top w:val="single" w:color="000000" w:sz="4" w:space="0"/>
              <w:left w:val="single" w:color="000000" w:sz="4" w:space="0"/>
              <w:bottom w:val="single" w:color="000000" w:sz="4" w:space="0"/>
              <w:right w:val="single" w:color="000000" w:sz="4" w:space="0"/>
            </w:tcBorders>
            <w:noWrap/>
            <w:vAlign w:val="bottom"/>
          </w:tcPr>
          <w:p w14:paraId="14D4BB81">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高空监控规划点位名称</w:t>
            </w:r>
          </w:p>
        </w:tc>
        <w:tc>
          <w:tcPr>
            <w:tcW w:w="2481" w:type="dxa"/>
            <w:tcBorders>
              <w:top w:val="single" w:color="000000" w:sz="4" w:space="0"/>
              <w:left w:val="single" w:color="000000" w:sz="4" w:space="0"/>
              <w:bottom w:val="single" w:color="000000" w:sz="4" w:space="0"/>
              <w:right w:val="single" w:color="000000" w:sz="4" w:space="0"/>
            </w:tcBorders>
            <w:noWrap/>
            <w:vAlign w:val="bottom"/>
          </w:tcPr>
          <w:p w14:paraId="402A0CFE">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经度</w:t>
            </w:r>
          </w:p>
        </w:tc>
        <w:tc>
          <w:tcPr>
            <w:tcW w:w="3002" w:type="dxa"/>
            <w:tcBorders>
              <w:top w:val="single" w:color="000000" w:sz="4" w:space="0"/>
              <w:left w:val="single" w:color="000000" w:sz="4" w:space="0"/>
              <w:bottom w:val="single" w:color="000000" w:sz="4" w:space="0"/>
              <w:right w:val="single" w:color="000000" w:sz="4" w:space="0"/>
            </w:tcBorders>
            <w:noWrap/>
            <w:vAlign w:val="bottom"/>
          </w:tcPr>
          <w:p w14:paraId="284150E7">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纬度</w:t>
            </w:r>
          </w:p>
        </w:tc>
      </w:tr>
      <w:tr w14:paraId="3DC93645">
        <w:tblPrEx>
          <w:tblCellMar>
            <w:top w:w="0" w:type="dxa"/>
            <w:left w:w="108" w:type="dxa"/>
            <w:bottom w:w="0" w:type="dxa"/>
            <w:right w:w="108" w:type="dxa"/>
          </w:tblCellMar>
        </w:tblPrEx>
        <w:trPr>
          <w:trHeight w:val="90" w:hRule="atLeast"/>
          <w:jc w:val="center"/>
        </w:trPr>
        <w:tc>
          <w:tcPr>
            <w:tcW w:w="3588" w:type="dxa"/>
            <w:tcBorders>
              <w:top w:val="single" w:color="000000" w:sz="4" w:space="0"/>
              <w:left w:val="single" w:color="000000" w:sz="4" w:space="0"/>
              <w:bottom w:val="single" w:color="000000" w:sz="4" w:space="0"/>
              <w:right w:val="single" w:color="000000" w:sz="4" w:space="0"/>
            </w:tcBorders>
            <w:noWrap/>
            <w:vAlign w:val="bottom"/>
          </w:tcPr>
          <w:p w14:paraId="0A1692E7">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规划点位一盐都区龙冈镇褚岗村</w:t>
            </w:r>
          </w:p>
        </w:tc>
        <w:tc>
          <w:tcPr>
            <w:tcW w:w="2481" w:type="dxa"/>
            <w:tcBorders>
              <w:top w:val="single" w:color="000000" w:sz="4" w:space="0"/>
              <w:left w:val="single" w:color="000000" w:sz="4" w:space="0"/>
              <w:bottom w:val="single" w:color="000000" w:sz="4" w:space="0"/>
              <w:right w:val="single" w:color="000000" w:sz="4" w:space="0"/>
            </w:tcBorders>
            <w:noWrap/>
            <w:vAlign w:val="center"/>
          </w:tcPr>
          <w:p w14:paraId="1F0E5F71">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120.00393</w:t>
            </w:r>
          </w:p>
        </w:tc>
        <w:tc>
          <w:tcPr>
            <w:tcW w:w="3002" w:type="dxa"/>
            <w:tcBorders>
              <w:top w:val="single" w:color="000000" w:sz="4" w:space="0"/>
              <w:left w:val="single" w:color="000000" w:sz="4" w:space="0"/>
              <w:bottom w:val="single" w:color="000000" w:sz="4" w:space="0"/>
              <w:right w:val="single" w:color="000000" w:sz="4" w:space="0"/>
            </w:tcBorders>
            <w:noWrap/>
            <w:vAlign w:val="center"/>
          </w:tcPr>
          <w:p w14:paraId="05703C62">
            <w:pPr>
              <w:keepNext w:val="0"/>
              <w:keepLines w:val="0"/>
              <w:pageBreakBefore w:val="0"/>
              <w:widowControl/>
              <w:kinsoku/>
              <w:wordWrap/>
              <w:overflowPunct/>
              <w:topLinePunct w:val="0"/>
              <w:autoSpaceDE/>
              <w:autoSpaceDN/>
              <w:bidi w:val="0"/>
              <w:adjustRightInd/>
              <w:snapToGrid/>
              <w:spacing w:line="500" w:lineRule="exact"/>
              <w:ind w:firstLine="720"/>
              <w:textAlignment w:val="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33.39839</w:t>
            </w:r>
          </w:p>
        </w:tc>
      </w:tr>
    </w:tbl>
    <w:p w14:paraId="53B92168">
      <w:pPr>
        <w:pStyle w:val="28"/>
        <w:keepNext w:val="0"/>
        <w:keepLines w:val="0"/>
        <w:pageBreakBefore w:val="0"/>
        <w:kinsoku/>
        <w:wordWrap/>
        <w:overflowPunct/>
        <w:topLinePunct w:val="0"/>
        <w:autoSpaceDE/>
        <w:autoSpaceDN/>
        <w:bidi w:val="0"/>
        <w:adjustRightInd/>
        <w:snapToGrid/>
        <w:spacing w:beforeLines="0" w:beforeAutospacing="0" w:afterLines="0" w:afterAutospacing="0" w:line="500" w:lineRule="exact"/>
        <w:ind w:firstLine="360"/>
        <w:jc w:val="both"/>
        <w:textAlignment w:val="auto"/>
        <w:rPr>
          <w:rFonts w:hint="eastAsia" w:ascii="宋体" w:hAnsi="宋体"/>
          <w:b/>
          <w:bCs/>
          <w:i/>
          <w:iCs/>
          <w:color w:val="auto"/>
          <w:sz w:val="24"/>
          <w:highlight w:val="none"/>
          <w:u w:val="single"/>
          <w:lang w:val="en-US" w:eastAsia="zh-CN"/>
        </w:rPr>
      </w:pPr>
      <w:r>
        <w:rPr>
          <w:rFonts w:hint="eastAsia" w:ascii="宋体" w:hAnsi="宋体" w:eastAsia="宋体" w:cs="宋体"/>
          <w:b/>
          <w:bCs/>
          <w:i/>
          <w:iCs/>
          <w:color w:val="auto"/>
          <w:sz w:val="24"/>
          <w:szCs w:val="21"/>
          <w:highlight w:val="none"/>
          <w:u w:val="single"/>
          <w:lang w:val="en-US" w:eastAsia="zh-CN" w:bidi="ar-SA"/>
        </w:rPr>
        <w:t>注：</w:t>
      </w:r>
      <w:r>
        <w:rPr>
          <w:rFonts w:hint="eastAsia" w:ascii="宋体" w:hAnsi="宋体" w:cs="宋体"/>
          <w:b/>
          <w:bCs/>
          <w:i/>
          <w:iCs/>
          <w:color w:val="auto"/>
          <w:sz w:val="24"/>
          <w:szCs w:val="21"/>
          <w:highlight w:val="none"/>
          <w:u w:val="single"/>
          <w:lang w:val="en-US" w:eastAsia="zh-CN" w:bidi="ar-SA"/>
        </w:rPr>
        <w:t>投标时</w:t>
      </w:r>
      <w:r>
        <w:rPr>
          <w:rFonts w:hint="eastAsia" w:ascii="宋体" w:hAnsi="宋体"/>
          <w:b/>
          <w:bCs/>
          <w:i/>
          <w:iCs/>
          <w:color w:val="auto"/>
          <w:sz w:val="24"/>
          <w:highlight w:val="none"/>
          <w:u w:val="single"/>
          <w:lang w:val="en-US" w:eastAsia="zh-CN"/>
        </w:rPr>
        <w:t>提供投标人承诺函并加盖投标人公章“承诺内容为：</w:t>
      </w:r>
      <w:r>
        <w:rPr>
          <w:rFonts w:hint="eastAsia" w:ascii="宋体" w:hAnsi="宋体" w:cs="宋体"/>
          <w:b/>
          <w:bCs/>
          <w:i/>
          <w:iCs/>
          <w:color w:val="auto"/>
          <w:sz w:val="24"/>
          <w:szCs w:val="21"/>
          <w:highlight w:val="none"/>
          <w:u w:val="single"/>
          <w:lang w:val="en-US" w:eastAsia="zh-CN" w:bidi="ar-SA"/>
        </w:rPr>
        <w:t>中标后、</w:t>
      </w:r>
      <w:r>
        <w:rPr>
          <w:rFonts w:hint="eastAsia" w:ascii="宋体" w:hAnsi="宋体" w:eastAsia="宋体" w:cs="宋体"/>
          <w:b/>
          <w:bCs/>
          <w:i/>
          <w:iCs/>
          <w:color w:val="auto"/>
          <w:sz w:val="24"/>
          <w:szCs w:val="21"/>
          <w:highlight w:val="none"/>
          <w:u w:val="single"/>
          <w:lang w:val="en-US" w:eastAsia="zh-CN" w:bidi="ar-SA"/>
        </w:rPr>
        <w:t>合同签订前向</w:t>
      </w:r>
      <w:r>
        <w:rPr>
          <w:rFonts w:hint="eastAsia" w:ascii="宋体" w:hAnsi="宋体" w:cs="宋体"/>
          <w:b/>
          <w:bCs/>
          <w:i/>
          <w:iCs/>
          <w:color w:val="auto"/>
          <w:sz w:val="24"/>
          <w:szCs w:val="21"/>
          <w:highlight w:val="none"/>
          <w:u w:val="single"/>
          <w:lang w:val="en-US" w:eastAsia="zh-CN" w:bidi="ar-SA"/>
        </w:rPr>
        <w:t>采购人</w:t>
      </w:r>
      <w:r>
        <w:rPr>
          <w:rFonts w:hint="eastAsia" w:ascii="宋体" w:hAnsi="宋体" w:eastAsia="宋体" w:cs="宋体"/>
          <w:b/>
          <w:bCs/>
          <w:i/>
          <w:iCs/>
          <w:color w:val="auto"/>
          <w:sz w:val="24"/>
          <w:szCs w:val="21"/>
          <w:highlight w:val="none"/>
          <w:u w:val="single"/>
          <w:lang w:val="en-US" w:eastAsia="zh-CN" w:bidi="ar-SA"/>
        </w:rPr>
        <w:t>提供本项目明确使用的高空监控规划点位产权方授权函原件，授权函加盖产权方公章</w:t>
      </w:r>
      <w:r>
        <w:rPr>
          <w:rFonts w:hint="eastAsia" w:ascii="宋体" w:hAnsi="宋体" w:cs="宋体"/>
          <w:b/>
          <w:bCs/>
          <w:i/>
          <w:iCs/>
          <w:color w:val="auto"/>
          <w:sz w:val="24"/>
          <w:szCs w:val="21"/>
          <w:highlight w:val="none"/>
          <w:u w:val="single"/>
          <w:lang w:val="en-US" w:eastAsia="zh-CN" w:bidi="ar-SA"/>
        </w:rPr>
        <w:t>。”。</w:t>
      </w:r>
      <w:r>
        <w:rPr>
          <w:rFonts w:hint="eastAsia" w:ascii="宋体" w:hAnsi="宋体"/>
          <w:b/>
          <w:bCs/>
          <w:i/>
          <w:iCs/>
          <w:color w:val="auto"/>
          <w:sz w:val="24"/>
          <w:highlight w:val="none"/>
          <w:u w:val="single"/>
        </w:rPr>
        <w:t>投标时提供承诺函，格式</w:t>
      </w:r>
      <w:r>
        <w:rPr>
          <w:rFonts w:hint="eastAsia" w:ascii="宋体" w:hAnsi="宋体"/>
          <w:b/>
          <w:bCs/>
          <w:i/>
          <w:iCs/>
          <w:color w:val="auto"/>
          <w:sz w:val="24"/>
          <w:highlight w:val="none"/>
          <w:u w:val="single"/>
          <w:lang w:val="en-US" w:eastAsia="zh-CN"/>
        </w:rPr>
        <w:t>见附件）。</w:t>
      </w:r>
    </w:p>
    <w:p w14:paraId="10AAEF8E">
      <w:pPr>
        <w:pStyle w:val="286"/>
        <w:keepNext w:val="0"/>
        <w:keepLines w:val="0"/>
        <w:pageBreakBefore w:val="0"/>
        <w:widowControl/>
        <w:kinsoku/>
        <w:wordWrap/>
        <w:overflowPunct/>
        <w:topLinePunct w:val="0"/>
        <w:autoSpaceDE/>
        <w:autoSpaceDN/>
        <w:bidi w:val="0"/>
        <w:adjustRightInd/>
        <w:snapToGrid/>
        <w:spacing w:line="500" w:lineRule="exact"/>
        <w:ind w:left="0" w:leftChars="0" w:right="0" w:firstLine="482" w:firstLineChars="200"/>
        <w:textAlignment w:val="auto"/>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五、图纸</w:t>
      </w:r>
    </w:p>
    <w:p w14:paraId="105C772A">
      <w:pPr>
        <w:keepNext w:val="0"/>
        <w:keepLines w:val="0"/>
        <w:pageBreakBefore w:val="0"/>
        <w:widowControl/>
        <w:kinsoku/>
        <w:wordWrap/>
        <w:overflowPunct/>
        <w:topLinePunct w:val="0"/>
        <w:autoSpaceDE/>
        <w:autoSpaceDN/>
        <w:bidi w:val="0"/>
        <w:adjustRightInd/>
        <w:snapToGrid/>
        <w:spacing w:line="500" w:lineRule="exact"/>
        <w:ind w:right="0" w:firstLine="422"/>
        <w:jc w:val="left"/>
        <w:textAlignment w:val="auto"/>
        <w:rPr>
          <w:rFonts w:hint="eastAsia" w:ascii="宋体" w:hAnsi="宋体" w:cs="宋体"/>
          <w:b/>
          <w:bCs/>
          <w:color w:val="auto"/>
          <w:szCs w:val="21"/>
          <w:highlight w:val="none"/>
          <w:lang w:val="en-US" w:eastAsia="zh-CN"/>
        </w:rPr>
      </w:pPr>
      <w:r>
        <w:rPr>
          <w:rFonts w:hint="eastAsia" w:ascii="宋体" w:hAnsi="宋体" w:eastAsia="宋体" w:cs="宋体"/>
          <w:b w:val="0"/>
          <w:bCs w:val="0"/>
          <w:i w:val="0"/>
          <w:iCs w:val="0"/>
          <w:color w:val="auto"/>
          <w:kern w:val="2"/>
          <w:sz w:val="24"/>
          <w:szCs w:val="24"/>
          <w:highlight w:val="none"/>
          <w:lang w:val="en-US" w:eastAsia="zh-CN" w:bidi="ar-SA"/>
        </w:rPr>
        <w:t>另行提供pdf格式。</w:t>
      </w:r>
    </w:p>
    <w:p w14:paraId="71F53961">
      <w:pPr>
        <w:pStyle w:val="47"/>
        <w:keepNext w:val="0"/>
        <w:keepLines w:val="0"/>
        <w:pageBreakBefore w:val="0"/>
        <w:kinsoku/>
        <w:wordWrap/>
        <w:overflowPunct/>
        <w:topLinePunct w:val="0"/>
        <w:autoSpaceDE/>
        <w:autoSpaceDN/>
        <w:bidi w:val="0"/>
        <w:adjustRightInd/>
        <w:snapToGrid/>
        <w:spacing w:line="500" w:lineRule="exact"/>
        <w:ind w:left="0" w:leftChars="0" w:firstLine="482" w:firstLineChars="200"/>
        <w:textAlignment w:val="auto"/>
        <w:rPr>
          <w:rFonts w:ascii="宋体" w:hAnsi="宋体" w:cs="宋体"/>
          <w:color w:val="auto"/>
          <w:sz w:val="24"/>
          <w:szCs w:val="24"/>
          <w:highlight w:val="none"/>
        </w:rPr>
      </w:pPr>
      <w:bookmarkStart w:id="197" w:name="_Toc120614281"/>
      <w:r>
        <w:rPr>
          <w:rFonts w:hint="eastAsia" w:ascii="宋体" w:hAnsi="宋体" w:cs="宋体"/>
          <w:b/>
          <w:color w:val="auto"/>
          <w:sz w:val="24"/>
          <w:szCs w:val="24"/>
          <w:highlight w:val="none"/>
          <w:lang w:val="en-US" w:eastAsia="zh-CN"/>
        </w:rPr>
        <w:t>六</w:t>
      </w:r>
      <w:r>
        <w:rPr>
          <w:rFonts w:hint="eastAsia" w:ascii="宋体" w:hAnsi="宋体" w:cs="宋体"/>
          <w:b/>
          <w:color w:val="auto"/>
          <w:sz w:val="24"/>
          <w:szCs w:val="24"/>
          <w:highlight w:val="none"/>
        </w:rPr>
        <w:t>、投标报价要求</w:t>
      </w:r>
    </w:p>
    <w:p w14:paraId="5E21DA17">
      <w:pPr>
        <w:pStyle w:val="264"/>
        <w:keepNext w:val="0"/>
        <w:keepLines w:val="0"/>
        <w:pageBreakBefore w:val="0"/>
        <w:widowControl w:val="0"/>
        <w:kinsoku/>
        <w:wordWrap/>
        <w:overflowPunct/>
        <w:topLinePunct w:val="0"/>
        <w:autoSpaceDE/>
        <w:autoSpaceDN/>
        <w:bidi w:val="0"/>
        <w:adjustRightInd/>
        <w:snapToGrid/>
        <w:spacing w:afterAutospacing="0"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采购人</w:t>
      </w:r>
      <w:r>
        <w:rPr>
          <w:rFonts w:hint="eastAsia" w:ascii="宋体" w:hAnsi="宋体" w:eastAsia="宋体" w:cs="宋体"/>
          <w:color w:val="auto"/>
          <w:sz w:val="24"/>
          <w:szCs w:val="24"/>
          <w:highlight w:val="none"/>
        </w:rPr>
        <w:t>拒绝高于</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rPr>
        <w:t>的投标报价。</w:t>
      </w:r>
    </w:p>
    <w:p w14:paraId="562634A0">
      <w:pPr>
        <w:pStyle w:val="264"/>
        <w:keepNext w:val="0"/>
        <w:keepLines w:val="0"/>
        <w:pageBreakBefore w:val="0"/>
        <w:widowControl w:val="0"/>
        <w:kinsoku/>
        <w:wordWrap/>
        <w:overflowPunct/>
        <w:topLinePunct w:val="0"/>
        <w:autoSpaceDE/>
        <w:autoSpaceDN/>
        <w:bidi w:val="0"/>
        <w:adjustRightInd/>
        <w:snapToGrid/>
        <w:spacing w:afterAutospacing="0" w:line="500" w:lineRule="exact"/>
        <w:ind w:left="0"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eastAsia="宋体" w:cs="宋体"/>
          <w:color w:val="auto"/>
          <w:sz w:val="24"/>
          <w:szCs w:val="24"/>
          <w:highlight w:val="none"/>
          <w:lang w:val="en-US" w:eastAsia="zh-CN"/>
        </w:rPr>
        <w:t>本项目采用全费用综合单价报价，投标人</w:t>
      </w:r>
      <w:r>
        <w:rPr>
          <w:rFonts w:hint="eastAsia" w:ascii="宋体" w:hAnsi="宋体" w:eastAsia="宋体" w:cs="宋体"/>
          <w:color w:val="auto"/>
          <w:sz w:val="24"/>
          <w:szCs w:val="24"/>
          <w:highlight w:val="none"/>
          <w:lang w:val="zh-CN"/>
        </w:rPr>
        <w:t>应按规定格式报价，该报价应</w:t>
      </w:r>
      <w:r>
        <w:rPr>
          <w:rFonts w:hint="eastAsia" w:ascii="宋体" w:hAnsi="宋体" w:eastAsia="宋体" w:cs="宋体"/>
          <w:color w:val="auto"/>
          <w:sz w:val="24"/>
          <w:szCs w:val="24"/>
          <w:highlight w:val="none"/>
          <w:lang w:val="en-US" w:eastAsia="zh-CN"/>
        </w:rPr>
        <w:t>包括但不限于</w:t>
      </w:r>
      <w:r>
        <w:rPr>
          <w:rFonts w:hint="eastAsia" w:ascii="宋体" w:hAnsi="宋体"/>
          <w:color w:val="auto"/>
          <w:sz w:val="24"/>
          <w:highlight w:val="none"/>
        </w:rPr>
        <w:t>设备材料价格【含全套设备（包括主设备、配套设备、附件等）、管线、</w:t>
      </w:r>
      <w:r>
        <w:rPr>
          <w:rFonts w:hint="eastAsia" w:ascii="宋体" w:hAnsi="宋体"/>
          <w:color w:val="auto"/>
          <w:sz w:val="24"/>
          <w:highlight w:val="none"/>
          <w:lang w:eastAsia="zh-CN"/>
        </w:rPr>
        <w:t>基础、支架</w:t>
      </w:r>
      <w:r>
        <w:rPr>
          <w:rFonts w:hint="eastAsia" w:ascii="宋体" w:hAnsi="宋体"/>
          <w:color w:val="auto"/>
          <w:sz w:val="24"/>
          <w:highlight w:val="none"/>
        </w:rPr>
        <w:t>及其它安装所需辅材、配件、备品备件、技术资料等】、软件价格（含设计、开发、优化、升级等）、直接和间接成本费、材料损耗费、</w:t>
      </w:r>
      <w:r>
        <w:rPr>
          <w:rFonts w:hint="eastAsia" w:ascii="宋体" w:hAnsi="宋体"/>
          <w:color w:val="auto"/>
          <w:sz w:val="24"/>
          <w:highlight w:val="none"/>
          <w:lang w:val="en-US" w:eastAsia="zh-CN"/>
        </w:rPr>
        <w:t>大型机械进出场及安拆费、</w:t>
      </w:r>
      <w:r>
        <w:rPr>
          <w:rFonts w:hint="eastAsia" w:ascii="宋体" w:hAnsi="宋体"/>
          <w:color w:val="auto"/>
          <w:sz w:val="24"/>
          <w:highlight w:val="none"/>
        </w:rPr>
        <w:t>劳务费、竣工面的清洁费、垃圾清运费、包装费、运杂费（含运输费）、装卸费、调试（含试运行）费、系统集成费、保修费、保险费、配合费、安装费、检测费、技术（含操作、维护等）培训、维护、升级、保密及售后服务费、管理费、税金、利润、风险费、成品保护费、不可预见费及其他一切相关费用等所需的全部费用，凡漏项或少计均视为优惠，</w:t>
      </w:r>
      <w:r>
        <w:rPr>
          <w:rFonts w:hint="eastAsia"/>
          <w:color w:val="auto"/>
          <w:sz w:val="24"/>
          <w:highlight w:val="none"/>
          <w:lang w:eastAsia="zh-CN"/>
        </w:rPr>
        <w:t>采购人</w:t>
      </w:r>
      <w:r>
        <w:rPr>
          <w:rFonts w:hint="eastAsia" w:ascii="宋体" w:hAnsi="宋体"/>
          <w:color w:val="auto"/>
          <w:sz w:val="24"/>
          <w:highlight w:val="none"/>
        </w:rPr>
        <w:t>不另行增加费用。各类风险和政策性调整等风险已包括在投标报价中，最终结算时除合同约定调整外一律不予调整</w:t>
      </w:r>
      <w:r>
        <w:rPr>
          <w:rFonts w:hint="eastAsia" w:ascii="宋体" w:hAnsi="宋体" w:eastAsia="宋体" w:cs="宋体"/>
          <w:color w:val="auto"/>
          <w:sz w:val="24"/>
          <w:szCs w:val="24"/>
          <w:highlight w:val="none"/>
          <w:lang w:val="zh-CN"/>
        </w:rPr>
        <w:t>。</w:t>
      </w:r>
    </w:p>
    <w:p w14:paraId="3D258223">
      <w:pPr>
        <w:pStyle w:val="28"/>
        <w:keepLines w:val="0"/>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hAnsi="宋体" w:eastAsia="宋体"/>
          <w:b/>
          <w:bCs/>
          <w:color w:val="auto"/>
          <w:highlight w:val="none"/>
        </w:rPr>
      </w:pPr>
      <w:r>
        <w:rPr>
          <w:rFonts w:hint="eastAsia" w:ascii="宋体" w:hAnsi="宋体"/>
          <w:bCs/>
          <w:color w:val="auto"/>
          <w:sz w:val="24"/>
          <w:szCs w:val="24"/>
          <w:highlight w:val="none"/>
          <w:lang w:val="en-US" w:eastAsia="zh-CN"/>
        </w:rPr>
        <w:t>3</w:t>
      </w:r>
      <w:r>
        <w:rPr>
          <w:rFonts w:hint="eastAsia" w:ascii="宋体" w:hAnsi="宋体" w:eastAsia="宋体"/>
          <w:bCs/>
          <w:color w:val="auto"/>
          <w:highlight w:val="none"/>
        </w:rPr>
        <w:t>、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rPr>
          <w:rFonts w:hint="eastAsia" w:hAnsi="宋体" w:cs="宋体"/>
          <w:color w:val="auto"/>
          <w:sz w:val="21"/>
          <w:szCs w:val="21"/>
          <w:highlight w:val="none"/>
          <w:lang w:val="en-US" w:eastAsia="zh-CN" w:bidi="ar-SA"/>
        </w:rPr>
        <w:t>。</w:t>
      </w:r>
    </w:p>
    <w:p w14:paraId="4297811B">
      <w:pPr>
        <w:pStyle w:val="287"/>
        <w:keepNext w:val="0"/>
        <w:keepLines w:val="0"/>
        <w:pageBreakBefore w:val="0"/>
        <w:kinsoku/>
        <w:wordWrap/>
        <w:overflowPunct/>
        <w:topLinePunct w:val="0"/>
        <w:autoSpaceDE/>
        <w:autoSpaceDN/>
        <w:bidi w:val="0"/>
        <w:adjustRightInd/>
        <w:snapToGrid/>
        <w:spacing w:line="500" w:lineRule="exact"/>
        <w:ind w:firstLine="482"/>
        <w:textAlignment w:val="auto"/>
        <w:outlineLvl w:val="1"/>
        <w:rPr>
          <w:rFonts w:ascii="宋体" w:hAnsi="宋体"/>
          <w:b/>
          <w:color w:val="auto"/>
          <w:sz w:val="24"/>
          <w:szCs w:val="24"/>
          <w:highlight w:val="none"/>
        </w:rPr>
      </w:pPr>
      <w:bookmarkStart w:id="198" w:name="_Toc203032705"/>
      <w:r>
        <w:rPr>
          <w:rFonts w:hint="eastAsia" w:ascii="宋体" w:hAnsi="宋体"/>
          <w:b/>
          <w:color w:val="auto"/>
          <w:sz w:val="24"/>
          <w:szCs w:val="24"/>
          <w:highlight w:val="none"/>
          <w:lang w:val="en-US" w:eastAsia="zh-CN"/>
        </w:rPr>
        <w:t>七</w:t>
      </w:r>
      <w:r>
        <w:rPr>
          <w:rFonts w:hint="eastAsia" w:ascii="宋体" w:hAnsi="宋体"/>
          <w:b/>
          <w:color w:val="auto"/>
          <w:sz w:val="24"/>
          <w:szCs w:val="24"/>
          <w:highlight w:val="none"/>
        </w:rPr>
        <w:t>、</w:t>
      </w:r>
      <w:bookmarkEnd w:id="198"/>
      <w:r>
        <w:rPr>
          <w:rFonts w:hint="eastAsia" w:ascii="宋体" w:hAnsi="宋体"/>
          <w:b/>
          <w:color w:val="auto"/>
          <w:sz w:val="24"/>
          <w:szCs w:val="24"/>
          <w:highlight w:val="none"/>
        </w:rPr>
        <w:t>其他说明及要求</w:t>
      </w:r>
    </w:p>
    <w:p w14:paraId="4E89DE8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olor w:val="auto"/>
          <w:sz w:val="24"/>
          <w:highlight w:val="none"/>
        </w:rPr>
      </w:pPr>
      <w:r>
        <w:rPr>
          <w:rFonts w:hint="eastAsia" w:ascii="宋体" w:hAnsi="宋体"/>
          <w:color w:val="auto"/>
          <w:sz w:val="24"/>
          <w:highlight w:val="none"/>
        </w:rPr>
        <w:t>1、用于本项目的所有产品均要求是全新、未使用过的原装合格正品。</w:t>
      </w:r>
    </w:p>
    <w:p w14:paraId="3788727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olor w:val="auto"/>
          <w:sz w:val="24"/>
          <w:highlight w:val="none"/>
        </w:rPr>
      </w:pPr>
      <w:r>
        <w:rPr>
          <w:rFonts w:hint="eastAsia" w:ascii="宋体" w:hAnsi="宋体"/>
          <w:color w:val="auto"/>
          <w:sz w:val="24"/>
          <w:highlight w:val="none"/>
        </w:rPr>
        <w:t>2、采购货物的交货时间：中标人应当按照投标承诺工期完成安装、调试，如不能如期完成，采购人有权终止合同，中标人须承担由此对采购人造成的损失。</w:t>
      </w:r>
    </w:p>
    <w:p w14:paraId="62B8E1D3">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i/>
          <w:iCs/>
          <w:color w:val="auto"/>
          <w:sz w:val="24"/>
          <w:highlight w:val="none"/>
        </w:rPr>
      </w:pPr>
      <w:r>
        <w:rPr>
          <w:rFonts w:hint="eastAsia" w:ascii="宋体" w:hAnsi="宋体"/>
          <w:b/>
          <w:bCs/>
          <w:i/>
          <w:iCs/>
          <w:color w:val="auto"/>
          <w:sz w:val="24"/>
          <w:highlight w:val="none"/>
          <w:u w:val="single"/>
        </w:rPr>
        <w:t>3、中标人自行完成与盐都交管大队现有管理平台无缝对接实现全部功能。如中标人不能按招标要求或投标承诺完成平台的无缝对接实现全部功能的，采购人有权解除合同，一切责任由中标人承担。用于本项目的产品设备在安装前须报送采购人审查，审查通过后方可用于本项目的施工。否则，采购人将不予以验收，由此产生的一切责任和损失由中标人承担。（投标时提供承诺函，格式</w:t>
      </w:r>
      <w:r>
        <w:rPr>
          <w:rFonts w:hint="eastAsia" w:ascii="宋体" w:hAnsi="宋体"/>
          <w:b/>
          <w:bCs/>
          <w:i/>
          <w:iCs/>
          <w:color w:val="auto"/>
          <w:sz w:val="24"/>
          <w:highlight w:val="none"/>
          <w:u w:val="single"/>
          <w:lang w:val="en-US" w:eastAsia="zh-CN"/>
        </w:rPr>
        <w:t>见附件</w:t>
      </w:r>
      <w:r>
        <w:rPr>
          <w:rFonts w:hint="eastAsia" w:ascii="宋体" w:hAnsi="宋体"/>
          <w:b/>
          <w:bCs/>
          <w:i/>
          <w:iCs/>
          <w:color w:val="auto"/>
          <w:sz w:val="24"/>
          <w:highlight w:val="none"/>
          <w:u w:val="single"/>
        </w:rPr>
        <w:t>）。</w:t>
      </w:r>
    </w:p>
    <w:p w14:paraId="5F5B561B">
      <w:pPr>
        <w:pStyle w:val="286"/>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b/>
          <w:bCs/>
          <w:color w:val="auto"/>
          <w:sz w:val="24"/>
          <w:highlight w:val="none"/>
        </w:rPr>
      </w:pPr>
      <w:bookmarkStart w:id="199" w:name="_Toc195778616"/>
      <w:bookmarkStart w:id="200" w:name="_Toc166856202"/>
      <w:r>
        <w:rPr>
          <w:rFonts w:hint="eastAsia" w:ascii="宋体" w:hAnsi="宋体"/>
          <w:b/>
          <w:bCs/>
          <w:color w:val="auto"/>
          <w:sz w:val="24"/>
          <w:highlight w:val="none"/>
          <w:lang w:val="en-US" w:eastAsia="zh-CN"/>
        </w:rPr>
        <w:t>八</w:t>
      </w:r>
      <w:r>
        <w:rPr>
          <w:rFonts w:hint="eastAsia" w:ascii="宋体" w:hAnsi="宋体"/>
          <w:b/>
          <w:bCs/>
          <w:color w:val="auto"/>
          <w:sz w:val="24"/>
          <w:highlight w:val="none"/>
        </w:rPr>
        <w:t>、</w:t>
      </w:r>
      <w:bookmarkEnd w:id="199"/>
      <w:bookmarkEnd w:id="200"/>
      <w:r>
        <w:rPr>
          <w:rFonts w:hint="eastAsia" w:ascii="宋体" w:hAnsi="宋体"/>
          <w:b/>
          <w:bCs/>
          <w:color w:val="auto"/>
          <w:sz w:val="24"/>
          <w:highlight w:val="none"/>
        </w:rPr>
        <w:t>采购标的对应的中小企业划分标准所属行业一览表</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8"/>
        <w:gridCol w:w="4281"/>
        <w:gridCol w:w="3657"/>
      </w:tblGrid>
      <w:tr w14:paraId="19AD6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1798" w:type="dxa"/>
            <w:vAlign w:val="center"/>
          </w:tcPr>
          <w:p w14:paraId="545F9827">
            <w:pPr>
              <w:pStyle w:val="99"/>
              <w:spacing w:beforeAutospacing="0" w:afterAutospacing="0" w:line="0" w:lineRule="atLeast"/>
              <w:ind w:left="0" w:leftChars="0" w:right="0" w:rightChars="0"/>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bidi="ar-SA"/>
              </w:rPr>
              <w:t>序号</w:t>
            </w:r>
          </w:p>
        </w:tc>
        <w:tc>
          <w:tcPr>
            <w:tcW w:w="4281" w:type="dxa"/>
            <w:vAlign w:val="center"/>
          </w:tcPr>
          <w:p w14:paraId="13AE4DE6">
            <w:pPr>
              <w:pStyle w:val="99"/>
              <w:spacing w:beforeAutospacing="0" w:afterAutospacing="0" w:line="0" w:lineRule="atLeast"/>
              <w:ind w:left="0" w:leftChars="0" w:right="0" w:rightChars="0"/>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bidi="ar-SA"/>
              </w:rPr>
              <w:t>采购标的</w:t>
            </w:r>
          </w:p>
        </w:tc>
        <w:tc>
          <w:tcPr>
            <w:tcW w:w="3657" w:type="dxa"/>
            <w:vAlign w:val="center"/>
          </w:tcPr>
          <w:p w14:paraId="09FBFE87">
            <w:pPr>
              <w:pStyle w:val="99"/>
              <w:spacing w:beforeAutospacing="0" w:afterAutospacing="0" w:line="0" w:lineRule="atLeast"/>
              <w:ind w:left="0" w:leftChars="0" w:right="0" w:rightChars="0"/>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bidi="ar-SA"/>
              </w:rPr>
              <w:t>对应中小企业划分标准所属行业</w:t>
            </w:r>
          </w:p>
        </w:tc>
      </w:tr>
      <w:tr w14:paraId="6073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1798" w:type="dxa"/>
            <w:vAlign w:val="center"/>
          </w:tcPr>
          <w:p w14:paraId="11A2EA06">
            <w:pPr>
              <w:pStyle w:val="99"/>
              <w:spacing w:beforeAutospacing="0" w:afterAutospacing="0" w:line="0" w:lineRule="atLeast"/>
              <w:ind w:left="0" w:leftChars="0" w:right="0" w:rightChars="0"/>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bidi="ar-SA"/>
              </w:rPr>
              <w:t>1</w:t>
            </w:r>
          </w:p>
        </w:tc>
        <w:tc>
          <w:tcPr>
            <w:tcW w:w="4281" w:type="dxa"/>
            <w:vAlign w:val="center"/>
          </w:tcPr>
          <w:p w14:paraId="7B9E6359">
            <w:pPr>
              <w:pStyle w:val="79"/>
              <w:spacing w:after="0" w:line="300" w:lineRule="exact"/>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bidi="ar-SA"/>
              </w:rPr>
              <w:t>盐城市公安局盐都分局交管力量数字化提升项目</w:t>
            </w:r>
          </w:p>
        </w:tc>
        <w:tc>
          <w:tcPr>
            <w:tcW w:w="3657" w:type="dxa"/>
            <w:vAlign w:val="center"/>
          </w:tcPr>
          <w:p w14:paraId="008BCC9C">
            <w:pPr>
              <w:pStyle w:val="99"/>
              <w:spacing w:beforeAutospacing="0" w:afterAutospacing="0" w:line="0" w:lineRule="atLeast"/>
              <w:ind w:left="0" w:leftChars="0" w:right="0" w:rightChars="0"/>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bidi="ar-SA"/>
              </w:rPr>
              <w:t>工业</w:t>
            </w:r>
          </w:p>
        </w:tc>
      </w:tr>
    </w:tbl>
    <w:p w14:paraId="7B0F3EFB">
      <w:pPr>
        <w:pStyle w:val="269"/>
        <w:keepLines w:val="0"/>
        <w:pageBreakBefore w:val="0"/>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bCs/>
          <w:color w:val="auto"/>
          <w:sz w:val="24"/>
          <w:szCs w:val="24"/>
          <w:highlight w:val="none"/>
          <w:lang w:val="en-US" w:eastAsia="zh-CN" w:bidi="ar-SA"/>
        </w:rPr>
      </w:pPr>
    </w:p>
    <w:p w14:paraId="470F34F5">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FF33267">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70693694">
      <w:pPr>
        <w:spacing w:line="360" w:lineRule="auto"/>
        <w:ind w:firstLine="422"/>
        <w:rPr>
          <w:rFonts w:hint="eastAsia" w:ascii="宋体" w:hAnsi="宋体" w:cs="宋体"/>
          <w:b/>
          <w:bCs/>
          <w:color w:val="auto"/>
          <w:szCs w:val="21"/>
          <w:highlight w:val="none"/>
        </w:rPr>
      </w:pPr>
    </w:p>
    <w:p w14:paraId="5CA60A87">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一、定标原则</w:t>
      </w:r>
    </w:p>
    <w:p w14:paraId="193BA79F">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本项目采用</w:t>
      </w:r>
      <w:r>
        <w:rPr>
          <w:rFonts w:hint="eastAsia" w:ascii="宋体" w:hAnsi="宋体" w:cs="宋体"/>
          <w:bCs/>
          <w:color w:val="auto"/>
          <w:sz w:val="24"/>
          <w:szCs w:val="24"/>
          <w:highlight w:val="none"/>
          <w:u w:val="single"/>
        </w:rPr>
        <w:t>综合评分</w:t>
      </w:r>
      <w:r>
        <w:rPr>
          <w:rFonts w:hint="eastAsia" w:ascii="宋体" w:hAnsi="宋体" w:cs="宋体"/>
          <w:bCs/>
          <w:color w:val="auto"/>
          <w:sz w:val="24"/>
          <w:szCs w:val="24"/>
          <w:highlight w:val="none"/>
        </w:rPr>
        <w:t>法。</w:t>
      </w:r>
      <w:r>
        <w:rPr>
          <w:rFonts w:hint="eastAsia" w:ascii="宋体" w:hAnsi="宋体" w:cs="宋体"/>
          <w:color w:val="auto"/>
          <w:sz w:val="24"/>
          <w:szCs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6E72AF3A">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rFonts w:hint="eastAsia" w:ascii="宋体" w:hAnsi="宋体" w:cs="宋体"/>
          <w:color w:val="auto"/>
          <w:sz w:val="24"/>
          <w:szCs w:val="24"/>
          <w:highlight w:val="none"/>
        </w:rPr>
      </w:pPr>
      <w:r>
        <w:rPr>
          <w:rFonts w:hint="eastAsia" w:ascii="宋体" w:hAnsi="宋体" w:cs="宋体"/>
          <w:b/>
          <w:color w:val="auto"/>
          <w:sz w:val="24"/>
          <w:szCs w:val="24"/>
          <w:highlight w:val="none"/>
        </w:rPr>
        <w:t>政府采购政策功能落实</w:t>
      </w:r>
    </w:p>
    <w:p w14:paraId="3F8E667F">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1、小微型企业价格扣除</w:t>
      </w:r>
    </w:p>
    <w:p w14:paraId="7A798C6D">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本项目不专门面向中小企业采购，对符合规定的小型和微型企业报价给予20%的扣除价格，用扣除后的价格参与评审</w:t>
      </w:r>
      <w:r>
        <w:rPr>
          <w:rFonts w:hint="eastAsia" w:ascii="宋体" w:hAnsi="宋体" w:eastAsia="宋体" w:cs="宋体"/>
          <w:color w:val="auto"/>
          <w:sz w:val="24"/>
          <w:szCs w:val="24"/>
          <w:highlight w:val="none"/>
          <w:lang w:eastAsia="zh-CN"/>
        </w:rPr>
        <w:t>。</w:t>
      </w:r>
    </w:p>
    <w:p w14:paraId="3550DACE">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（2）供应商需按照采购文件的要求提供相应的《中小企业声明函》。</w:t>
      </w:r>
    </w:p>
    <w:p w14:paraId="6FFA835A">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（3）企业标准请参照《关于印发中小企业划型标准规定的通知》（工信部联企业〔2011〕300号）文件规定自行填写。</w:t>
      </w:r>
    </w:p>
    <w:p w14:paraId="65E93E19">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2、残疾人福利单位价格扣除</w:t>
      </w:r>
      <w:r>
        <w:rPr>
          <w:rFonts w:hint="eastAsia" w:ascii="宋体" w:hAnsi="宋体" w:eastAsia="宋体" w:cs="宋体"/>
          <w:color w:val="auto"/>
          <w:sz w:val="24"/>
          <w:szCs w:val="24"/>
          <w:highlight w:val="none"/>
        </w:rPr>
        <w:t>，给予20%的价格扣除，用扣除后的价格参与评审</w:t>
      </w:r>
      <w:r>
        <w:rPr>
          <w:rFonts w:hint="eastAsia" w:ascii="宋体" w:hAnsi="宋体" w:eastAsia="宋体" w:cs="宋体"/>
          <w:color w:val="auto"/>
          <w:sz w:val="24"/>
          <w:szCs w:val="24"/>
          <w:highlight w:val="none"/>
          <w:lang w:eastAsia="zh-CN"/>
        </w:rPr>
        <w:t>。</w:t>
      </w:r>
    </w:p>
    <w:p w14:paraId="654AC707">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（1）本项目对残疾人福利性单位视同小型、微型企业。</w:t>
      </w:r>
    </w:p>
    <w:p w14:paraId="1AAA0836">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（2）残疾人福利单位需按照采购文件的要求提供《残疾人福利性单位声明函》。</w:t>
      </w:r>
    </w:p>
    <w:p w14:paraId="7A3D5DD7">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（3）残疾人福利单位标准请参照《关于促进残疾人就业政府采购政策的通知》（财库〔2017〕141号）。</w:t>
      </w:r>
    </w:p>
    <w:p w14:paraId="40F24CF4">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3、监狱和戒毒企业价格扣除</w:t>
      </w:r>
    </w:p>
    <w:p w14:paraId="6418689D">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（1）本项目对监狱和戒毒企业（简称监狱企业）视同小型、微型企业</w:t>
      </w:r>
      <w:r>
        <w:rPr>
          <w:rFonts w:hint="eastAsia" w:ascii="宋体" w:hAnsi="宋体" w:eastAsia="宋体" w:cs="宋体"/>
          <w:color w:val="auto"/>
          <w:sz w:val="24"/>
          <w:szCs w:val="24"/>
          <w:highlight w:val="none"/>
        </w:rPr>
        <w:t>，给予20%的价格扣除，用扣除后的价格参与评审</w:t>
      </w:r>
      <w:r>
        <w:rPr>
          <w:rFonts w:hint="eastAsia" w:ascii="宋体" w:hAnsi="宋体" w:cs="宋体"/>
          <w:color w:val="auto"/>
          <w:sz w:val="24"/>
          <w:szCs w:val="24"/>
          <w:highlight w:val="none"/>
        </w:rPr>
        <w:t>。</w:t>
      </w:r>
    </w:p>
    <w:p w14:paraId="36D3C1F6">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09CE6B31">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（3）监狱企业标准请参照《关于政府采购支持监狱企业发展有关问题的通知》（财库〔2014〕68号）。</w:t>
      </w:r>
    </w:p>
    <w:p w14:paraId="72340AF4">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4、残疾人福利单位、监狱企业属于小型、微型企业的，不重复享受政策。</w:t>
      </w:r>
    </w:p>
    <w:p w14:paraId="4C915A08">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szCs w:val="24"/>
          <w:highlight w:val="none"/>
          <w:u w:val="single"/>
        </w:rPr>
        <w:t>6%</w:t>
      </w:r>
      <w:r>
        <w:rPr>
          <w:rFonts w:hint="eastAsia" w:ascii="宋体" w:hAnsi="宋体" w:cs="宋体"/>
          <w:color w:val="auto"/>
          <w:sz w:val="24"/>
          <w:szCs w:val="24"/>
          <w:highlight w:val="none"/>
        </w:rPr>
        <w:t>的价格扣除，用扣除后的价格参与评审。</w:t>
      </w:r>
    </w:p>
    <w:p w14:paraId="78CCB0AA">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rPr>
        <w:t>6</w:t>
      </w:r>
      <w:r>
        <w:rPr>
          <w:rFonts w:hint="eastAsia" w:ascii="宋体" w:hAnsi="宋体" w:eastAsia="宋体" w:cs="宋体"/>
          <w:color w:val="auto"/>
          <w:sz w:val="24"/>
          <w:szCs w:val="24"/>
          <w:highlight w:val="none"/>
        </w:rPr>
        <w:t>、联合体各方均为小型、微型企业（残疾人福利单位、监狱企业）的，联合体享受</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p>
    <w:p w14:paraId="31D8CA10">
      <w:pPr>
        <w:keepNext w:val="0"/>
        <w:keepLines w:val="0"/>
        <w:pageBreakBefore w:val="0"/>
        <w:widowControl w:val="0"/>
        <w:kinsoku/>
        <w:wordWrap/>
        <w:overflowPunct/>
        <w:topLinePunct w:val="0"/>
        <w:autoSpaceDE/>
        <w:autoSpaceDN/>
        <w:bidi w:val="0"/>
        <w:adjustRightInd/>
        <w:snapToGrid/>
        <w:spacing w:line="500" w:lineRule="exact"/>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7、采购本国产品的支持政策</w:t>
      </w:r>
    </w:p>
    <w:p w14:paraId="157FA116">
      <w:pPr>
        <w:keepNext w:val="0"/>
        <w:keepLines w:val="0"/>
        <w:pageBreakBefore w:val="0"/>
        <w:widowControl w:val="0"/>
        <w:kinsoku/>
        <w:wordWrap/>
        <w:overflowPunct/>
        <w:topLinePunct w:val="0"/>
        <w:autoSpaceDE/>
        <w:autoSpaceDN/>
        <w:bidi w:val="0"/>
        <w:adjustRightInd/>
        <w:snapToGrid/>
        <w:spacing w:line="500" w:lineRule="exact"/>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w:t>
      </w:r>
    </w:p>
    <w:p w14:paraId="3877AB24">
      <w:pPr>
        <w:keepNext w:val="0"/>
        <w:keepLines w:val="0"/>
        <w:pageBreakBefore w:val="0"/>
        <w:widowControl w:val="0"/>
        <w:kinsoku/>
        <w:wordWrap/>
        <w:overflowPunct/>
        <w:topLinePunct w:val="0"/>
        <w:autoSpaceDE/>
        <w:autoSpaceDN/>
        <w:bidi w:val="0"/>
        <w:adjustRightInd/>
        <w:snapToGrid/>
        <w:spacing w:line="500" w:lineRule="exact"/>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80%</w:t>
      </w:r>
      <w:r>
        <w:rPr>
          <w:rFonts w:hint="eastAsia" w:ascii="宋体" w:hAnsi="宋体" w:eastAsia="宋体" w:cs="宋体"/>
          <w:b/>
          <w:bCs/>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的价格扣除，用扣除后的价格参与评审。供应商未填写比例数值，或比例数值未达到80%的，将不享受本国产品价格评审优惠。</w:t>
      </w:r>
    </w:p>
    <w:p w14:paraId="7E46E5F2">
      <w:pPr>
        <w:keepNext w:val="0"/>
        <w:keepLines w:val="0"/>
        <w:pageBreakBefore w:val="0"/>
        <w:widowControl w:val="0"/>
        <w:kinsoku/>
        <w:wordWrap/>
        <w:overflowPunct/>
        <w:topLinePunct w:val="0"/>
        <w:autoSpaceDE/>
        <w:autoSpaceDN/>
        <w:bidi w:val="0"/>
        <w:adjustRightInd/>
        <w:snapToGrid/>
        <w:spacing w:line="500" w:lineRule="exact"/>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7.3 供应商需按照招标文件的要求提供《关于符合本国产品标准的声明函》（以下简称《声明函》），如不提供将不享受本国产品价格评审优惠。</w:t>
      </w:r>
    </w:p>
    <w:p w14:paraId="36DC1048">
      <w:pPr>
        <w:keepNext w:val="0"/>
        <w:keepLines w:val="0"/>
        <w:pageBreakBefore w:val="0"/>
        <w:widowControl w:val="0"/>
        <w:kinsoku/>
        <w:wordWrap/>
        <w:overflowPunct/>
        <w:topLinePunct w:val="0"/>
        <w:autoSpaceDE/>
        <w:autoSpaceDN/>
        <w:bidi w:val="0"/>
        <w:adjustRightInd/>
        <w:snapToGrid/>
        <w:spacing w:line="500" w:lineRule="exact"/>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横</w:t>
      </w:r>
      <w:r>
        <w:rPr>
          <w:rFonts w:hint="eastAsia" w:ascii="宋体" w:hAnsi="宋体" w:eastAsia="宋体" w:cs="宋体"/>
          <w:b/>
          <w:bCs/>
          <w:color w:val="auto"/>
          <w:sz w:val="24"/>
          <w:szCs w:val="24"/>
          <w:highlight w:val="none"/>
        </w:rPr>
        <w:t>线划除的地方无需填写），三项信息中任意一项未填写的视为该项产品不符合本国产品标准，不享受本国产品价格评审优惠。</w:t>
      </w:r>
    </w:p>
    <w:p w14:paraId="0585D135">
      <w:pPr>
        <w:keepNext w:val="0"/>
        <w:keepLines w:val="0"/>
        <w:pageBreakBefore w:val="0"/>
        <w:widowControl w:val="0"/>
        <w:kinsoku/>
        <w:wordWrap/>
        <w:overflowPunct/>
        <w:topLinePunct w:val="0"/>
        <w:autoSpaceDE/>
        <w:autoSpaceDN/>
        <w:bidi w:val="0"/>
        <w:adjustRightInd/>
        <w:snapToGrid/>
        <w:spacing w:line="500" w:lineRule="exact"/>
        <w:ind w:firstLine="422"/>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在苏采云系统</w:t>
      </w:r>
      <w:r>
        <w:rPr>
          <w:rFonts w:hint="eastAsia" w:ascii="宋体" w:hAnsi="宋体" w:eastAsia="宋体" w:cs="宋体"/>
          <w:b/>
          <w:bCs/>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BF2178">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A0579EB">
      <w:pPr>
        <w:keepNext w:val="0"/>
        <w:keepLines w:val="0"/>
        <w:pageBreakBefore w:val="0"/>
        <w:widowControl w:val="0"/>
        <w:kinsoku/>
        <w:wordWrap/>
        <w:overflowPunct/>
        <w:topLinePunct w:val="0"/>
        <w:autoSpaceDE/>
        <w:autoSpaceDN/>
        <w:bidi w:val="0"/>
        <w:adjustRightInd/>
        <w:snapToGrid/>
        <w:spacing w:line="500" w:lineRule="exact"/>
        <w:ind w:firstLine="422"/>
        <w:textAlignment w:val="auto"/>
        <w:rPr>
          <w:color w:val="auto"/>
          <w:highlight w:val="none"/>
        </w:rPr>
      </w:pPr>
      <w:r>
        <w:rPr>
          <w:rFonts w:hint="eastAsia" w:ascii="宋体" w:hAnsi="宋体" w:cs="宋体"/>
          <w:b/>
          <w:color w:val="auto"/>
          <w:sz w:val="24"/>
          <w:szCs w:val="24"/>
          <w:highlight w:val="none"/>
        </w:rPr>
        <w:t>评标方法与评标标准</w:t>
      </w:r>
    </w:p>
    <w:tbl>
      <w:tblPr>
        <w:tblStyle w:val="30"/>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54"/>
        <w:gridCol w:w="814"/>
        <w:gridCol w:w="7184"/>
      </w:tblGrid>
      <w:tr w14:paraId="4131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8" w:hRule="atLeast"/>
        </w:trPr>
        <w:tc>
          <w:tcPr>
            <w:tcW w:w="145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FE96C69">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4"/>
                <w:szCs w:val="24"/>
                <w:highlight w:val="none"/>
                <w:lang w:bidi="ar"/>
              </w:rPr>
            </w:pPr>
            <w:bookmarkStart w:id="201" w:name="_Hlk196127052"/>
            <w:r>
              <w:rPr>
                <w:rFonts w:hint="eastAsia" w:ascii="宋体" w:hAnsi="宋体" w:eastAsia="宋体" w:cs="宋体"/>
                <w:b/>
                <w:color w:val="auto"/>
                <w:sz w:val="24"/>
                <w:szCs w:val="24"/>
                <w:highlight w:val="none"/>
                <w:lang w:bidi="ar"/>
              </w:rPr>
              <w:t>评分项目</w:t>
            </w:r>
          </w:p>
        </w:tc>
        <w:tc>
          <w:tcPr>
            <w:tcW w:w="8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642DE61">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分值</w:t>
            </w:r>
          </w:p>
        </w:tc>
        <w:tc>
          <w:tcPr>
            <w:tcW w:w="718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26B7DBD">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评分标准</w:t>
            </w:r>
          </w:p>
        </w:tc>
      </w:tr>
      <w:tr w14:paraId="55F0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2" w:hRule="atLeast"/>
        </w:trPr>
        <w:tc>
          <w:tcPr>
            <w:tcW w:w="145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5A93F0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投标报价</w:t>
            </w:r>
          </w:p>
        </w:tc>
        <w:tc>
          <w:tcPr>
            <w:tcW w:w="8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D103D8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30</w:t>
            </w:r>
          </w:p>
        </w:tc>
        <w:tc>
          <w:tcPr>
            <w:tcW w:w="718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DE2E628">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满足招标文件要求且投标价格最低的投标报价为评标基准价，其价格分为满分。其他投标人的价格分统一按照下列公式计算：</w:t>
            </w:r>
          </w:p>
          <w:p w14:paraId="5872986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color w:val="auto"/>
                <w:sz w:val="24"/>
                <w:szCs w:val="24"/>
                <w:highlight w:val="none"/>
                <w:lang w:bidi="ar"/>
              </w:rPr>
            </w:pPr>
            <w:r>
              <w:rPr>
                <w:rFonts w:hint="eastAsia" w:ascii="宋体" w:hAnsi="宋体" w:eastAsia="宋体" w:cs="宋体"/>
                <w:b w:val="0"/>
                <w:bCs/>
                <w:color w:val="auto"/>
                <w:sz w:val="24"/>
                <w:szCs w:val="24"/>
                <w:highlight w:val="none"/>
                <w:lang w:bidi="ar"/>
              </w:rPr>
              <w:t>投标报价得分=(评标基准价／投标报价)×30 （该结果四舍五入，保留两位小数）</w:t>
            </w:r>
          </w:p>
        </w:tc>
      </w:tr>
      <w:tr w14:paraId="14FDE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67" w:hRule="atLeast"/>
        </w:trPr>
        <w:tc>
          <w:tcPr>
            <w:tcW w:w="145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DE4DB4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技术参数</w:t>
            </w:r>
          </w:p>
        </w:tc>
        <w:tc>
          <w:tcPr>
            <w:tcW w:w="8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7AE703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color w:val="auto"/>
                <w:sz w:val="24"/>
                <w:szCs w:val="24"/>
                <w:highlight w:val="none"/>
                <w:lang w:val="en-US" w:eastAsia="zh-CN" w:bidi="ar"/>
              </w:rPr>
            </w:pPr>
            <w:r>
              <w:rPr>
                <w:rFonts w:hint="eastAsia" w:ascii="宋体" w:hAnsi="宋体" w:cs="宋体"/>
                <w:b w:val="0"/>
                <w:bCs/>
                <w:color w:val="auto"/>
                <w:sz w:val="24"/>
                <w:szCs w:val="24"/>
                <w:highlight w:val="none"/>
                <w:lang w:val="en-US" w:eastAsia="zh-CN" w:bidi="ar"/>
              </w:rPr>
              <w:t>15</w:t>
            </w:r>
          </w:p>
        </w:tc>
        <w:tc>
          <w:tcPr>
            <w:tcW w:w="718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86605C7">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全部满足招标文件要求的得15分。</w:t>
            </w:r>
          </w:p>
          <w:p w14:paraId="11831A19">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bookmarkStart w:id="202" w:name="OLE_LINK7"/>
            <w:bookmarkStart w:id="203" w:name="OLE_LINK6"/>
            <w:r>
              <w:rPr>
                <w:rFonts w:hint="eastAsia" w:ascii="宋体" w:hAnsi="宋体" w:eastAsia="宋体" w:cs="宋体"/>
                <w:bCs/>
                <w:color w:val="auto"/>
                <w:sz w:val="24"/>
                <w:szCs w:val="24"/>
                <w:highlight w:val="none"/>
                <w:lang w:val="en-US" w:eastAsia="zh-CN"/>
              </w:rPr>
              <w:t>★</w:t>
            </w:r>
            <w:bookmarkEnd w:id="202"/>
            <w:bookmarkEnd w:id="203"/>
            <w:r>
              <w:rPr>
                <w:rFonts w:hint="eastAsia" w:ascii="宋体" w:hAnsi="宋体" w:eastAsia="宋体" w:cs="宋体"/>
                <w:bCs/>
                <w:color w:val="auto"/>
                <w:sz w:val="24"/>
                <w:szCs w:val="24"/>
                <w:highlight w:val="none"/>
                <w:lang w:val="en-US" w:eastAsia="zh-CN"/>
              </w:rPr>
              <w:t>为重要技术参数，采购需求中标★的技术参数，每负偏离1条扣</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分，本项最高扣</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val="en-US" w:eastAsia="zh-CN"/>
              </w:rPr>
              <w:t>分。</w:t>
            </w:r>
          </w:p>
          <w:p w14:paraId="7B930F51">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非标★</w:t>
            </w:r>
            <w:r>
              <w:rPr>
                <w:rFonts w:hint="eastAsia" w:ascii="宋体" w:hAnsi="宋体" w:eastAsia="宋体" w:cs="宋体"/>
                <w:color w:val="auto"/>
                <w:sz w:val="24"/>
                <w:szCs w:val="24"/>
                <w:highlight w:val="none"/>
                <w:lang w:val="en-US" w:eastAsia="zh-CN" w:bidi="en-US"/>
              </w:rPr>
              <w:t>参数</w:t>
            </w:r>
            <w:r>
              <w:rPr>
                <w:rFonts w:hint="eastAsia" w:ascii="宋体" w:hAnsi="宋体" w:eastAsia="宋体" w:cs="宋体"/>
                <w:color w:val="auto"/>
                <w:sz w:val="24"/>
                <w:szCs w:val="24"/>
                <w:highlight w:val="none"/>
                <w:lang w:eastAsia="zh-CN" w:bidi="en-US"/>
              </w:rPr>
              <w:t>不满足要求</w:t>
            </w:r>
            <w:r>
              <w:rPr>
                <w:rFonts w:hint="eastAsia" w:ascii="宋体" w:hAnsi="宋体" w:eastAsia="宋体" w:cs="宋体"/>
                <w:color w:val="auto"/>
                <w:sz w:val="24"/>
                <w:szCs w:val="24"/>
                <w:highlight w:val="none"/>
                <w:lang w:val="en-US" w:eastAsia="zh-CN" w:bidi="en-US"/>
              </w:rPr>
              <w:t>的，</w:t>
            </w:r>
            <w:r>
              <w:rPr>
                <w:rFonts w:hint="eastAsia" w:ascii="宋体" w:hAnsi="宋体" w:eastAsia="宋体" w:cs="宋体"/>
                <w:bCs/>
                <w:color w:val="auto"/>
                <w:sz w:val="24"/>
                <w:szCs w:val="24"/>
                <w:highlight w:val="none"/>
                <w:lang w:val="en-US" w:eastAsia="zh-CN"/>
              </w:rPr>
              <w:t>负偏离1-</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条扣1分，负偏离</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条扣2分，负偏离</w:t>
            </w:r>
            <w:r>
              <w:rPr>
                <w:rFonts w:hint="eastAsia" w:ascii="宋体" w:hAnsi="宋体" w:cs="宋体"/>
                <w:bCs/>
                <w:color w:val="auto"/>
                <w:sz w:val="24"/>
                <w:szCs w:val="24"/>
                <w:highlight w:val="none"/>
                <w:lang w:val="en-US" w:eastAsia="zh-CN"/>
              </w:rPr>
              <w:t>11条</w:t>
            </w:r>
            <w:r>
              <w:rPr>
                <w:rFonts w:hint="eastAsia" w:ascii="宋体" w:hAnsi="宋体" w:eastAsia="宋体" w:cs="宋体"/>
                <w:bCs/>
                <w:color w:val="auto"/>
                <w:sz w:val="24"/>
                <w:szCs w:val="24"/>
                <w:highlight w:val="none"/>
                <w:lang w:val="en-US" w:eastAsia="zh-CN"/>
              </w:rPr>
              <w:t>及以上扣</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w:t>
            </w:r>
          </w:p>
          <w:p w14:paraId="75E1F75F">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color w:val="auto"/>
                <w:sz w:val="24"/>
                <w:szCs w:val="24"/>
                <w:highlight w:val="none"/>
                <w:lang w:bidi="ar"/>
              </w:rPr>
            </w:pPr>
            <w:r>
              <w:rPr>
                <w:rFonts w:hint="eastAsia" w:ascii="宋体" w:hAnsi="宋体" w:eastAsia="宋体" w:cs="宋体"/>
                <w:bCs/>
                <w:color w:val="auto"/>
                <w:sz w:val="24"/>
                <w:szCs w:val="24"/>
                <w:highlight w:val="none"/>
                <w:lang w:val="en-US" w:eastAsia="zh-CN"/>
              </w:rPr>
              <w:t>注：</w:t>
            </w:r>
            <w:r>
              <w:rPr>
                <w:rFonts w:hint="eastAsia" w:ascii="宋体" w:hAnsi="宋体" w:eastAsia="宋体" w:cs="宋体"/>
                <w:color w:val="auto"/>
                <w:sz w:val="24"/>
                <w:szCs w:val="24"/>
                <w:highlight w:val="none"/>
                <w:lang w:eastAsia="zh-CN" w:bidi="en-US"/>
              </w:rPr>
              <w:t>采购需求中要求提供相关证明材料的，须按要求提供相关证明材料，未提供的或提供的材料不符合要求的作负偏离处理；未要求提供相关证明材料的，以投标人提供的《技术要求响应及偏离表》为准。</w:t>
            </w:r>
          </w:p>
        </w:tc>
      </w:tr>
      <w:tr w14:paraId="606E4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9" w:hRule="atLeast"/>
        </w:trPr>
        <w:tc>
          <w:tcPr>
            <w:tcW w:w="1454" w:type="dxa"/>
            <w:noWrap w:val="0"/>
            <w:tcMar>
              <w:top w:w="15" w:type="dxa"/>
              <w:left w:w="15" w:type="dxa"/>
              <w:right w:w="15" w:type="dxa"/>
            </w:tcMar>
            <w:vAlign w:val="center"/>
          </w:tcPr>
          <w:p w14:paraId="1F651BB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类似业绩</w:t>
            </w:r>
          </w:p>
        </w:tc>
        <w:tc>
          <w:tcPr>
            <w:tcW w:w="814" w:type="dxa"/>
            <w:noWrap w:val="0"/>
            <w:tcMar>
              <w:top w:w="15" w:type="dxa"/>
              <w:left w:w="15" w:type="dxa"/>
              <w:right w:w="15" w:type="dxa"/>
            </w:tcMar>
            <w:vAlign w:val="center"/>
          </w:tcPr>
          <w:p w14:paraId="3DBC30E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6</w:t>
            </w:r>
          </w:p>
        </w:tc>
        <w:tc>
          <w:tcPr>
            <w:tcW w:w="7184" w:type="dxa"/>
            <w:noWrap w:val="0"/>
            <w:tcMar>
              <w:top w:w="15" w:type="dxa"/>
              <w:left w:w="15" w:type="dxa"/>
              <w:right w:w="15" w:type="dxa"/>
            </w:tcMar>
            <w:vAlign w:val="center"/>
          </w:tcPr>
          <w:p w14:paraId="341F3F8D">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投标人202</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年1月1日以来（以合同签订日期为准）以来完成过与本项目类似</w:t>
            </w:r>
            <w:r>
              <w:rPr>
                <w:rFonts w:hint="eastAsia" w:ascii="宋体" w:hAnsi="宋体" w:cs="宋体"/>
                <w:bCs/>
                <w:color w:val="auto"/>
                <w:sz w:val="24"/>
                <w:szCs w:val="24"/>
                <w:highlight w:val="none"/>
                <w:lang w:val="en-US" w:eastAsia="zh-CN"/>
              </w:rPr>
              <w:t>智能化项目</w:t>
            </w:r>
            <w:r>
              <w:rPr>
                <w:rFonts w:hint="eastAsia" w:ascii="宋体" w:hAnsi="宋体" w:eastAsia="宋体" w:cs="宋体"/>
                <w:bCs/>
                <w:color w:val="auto"/>
                <w:sz w:val="24"/>
                <w:szCs w:val="24"/>
                <w:highlight w:val="none"/>
                <w:lang w:val="en-US" w:eastAsia="zh-CN"/>
              </w:rPr>
              <w:t>业绩的，每有1个得2分，本项最高得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w:t>
            </w:r>
          </w:p>
          <w:p w14:paraId="702136FD">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注：投标时须同时提供中标(成交)通知书、合同、竣工验收合格证明复印件并加盖投标供应商公章，提供不全或未提供的不得分。</w:t>
            </w:r>
          </w:p>
        </w:tc>
      </w:tr>
      <w:tr w14:paraId="23E5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454" w:type="dxa"/>
            <w:noWrap w:val="0"/>
            <w:tcMar>
              <w:top w:w="15" w:type="dxa"/>
              <w:left w:w="15" w:type="dxa"/>
              <w:right w:w="15" w:type="dxa"/>
            </w:tcMar>
            <w:vAlign w:val="center"/>
          </w:tcPr>
          <w:p w14:paraId="6B6699E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strike w:val="0"/>
                <w:color w:val="auto"/>
                <w:sz w:val="24"/>
                <w:szCs w:val="24"/>
                <w:highlight w:val="none"/>
                <w:u w:val="none"/>
                <w:lang w:eastAsia="zh-CN" w:bidi="ar"/>
              </w:rPr>
            </w:pPr>
            <w:r>
              <w:rPr>
                <w:rFonts w:hint="eastAsia" w:ascii="宋体" w:hAnsi="宋体" w:eastAsia="宋体" w:cs="宋体"/>
                <w:i w:val="0"/>
                <w:iCs w:val="0"/>
                <w:strike w:val="0"/>
                <w:color w:val="auto"/>
                <w:sz w:val="24"/>
                <w:szCs w:val="24"/>
                <w:highlight w:val="none"/>
                <w:u w:val="none"/>
                <w:lang w:val="en-US" w:eastAsia="zh-CN"/>
              </w:rPr>
              <w:t>综合实力</w:t>
            </w:r>
          </w:p>
        </w:tc>
        <w:tc>
          <w:tcPr>
            <w:tcW w:w="814" w:type="dxa"/>
            <w:noWrap w:val="0"/>
            <w:tcMar>
              <w:top w:w="15" w:type="dxa"/>
              <w:left w:w="15" w:type="dxa"/>
              <w:right w:w="15" w:type="dxa"/>
            </w:tcMar>
            <w:vAlign w:val="center"/>
          </w:tcPr>
          <w:p w14:paraId="1463FBF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strike w:val="0"/>
                <w:color w:val="auto"/>
                <w:sz w:val="24"/>
                <w:szCs w:val="24"/>
                <w:highlight w:val="none"/>
                <w:u w:val="none"/>
                <w:lang w:eastAsia="zh-CN" w:bidi="ar"/>
              </w:rPr>
            </w:pPr>
            <w:r>
              <w:rPr>
                <w:rFonts w:hint="eastAsia" w:ascii="宋体" w:hAnsi="宋体" w:eastAsia="宋体" w:cs="宋体"/>
                <w:i w:val="0"/>
                <w:iCs w:val="0"/>
                <w:strike w:val="0"/>
                <w:color w:val="auto"/>
                <w:sz w:val="24"/>
                <w:szCs w:val="24"/>
                <w:highlight w:val="none"/>
                <w:u w:val="none"/>
                <w:lang w:val="en-US" w:eastAsia="zh-CN" w:bidi="ar"/>
              </w:rPr>
              <w:t>5</w:t>
            </w:r>
            <w:bookmarkEnd w:id="201"/>
          </w:p>
        </w:tc>
        <w:tc>
          <w:tcPr>
            <w:tcW w:w="7184" w:type="dxa"/>
            <w:noWrap w:val="0"/>
            <w:tcMar>
              <w:top w:w="15" w:type="dxa"/>
              <w:left w:w="15" w:type="dxa"/>
              <w:right w:w="15" w:type="dxa"/>
            </w:tcMar>
            <w:vAlign w:val="center"/>
          </w:tcPr>
          <w:p w14:paraId="2624E4EF">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投标人具有质量管理体系认证证书、环境管理体系认证证书、职业健康安全管理体系认证证书、信息安全管理体系认证证书、信息技术服务管理体系认证证书，每提供一个证书得1分，本项最高得5分。</w:t>
            </w:r>
          </w:p>
          <w:p w14:paraId="27ED5186">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注：认证证书须在全国认证认可信息公共服务平台网站可查询，网址http</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//cx.cnca.cn/CertECloud/index/index/page。投标时须提供网站截屏并加盖投标人公章及证书原件扫描件并加盖投标人公章，提供不全或未提供的不得分。</w:t>
            </w:r>
          </w:p>
        </w:tc>
      </w:tr>
      <w:tr w14:paraId="21C09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454" w:type="dxa"/>
            <w:noWrap w:val="0"/>
            <w:tcMar>
              <w:top w:w="15" w:type="dxa"/>
              <w:left w:w="15" w:type="dxa"/>
              <w:right w:w="15" w:type="dxa"/>
            </w:tcMar>
            <w:vAlign w:val="center"/>
          </w:tcPr>
          <w:p w14:paraId="24D8720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en-US" w:bidi="ar"/>
              </w:rPr>
              <w:t>项目组人员配备</w:t>
            </w:r>
          </w:p>
        </w:tc>
        <w:tc>
          <w:tcPr>
            <w:tcW w:w="814" w:type="dxa"/>
            <w:noWrap w:val="0"/>
            <w:tcMar>
              <w:top w:w="15" w:type="dxa"/>
              <w:left w:w="15" w:type="dxa"/>
              <w:right w:w="15" w:type="dxa"/>
            </w:tcMar>
            <w:vAlign w:val="center"/>
          </w:tcPr>
          <w:p w14:paraId="596F0C6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5</w:t>
            </w:r>
          </w:p>
        </w:tc>
        <w:tc>
          <w:tcPr>
            <w:tcW w:w="7184" w:type="dxa"/>
            <w:noWrap w:val="0"/>
            <w:tcMar>
              <w:top w:w="15" w:type="dxa"/>
              <w:left w:w="15" w:type="dxa"/>
              <w:right w:w="15" w:type="dxa"/>
            </w:tcMar>
            <w:vAlign w:val="center"/>
          </w:tcPr>
          <w:p w14:paraId="2630660D">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1、投标人拟派项目负责人：具有①人社部门颁发的高级工程师职称证书(电子信息工程类或信息技术类或计算机与软件类)、②</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HYPERLINK "https://www.ruankao.org.cn/article/content/bkzn/03_05.html" \o "系统规划与管理师"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系统规划与管理师</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软考高级）、③信息系统项目管理师证书、④注册信息安全管理人员（CISP）证书、⑤信息技术应用创新服务经理（ITSS）证书的、⑥网络信息安全管理员证书的，每有上述任意一项证书的得1分，本项最高得2分。</w:t>
            </w:r>
          </w:p>
          <w:p w14:paraId="481ED039">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2、投标人拟派项目组成员（除项目负责人外）：具有①人社部门颁发的</w:t>
            </w:r>
            <w:r>
              <w:rPr>
                <w:rFonts w:hint="eastAsia" w:ascii="宋体" w:hAnsi="宋体" w:cs="宋体"/>
                <w:bCs/>
                <w:color w:val="auto"/>
                <w:sz w:val="24"/>
                <w:szCs w:val="24"/>
                <w:highlight w:val="none"/>
                <w:lang w:val="en-US" w:eastAsia="zh-CN"/>
              </w:rPr>
              <w:t>中</w:t>
            </w:r>
            <w:r>
              <w:rPr>
                <w:rFonts w:hint="eastAsia" w:ascii="宋体" w:hAnsi="宋体" w:eastAsia="宋体" w:cs="宋体"/>
                <w:bCs/>
                <w:color w:val="auto"/>
                <w:sz w:val="24"/>
                <w:szCs w:val="24"/>
                <w:highlight w:val="none"/>
                <w:lang w:val="en-US" w:eastAsia="zh-CN"/>
              </w:rPr>
              <w:t>级</w:t>
            </w:r>
            <w:r>
              <w:rPr>
                <w:rFonts w:hint="eastAsia" w:ascii="宋体" w:hAnsi="宋体" w:cs="宋体"/>
                <w:bCs/>
                <w:color w:val="auto"/>
                <w:sz w:val="24"/>
                <w:szCs w:val="24"/>
                <w:highlight w:val="none"/>
                <w:lang w:val="en-US" w:eastAsia="zh-CN"/>
              </w:rPr>
              <w:t>及以上</w:t>
            </w:r>
            <w:r>
              <w:rPr>
                <w:rFonts w:hint="eastAsia" w:ascii="宋体" w:hAnsi="宋体" w:eastAsia="宋体" w:cs="宋体"/>
                <w:bCs/>
                <w:color w:val="auto"/>
                <w:sz w:val="24"/>
                <w:szCs w:val="24"/>
                <w:highlight w:val="none"/>
                <w:lang w:val="en-US" w:eastAsia="zh-CN"/>
              </w:rPr>
              <w:t>工程师职称证书(电子信息工程类或信息技术类或计算机与软件类)</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②网络工程师证书、③软件设计师证书、</w:t>
            </w:r>
            <w:r>
              <w:rPr>
                <w:rFonts w:hint="eastAsia" w:ascii="宋体" w:hAnsi="宋体" w:cs="宋体"/>
                <w:bCs/>
                <w:color w:val="auto"/>
                <w:sz w:val="24"/>
                <w:szCs w:val="24"/>
                <w:highlight w:val="none"/>
                <w:lang w:val="en-US" w:eastAsia="zh-CN"/>
              </w:rPr>
              <w:t>④信息安全工程师、⑤</w:t>
            </w:r>
            <w:r>
              <w:rPr>
                <w:rFonts w:hint="eastAsia" w:ascii="宋体" w:hAnsi="宋体" w:eastAsia="宋体" w:cs="宋体"/>
                <w:bCs/>
                <w:color w:val="auto"/>
                <w:sz w:val="24"/>
                <w:szCs w:val="24"/>
                <w:highlight w:val="none"/>
                <w:lang w:val="en-US" w:eastAsia="zh-CN"/>
              </w:rPr>
              <w:t>系统集成项目管理工程师，具备以上任意一项证书的得1分，本项最高得3分。同一种证书只计一次分，须提供相关人员证书原件扫描件并加盖投标人公章为准。</w:t>
            </w:r>
          </w:p>
          <w:p w14:paraId="363A6B5A">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上述1-2项，投标时须提供人员组成表（格式自拟）及人员证书原件扫描件，同时需提供投标截止当月（不含）向前6个月内任意1个月在本单位缴纳养老保险（投标人通过补缴使得项目实施人员的参保符合要求的不予认可）。社保证明须注明缴费起止时间且加盖社保部门有效章印，投标人也可提供印有社会保险管理中心参保缴费证明电子专用章的养老保险缴费清单和参保缴费证明查询途径（事业单位也可提供人社部门出具的该单位及项目组人员事业性质证明原件扫描件；如是返聘人员，只需提供退休证明及与本单位签订的返聘合同扫描件，无需提供人社资料），否则不予计分。</w:t>
            </w:r>
          </w:p>
        </w:tc>
      </w:tr>
      <w:tr w14:paraId="075E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454" w:type="dxa"/>
            <w:noWrap w:val="0"/>
            <w:tcMar>
              <w:top w:w="15" w:type="dxa"/>
              <w:left w:w="15" w:type="dxa"/>
              <w:right w:w="15" w:type="dxa"/>
            </w:tcMar>
            <w:vAlign w:val="center"/>
          </w:tcPr>
          <w:p w14:paraId="3C8522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rFonts w:hint="eastAsia" w:ascii="宋体" w:hAnsi="宋体" w:eastAsia="宋体" w:cs="宋体"/>
                <w:color w:val="auto"/>
                <w:sz w:val="24"/>
                <w:szCs w:val="24"/>
                <w:highlight w:val="none"/>
                <w:lang w:val="en-US" w:eastAsia="en-US" w:bidi="ar"/>
              </w:rPr>
            </w:pPr>
            <w:r>
              <w:rPr>
                <w:rFonts w:hint="eastAsia" w:ascii="宋体" w:hAnsi="宋体" w:eastAsia="宋体" w:cs="宋体"/>
                <w:b w:val="0"/>
                <w:bCs w:val="0"/>
                <w:color w:val="auto"/>
                <w:sz w:val="24"/>
                <w:szCs w:val="24"/>
                <w:highlight w:val="none"/>
                <w:lang w:val="en-US" w:eastAsia="zh-CN"/>
              </w:rPr>
              <w:t>质保期服务</w:t>
            </w:r>
          </w:p>
        </w:tc>
        <w:tc>
          <w:tcPr>
            <w:tcW w:w="814" w:type="dxa"/>
            <w:noWrap w:val="0"/>
            <w:tcMar>
              <w:top w:w="15" w:type="dxa"/>
              <w:left w:w="15" w:type="dxa"/>
              <w:right w:w="15" w:type="dxa"/>
            </w:tcMar>
            <w:vAlign w:val="center"/>
          </w:tcPr>
          <w:p w14:paraId="2B74DFF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9</w:t>
            </w:r>
          </w:p>
        </w:tc>
        <w:tc>
          <w:tcPr>
            <w:tcW w:w="7184" w:type="dxa"/>
            <w:noWrap w:val="0"/>
            <w:tcMar>
              <w:top w:w="15" w:type="dxa"/>
              <w:left w:w="15" w:type="dxa"/>
              <w:right w:w="15" w:type="dxa"/>
            </w:tcMar>
            <w:vAlign w:val="center"/>
          </w:tcPr>
          <w:p w14:paraId="78207E80">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1、投标人承诺的质保期在招标文件基本要求（3年）基础上，每增加1年得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分，最多得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注：承诺质保期增加年限的则投标清单内中标人承担的“</w:t>
            </w:r>
            <w:r>
              <w:rPr>
                <w:rFonts w:hint="eastAsia" w:ascii="宋体" w:hAnsi="宋体" w:cs="宋体"/>
                <w:color w:val="auto"/>
                <w:sz w:val="24"/>
                <w:szCs w:val="32"/>
                <w:highlight w:val="none"/>
                <w:lang w:val="en-US" w:eastAsia="zh-CN"/>
              </w:rPr>
              <w:t>质保期电费、光纤租赁费、铁塔租赁费</w:t>
            </w:r>
            <w:r>
              <w:rPr>
                <w:rFonts w:hint="eastAsia" w:ascii="宋体" w:hAnsi="宋体" w:eastAsia="宋体" w:cs="宋体"/>
                <w:color w:val="auto"/>
                <w:sz w:val="24"/>
                <w:szCs w:val="32"/>
                <w:highlight w:val="none"/>
                <w:lang w:val="en-US" w:eastAsia="zh-CN"/>
              </w:rPr>
              <w:t>”年限也同步增加。）</w:t>
            </w:r>
          </w:p>
          <w:p w14:paraId="6E6D573D">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2、投标人承诺在招标文件基本要求的质保期（3年）内安排一名运维人员</w:t>
            </w:r>
            <w:r>
              <w:rPr>
                <w:rFonts w:hint="eastAsia" w:ascii="宋体" w:hAnsi="宋体" w:cs="宋体"/>
                <w:bCs/>
                <w:color w:val="auto"/>
                <w:sz w:val="24"/>
                <w:szCs w:val="24"/>
                <w:highlight w:val="none"/>
                <w:lang w:val="en-US" w:eastAsia="zh-CN"/>
              </w:rPr>
              <w:t>（本科及以上学历，具有智能化或信息工程工作经验）</w:t>
            </w:r>
            <w:r>
              <w:rPr>
                <w:rFonts w:hint="eastAsia" w:ascii="宋体" w:hAnsi="宋体" w:eastAsia="宋体" w:cs="宋体"/>
                <w:bCs/>
                <w:color w:val="auto"/>
                <w:sz w:val="24"/>
                <w:szCs w:val="24"/>
                <w:highlight w:val="none"/>
                <w:lang w:val="en-US" w:eastAsia="zh-CN"/>
              </w:rPr>
              <w:t>提供驻场服务的（该服务人员接受交管部门的工作安排，与区公安交管部门同步上班考勤），得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w:t>
            </w:r>
          </w:p>
          <w:p w14:paraId="16BF8389">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w:t>
            </w:r>
            <w:r>
              <w:rPr>
                <w:rFonts w:hint="eastAsia" w:ascii="宋体" w:hAnsi="宋体" w:cs="宋体"/>
                <w:bCs/>
                <w:color w:val="auto"/>
                <w:sz w:val="24"/>
                <w:szCs w:val="24"/>
                <w:highlight w:val="none"/>
                <w:lang w:val="en-US" w:eastAsia="zh-CN"/>
              </w:rPr>
              <w:t>上述1-2条，</w:t>
            </w:r>
            <w:r>
              <w:rPr>
                <w:rFonts w:hint="eastAsia" w:ascii="宋体" w:hAnsi="宋体" w:eastAsia="宋体" w:cs="宋体"/>
                <w:bCs/>
                <w:color w:val="auto"/>
                <w:sz w:val="24"/>
                <w:szCs w:val="24"/>
                <w:highlight w:val="none"/>
                <w:lang w:val="en-US" w:eastAsia="zh-CN"/>
              </w:rPr>
              <w:t>以提供承诺函加盖投标人公章为准，格式</w:t>
            </w:r>
            <w:r>
              <w:rPr>
                <w:rFonts w:hint="eastAsia" w:ascii="宋体" w:hAnsi="宋体" w:cs="宋体"/>
                <w:color w:val="auto"/>
                <w:sz w:val="24"/>
                <w:szCs w:val="32"/>
                <w:highlight w:val="none"/>
                <w:lang w:val="en-US" w:eastAsia="zh-CN"/>
              </w:rPr>
              <w:t>见附件</w:t>
            </w:r>
            <w:r>
              <w:rPr>
                <w:rFonts w:hint="eastAsia" w:ascii="宋体" w:hAnsi="宋体" w:eastAsia="宋体" w:cs="宋体"/>
                <w:bCs/>
                <w:color w:val="auto"/>
                <w:sz w:val="24"/>
                <w:szCs w:val="24"/>
                <w:highlight w:val="none"/>
                <w:lang w:val="en-US" w:eastAsia="zh-CN"/>
              </w:rPr>
              <w:t>。</w:t>
            </w:r>
          </w:p>
        </w:tc>
      </w:tr>
      <w:tr w14:paraId="48F3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8" w:hRule="atLeast"/>
        </w:trPr>
        <w:tc>
          <w:tcPr>
            <w:tcW w:w="1454" w:type="dxa"/>
            <w:shd w:val="clear" w:color="auto" w:fill="auto"/>
            <w:noWrap w:val="0"/>
            <w:tcMar>
              <w:top w:w="15" w:type="dxa"/>
              <w:left w:w="15" w:type="dxa"/>
              <w:right w:w="15" w:type="dxa"/>
            </w:tcMar>
            <w:vAlign w:val="center"/>
          </w:tcPr>
          <w:p w14:paraId="797B9C8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项目实施方案</w:t>
            </w:r>
          </w:p>
        </w:tc>
        <w:tc>
          <w:tcPr>
            <w:tcW w:w="814" w:type="dxa"/>
            <w:shd w:val="clear" w:color="auto" w:fill="auto"/>
            <w:noWrap w:val="0"/>
            <w:tcMar>
              <w:top w:w="15" w:type="dxa"/>
              <w:left w:w="15" w:type="dxa"/>
              <w:right w:w="15" w:type="dxa"/>
            </w:tcMar>
            <w:vAlign w:val="center"/>
          </w:tcPr>
          <w:p w14:paraId="19475BC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30</w:t>
            </w:r>
          </w:p>
        </w:tc>
        <w:tc>
          <w:tcPr>
            <w:tcW w:w="7184" w:type="dxa"/>
            <w:shd w:val="clear" w:color="auto" w:fill="auto"/>
            <w:noWrap w:val="0"/>
            <w:tcMar>
              <w:top w:w="15" w:type="dxa"/>
              <w:left w:w="15" w:type="dxa"/>
              <w:right w:w="15" w:type="dxa"/>
            </w:tcMar>
            <w:vAlign w:val="top"/>
          </w:tcPr>
          <w:p w14:paraId="5D369CC2">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val="en-US" w:eastAsia="zh-CN" w:bidi="en-US"/>
              </w:rPr>
              <w:t>根据</w:t>
            </w:r>
            <w:r>
              <w:rPr>
                <w:rFonts w:hint="eastAsia" w:ascii="宋体" w:hAnsi="宋体" w:eastAsia="宋体" w:cs="宋体"/>
                <w:color w:val="auto"/>
                <w:sz w:val="24"/>
                <w:szCs w:val="24"/>
                <w:highlight w:val="none"/>
                <w:lang w:eastAsia="zh-CN" w:bidi="en-US"/>
              </w:rPr>
              <w:t>项目要求，投标人根据</w:t>
            </w:r>
            <w:r>
              <w:rPr>
                <w:rFonts w:hint="eastAsia" w:ascii="宋体" w:hAnsi="宋体" w:eastAsia="宋体" w:cs="宋体"/>
                <w:color w:val="auto"/>
                <w:sz w:val="24"/>
                <w:szCs w:val="24"/>
                <w:highlight w:val="none"/>
                <w:lang w:val="en-US" w:eastAsia="zh-CN" w:bidi="en-US"/>
              </w:rPr>
              <w:t>本项目</w:t>
            </w:r>
            <w:r>
              <w:rPr>
                <w:rFonts w:hint="eastAsia" w:ascii="宋体" w:hAnsi="宋体" w:eastAsia="宋体" w:cs="宋体"/>
                <w:color w:val="auto"/>
                <w:sz w:val="24"/>
                <w:szCs w:val="24"/>
                <w:highlight w:val="none"/>
                <w:lang w:eastAsia="zh-CN" w:bidi="en-US"/>
              </w:rPr>
              <w:t>实际情况制定合理的</w:t>
            </w:r>
            <w:r>
              <w:rPr>
                <w:rFonts w:hint="eastAsia" w:ascii="宋体" w:hAnsi="宋体" w:eastAsia="宋体" w:cs="宋体"/>
                <w:color w:val="auto"/>
                <w:sz w:val="24"/>
                <w:szCs w:val="24"/>
                <w:highlight w:val="none"/>
                <w:lang w:val="en-US" w:eastAsia="en-US" w:bidi="ar"/>
              </w:rPr>
              <w:t>项目实施方案</w:t>
            </w:r>
            <w:r>
              <w:rPr>
                <w:rFonts w:hint="eastAsia" w:ascii="宋体" w:hAnsi="宋体" w:eastAsia="宋体" w:cs="宋体"/>
                <w:color w:val="auto"/>
                <w:sz w:val="24"/>
                <w:szCs w:val="24"/>
                <w:highlight w:val="none"/>
                <w:lang w:eastAsia="zh-CN" w:bidi="en-US"/>
              </w:rPr>
              <w:t>，方案须包括但不限于如下内容：</w:t>
            </w:r>
          </w:p>
          <w:p w14:paraId="39E37A14">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1、供货及安装方案（5分）</w:t>
            </w:r>
          </w:p>
          <w:p w14:paraId="4B183EFC">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val="en-US" w:eastAsia="zh-CN" w:bidi="en-US"/>
              </w:rPr>
              <w:t>施工准备充分、施工目标明确、安装</w:t>
            </w:r>
            <w:r>
              <w:rPr>
                <w:rFonts w:hint="eastAsia" w:ascii="宋体" w:hAnsi="宋体" w:eastAsia="宋体" w:cs="宋体"/>
                <w:color w:val="auto"/>
                <w:sz w:val="24"/>
                <w:szCs w:val="24"/>
                <w:highlight w:val="none"/>
                <w:lang w:eastAsia="zh-CN" w:bidi="en-US"/>
              </w:rPr>
              <w:t>技术措施切实可行的得</w:t>
            </w:r>
            <w:r>
              <w:rPr>
                <w:rFonts w:hint="eastAsia" w:ascii="宋体" w:hAnsi="宋体" w:eastAsia="宋体" w:cs="宋体"/>
                <w:color w:val="auto"/>
                <w:sz w:val="24"/>
                <w:szCs w:val="24"/>
                <w:highlight w:val="none"/>
                <w:lang w:val="en-US" w:eastAsia="zh-CN" w:bidi="en-US"/>
              </w:rPr>
              <w:t>5</w:t>
            </w:r>
            <w:r>
              <w:rPr>
                <w:rFonts w:hint="eastAsia" w:ascii="宋体" w:hAnsi="宋体" w:eastAsia="宋体" w:cs="宋体"/>
                <w:color w:val="auto"/>
                <w:sz w:val="24"/>
                <w:szCs w:val="24"/>
                <w:highlight w:val="none"/>
                <w:lang w:eastAsia="zh-CN" w:bidi="en-US"/>
              </w:rPr>
              <w:t>分；</w:t>
            </w:r>
            <w:r>
              <w:rPr>
                <w:rFonts w:hint="eastAsia" w:ascii="宋体" w:hAnsi="宋体" w:eastAsia="宋体" w:cs="宋体"/>
                <w:color w:val="auto"/>
                <w:sz w:val="24"/>
                <w:szCs w:val="24"/>
                <w:highlight w:val="none"/>
                <w:lang w:val="en-US" w:eastAsia="zh-CN" w:bidi="en-US"/>
              </w:rPr>
              <w:t>施工准备基本充分</w:t>
            </w:r>
            <w:r>
              <w:rPr>
                <w:rFonts w:hint="eastAsia" w:ascii="宋体" w:hAnsi="宋体" w:eastAsia="宋体" w:cs="宋体"/>
                <w:color w:val="auto"/>
                <w:sz w:val="24"/>
                <w:szCs w:val="24"/>
                <w:highlight w:val="none"/>
                <w:lang w:eastAsia="zh-CN" w:bidi="en-US"/>
              </w:rPr>
              <w:t>、</w:t>
            </w:r>
            <w:r>
              <w:rPr>
                <w:rFonts w:hint="eastAsia" w:ascii="宋体" w:hAnsi="宋体" w:eastAsia="宋体" w:cs="宋体"/>
                <w:color w:val="auto"/>
                <w:sz w:val="24"/>
                <w:szCs w:val="24"/>
                <w:highlight w:val="none"/>
                <w:lang w:val="en-US" w:eastAsia="zh-CN" w:bidi="en-US"/>
              </w:rPr>
              <w:t>施工目标较为明确</w:t>
            </w:r>
            <w:r>
              <w:rPr>
                <w:rFonts w:hint="eastAsia" w:ascii="宋体" w:hAnsi="宋体" w:eastAsia="宋体" w:cs="宋体"/>
                <w:color w:val="auto"/>
                <w:sz w:val="24"/>
                <w:szCs w:val="24"/>
                <w:highlight w:val="none"/>
                <w:lang w:eastAsia="zh-CN" w:bidi="en-US"/>
              </w:rPr>
              <w:t>、</w:t>
            </w:r>
            <w:r>
              <w:rPr>
                <w:rFonts w:hint="eastAsia" w:ascii="宋体" w:hAnsi="宋体" w:eastAsia="宋体" w:cs="宋体"/>
                <w:color w:val="auto"/>
                <w:sz w:val="24"/>
                <w:szCs w:val="24"/>
                <w:highlight w:val="none"/>
                <w:lang w:val="en-US" w:eastAsia="zh-CN" w:bidi="en-US"/>
              </w:rPr>
              <w:t>安装</w:t>
            </w:r>
            <w:r>
              <w:rPr>
                <w:rFonts w:hint="eastAsia" w:ascii="宋体" w:hAnsi="宋体" w:eastAsia="宋体" w:cs="宋体"/>
                <w:color w:val="auto"/>
                <w:sz w:val="24"/>
                <w:szCs w:val="24"/>
                <w:highlight w:val="none"/>
                <w:lang w:eastAsia="zh-CN" w:bidi="en-US"/>
              </w:rPr>
              <w:t>技术措施基本可行的得</w:t>
            </w:r>
            <w:r>
              <w:rPr>
                <w:rFonts w:hint="eastAsia" w:ascii="宋体" w:hAnsi="宋体" w:eastAsia="宋体" w:cs="宋体"/>
                <w:color w:val="auto"/>
                <w:sz w:val="24"/>
                <w:szCs w:val="24"/>
                <w:highlight w:val="none"/>
                <w:lang w:val="en-US" w:eastAsia="zh-CN" w:bidi="en-US"/>
              </w:rPr>
              <w:t>4</w:t>
            </w:r>
            <w:r>
              <w:rPr>
                <w:rFonts w:hint="eastAsia" w:ascii="宋体" w:hAnsi="宋体" w:eastAsia="宋体" w:cs="宋体"/>
                <w:color w:val="auto"/>
                <w:sz w:val="24"/>
                <w:szCs w:val="24"/>
                <w:highlight w:val="none"/>
                <w:lang w:eastAsia="zh-CN" w:bidi="en-US"/>
              </w:rPr>
              <w:t>分；内容略有缺失、合理性及可行性有欠缺的得</w:t>
            </w:r>
            <w:r>
              <w:rPr>
                <w:rFonts w:hint="eastAsia" w:ascii="宋体" w:hAnsi="宋体" w:eastAsia="宋体" w:cs="宋体"/>
                <w:color w:val="auto"/>
                <w:sz w:val="24"/>
                <w:szCs w:val="24"/>
                <w:highlight w:val="none"/>
                <w:lang w:val="en-US" w:eastAsia="zh-CN" w:bidi="en-US"/>
              </w:rPr>
              <w:t>3</w:t>
            </w:r>
            <w:r>
              <w:rPr>
                <w:rFonts w:hint="eastAsia" w:ascii="宋体" w:hAnsi="宋体" w:eastAsia="宋体" w:cs="宋体"/>
                <w:color w:val="auto"/>
                <w:sz w:val="24"/>
                <w:szCs w:val="24"/>
                <w:highlight w:val="none"/>
                <w:lang w:eastAsia="zh-CN" w:bidi="en-US"/>
              </w:rPr>
              <w:t>分，未提供本项内容的不得分。</w:t>
            </w:r>
          </w:p>
          <w:p w14:paraId="747DAE32">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2、施工人员安排（5分）</w:t>
            </w:r>
          </w:p>
          <w:p w14:paraId="3AB48875">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eastAsia="zh-CN" w:bidi="en-US"/>
              </w:rPr>
              <w:t>人员安排合理、分工明确、切实可行的得</w:t>
            </w:r>
            <w:r>
              <w:rPr>
                <w:rFonts w:hint="eastAsia" w:ascii="宋体" w:hAnsi="宋体" w:eastAsia="宋体" w:cs="宋体"/>
                <w:color w:val="auto"/>
                <w:sz w:val="24"/>
                <w:szCs w:val="24"/>
                <w:highlight w:val="none"/>
                <w:lang w:val="en-US" w:eastAsia="zh-CN" w:bidi="en-US"/>
              </w:rPr>
              <w:t>5</w:t>
            </w:r>
            <w:r>
              <w:rPr>
                <w:rFonts w:hint="eastAsia" w:ascii="宋体" w:hAnsi="宋体" w:eastAsia="宋体" w:cs="宋体"/>
                <w:color w:val="auto"/>
                <w:sz w:val="24"/>
                <w:szCs w:val="24"/>
                <w:highlight w:val="none"/>
                <w:lang w:eastAsia="zh-CN" w:bidi="en-US"/>
              </w:rPr>
              <w:t>分；人员安排基本合理、分工较强、基本可行的得</w:t>
            </w:r>
            <w:r>
              <w:rPr>
                <w:rFonts w:hint="eastAsia" w:ascii="宋体" w:hAnsi="宋体" w:eastAsia="宋体" w:cs="宋体"/>
                <w:color w:val="auto"/>
                <w:sz w:val="24"/>
                <w:szCs w:val="24"/>
                <w:highlight w:val="none"/>
                <w:lang w:val="en-US" w:eastAsia="zh-CN" w:bidi="en-US"/>
              </w:rPr>
              <w:t>4</w:t>
            </w:r>
            <w:r>
              <w:rPr>
                <w:rFonts w:hint="eastAsia" w:ascii="宋体" w:hAnsi="宋体" w:eastAsia="宋体" w:cs="宋体"/>
                <w:color w:val="auto"/>
                <w:sz w:val="24"/>
                <w:szCs w:val="24"/>
                <w:highlight w:val="none"/>
                <w:lang w:eastAsia="zh-CN" w:bidi="en-US"/>
              </w:rPr>
              <w:t>分；人员安排、分工及可行性有欠缺的得</w:t>
            </w:r>
            <w:r>
              <w:rPr>
                <w:rFonts w:hint="eastAsia" w:ascii="宋体" w:hAnsi="宋体" w:eastAsia="宋体" w:cs="宋体"/>
                <w:color w:val="auto"/>
                <w:sz w:val="24"/>
                <w:szCs w:val="24"/>
                <w:highlight w:val="none"/>
                <w:lang w:val="en-US" w:eastAsia="zh-CN" w:bidi="en-US"/>
              </w:rPr>
              <w:t>3</w:t>
            </w:r>
            <w:r>
              <w:rPr>
                <w:rFonts w:hint="eastAsia" w:ascii="宋体" w:hAnsi="宋体" w:eastAsia="宋体" w:cs="宋体"/>
                <w:color w:val="auto"/>
                <w:sz w:val="24"/>
                <w:szCs w:val="24"/>
                <w:highlight w:val="none"/>
                <w:lang w:eastAsia="zh-CN" w:bidi="en-US"/>
              </w:rPr>
              <w:t>分，未提供本项内容的不得分。</w:t>
            </w:r>
          </w:p>
          <w:p w14:paraId="2CBBC97C">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3、施工进度安排（5分）</w:t>
            </w:r>
          </w:p>
          <w:p w14:paraId="51B73462">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eastAsia="zh-CN" w:bidi="en-US"/>
              </w:rPr>
              <w:t>进度计划内容完整、具体、合理、切实可行的得</w:t>
            </w:r>
            <w:r>
              <w:rPr>
                <w:rFonts w:hint="eastAsia" w:ascii="宋体" w:hAnsi="宋体" w:eastAsia="宋体" w:cs="宋体"/>
                <w:color w:val="auto"/>
                <w:sz w:val="24"/>
                <w:szCs w:val="24"/>
                <w:highlight w:val="none"/>
                <w:lang w:val="en-US" w:eastAsia="zh-CN" w:bidi="en-US"/>
              </w:rPr>
              <w:t>5</w:t>
            </w:r>
            <w:r>
              <w:rPr>
                <w:rFonts w:hint="eastAsia" w:ascii="宋体" w:hAnsi="宋体" w:eastAsia="宋体" w:cs="宋体"/>
                <w:color w:val="auto"/>
                <w:sz w:val="24"/>
                <w:szCs w:val="24"/>
                <w:highlight w:val="none"/>
                <w:lang w:eastAsia="zh-CN" w:bidi="en-US"/>
              </w:rPr>
              <w:t>分；内容基本完整、基本合理、基本可行的得</w:t>
            </w:r>
            <w:r>
              <w:rPr>
                <w:rFonts w:hint="eastAsia" w:ascii="宋体" w:hAnsi="宋体" w:eastAsia="宋体" w:cs="宋体"/>
                <w:color w:val="auto"/>
                <w:sz w:val="24"/>
                <w:szCs w:val="24"/>
                <w:highlight w:val="none"/>
                <w:lang w:val="en-US" w:eastAsia="zh-CN" w:bidi="en-US"/>
              </w:rPr>
              <w:t>4</w:t>
            </w:r>
            <w:r>
              <w:rPr>
                <w:rFonts w:hint="eastAsia" w:ascii="宋体" w:hAnsi="宋体" w:eastAsia="宋体" w:cs="宋体"/>
                <w:color w:val="auto"/>
                <w:sz w:val="24"/>
                <w:szCs w:val="24"/>
                <w:highlight w:val="none"/>
                <w:lang w:eastAsia="zh-CN" w:bidi="en-US"/>
              </w:rPr>
              <w:t>分；内容略有缺失、合理性及可行性有欠缺的得</w:t>
            </w:r>
            <w:r>
              <w:rPr>
                <w:rFonts w:hint="eastAsia" w:ascii="宋体" w:hAnsi="宋体" w:eastAsia="宋体" w:cs="宋体"/>
                <w:color w:val="auto"/>
                <w:sz w:val="24"/>
                <w:szCs w:val="24"/>
                <w:highlight w:val="none"/>
                <w:lang w:val="en-US" w:eastAsia="zh-CN" w:bidi="en-US"/>
              </w:rPr>
              <w:t>3</w:t>
            </w:r>
            <w:r>
              <w:rPr>
                <w:rFonts w:hint="eastAsia" w:ascii="宋体" w:hAnsi="宋体" w:eastAsia="宋体" w:cs="宋体"/>
                <w:color w:val="auto"/>
                <w:sz w:val="24"/>
                <w:szCs w:val="24"/>
                <w:highlight w:val="none"/>
                <w:lang w:eastAsia="zh-CN" w:bidi="en-US"/>
              </w:rPr>
              <w:t>分，未提供本项内容的不得分。</w:t>
            </w:r>
          </w:p>
          <w:p w14:paraId="02932334">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4、施工安全保证措施（5分）</w:t>
            </w:r>
          </w:p>
          <w:p w14:paraId="366843DC">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eastAsia="zh-CN" w:bidi="en-US"/>
              </w:rPr>
              <w:t>安全保证措施内容完整、具体、合理、切实可行的得</w:t>
            </w:r>
            <w:r>
              <w:rPr>
                <w:rFonts w:hint="eastAsia" w:ascii="宋体" w:hAnsi="宋体" w:eastAsia="宋体" w:cs="宋体"/>
                <w:color w:val="auto"/>
                <w:sz w:val="24"/>
                <w:szCs w:val="24"/>
                <w:highlight w:val="none"/>
                <w:lang w:val="en-US" w:eastAsia="zh-CN" w:bidi="en-US"/>
              </w:rPr>
              <w:t>5</w:t>
            </w:r>
            <w:r>
              <w:rPr>
                <w:rFonts w:hint="eastAsia" w:ascii="宋体" w:hAnsi="宋体" w:eastAsia="宋体" w:cs="宋体"/>
                <w:color w:val="auto"/>
                <w:sz w:val="24"/>
                <w:szCs w:val="24"/>
                <w:highlight w:val="none"/>
                <w:lang w:eastAsia="zh-CN" w:bidi="en-US"/>
              </w:rPr>
              <w:t>分；内容基本完整、基本合理、基本可行的得</w:t>
            </w:r>
            <w:r>
              <w:rPr>
                <w:rFonts w:hint="eastAsia" w:ascii="宋体" w:hAnsi="宋体" w:eastAsia="宋体" w:cs="宋体"/>
                <w:color w:val="auto"/>
                <w:sz w:val="24"/>
                <w:szCs w:val="24"/>
                <w:highlight w:val="none"/>
                <w:lang w:val="en-US" w:eastAsia="zh-CN" w:bidi="en-US"/>
              </w:rPr>
              <w:t>4</w:t>
            </w:r>
            <w:r>
              <w:rPr>
                <w:rFonts w:hint="eastAsia" w:ascii="宋体" w:hAnsi="宋体" w:eastAsia="宋体" w:cs="宋体"/>
                <w:color w:val="auto"/>
                <w:sz w:val="24"/>
                <w:szCs w:val="24"/>
                <w:highlight w:val="none"/>
                <w:lang w:eastAsia="zh-CN" w:bidi="en-US"/>
              </w:rPr>
              <w:t>分；内容略有缺失、合理性及可行性有欠缺的得</w:t>
            </w:r>
            <w:r>
              <w:rPr>
                <w:rFonts w:hint="eastAsia" w:ascii="宋体" w:hAnsi="宋体" w:eastAsia="宋体" w:cs="宋体"/>
                <w:color w:val="auto"/>
                <w:sz w:val="24"/>
                <w:szCs w:val="24"/>
                <w:highlight w:val="none"/>
                <w:lang w:val="en-US" w:eastAsia="zh-CN" w:bidi="en-US"/>
              </w:rPr>
              <w:t>3</w:t>
            </w:r>
            <w:r>
              <w:rPr>
                <w:rFonts w:hint="eastAsia" w:ascii="宋体" w:hAnsi="宋体" w:eastAsia="宋体" w:cs="宋体"/>
                <w:color w:val="auto"/>
                <w:sz w:val="24"/>
                <w:szCs w:val="24"/>
                <w:highlight w:val="none"/>
                <w:lang w:eastAsia="zh-CN" w:bidi="en-US"/>
              </w:rPr>
              <w:t>分，未提供本项内容的不得分。</w:t>
            </w:r>
          </w:p>
          <w:p w14:paraId="0CF1B1D2">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5、施工质量保证措施（5分）</w:t>
            </w:r>
          </w:p>
          <w:p w14:paraId="272D0B07">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eastAsia="zh-CN" w:bidi="en-US"/>
              </w:rPr>
              <w:t>质量保证措施内容完整、具体、合理、切实可行的得</w:t>
            </w:r>
            <w:r>
              <w:rPr>
                <w:rFonts w:hint="eastAsia" w:ascii="宋体" w:hAnsi="宋体" w:eastAsia="宋体" w:cs="宋体"/>
                <w:color w:val="auto"/>
                <w:sz w:val="24"/>
                <w:szCs w:val="24"/>
                <w:highlight w:val="none"/>
                <w:lang w:val="en-US" w:eastAsia="zh-CN" w:bidi="en-US"/>
              </w:rPr>
              <w:t>5</w:t>
            </w:r>
            <w:r>
              <w:rPr>
                <w:rFonts w:hint="eastAsia" w:ascii="宋体" w:hAnsi="宋体" w:eastAsia="宋体" w:cs="宋体"/>
                <w:color w:val="auto"/>
                <w:sz w:val="24"/>
                <w:szCs w:val="24"/>
                <w:highlight w:val="none"/>
                <w:lang w:eastAsia="zh-CN" w:bidi="en-US"/>
              </w:rPr>
              <w:t>分；内容基本完整、基本合理、基本可行的得</w:t>
            </w:r>
            <w:r>
              <w:rPr>
                <w:rFonts w:hint="eastAsia" w:ascii="宋体" w:hAnsi="宋体" w:eastAsia="宋体" w:cs="宋体"/>
                <w:color w:val="auto"/>
                <w:sz w:val="24"/>
                <w:szCs w:val="24"/>
                <w:highlight w:val="none"/>
                <w:lang w:val="en-US" w:eastAsia="zh-CN" w:bidi="en-US"/>
              </w:rPr>
              <w:t>4</w:t>
            </w:r>
            <w:r>
              <w:rPr>
                <w:rFonts w:hint="eastAsia" w:ascii="宋体" w:hAnsi="宋体" w:eastAsia="宋体" w:cs="宋体"/>
                <w:color w:val="auto"/>
                <w:sz w:val="24"/>
                <w:szCs w:val="24"/>
                <w:highlight w:val="none"/>
                <w:lang w:eastAsia="zh-CN" w:bidi="en-US"/>
              </w:rPr>
              <w:t>分；内容略有缺失、合理性及可行性有欠缺的得</w:t>
            </w:r>
            <w:r>
              <w:rPr>
                <w:rFonts w:hint="eastAsia" w:ascii="宋体" w:hAnsi="宋体" w:eastAsia="宋体" w:cs="宋体"/>
                <w:color w:val="auto"/>
                <w:sz w:val="24"/>
                <w:szCs w:val="24"/>
                <w:highlight w:val="none"/>
                <w:lang w:val="en-US" w:eastAsia="zh-CN" w:bidi="en-US"/>
              </w:rPr>
              <w:t>3</w:t>
            </w:r>
            <w:r>
              <w:rPr>
                <w:rFonts w:hint="eastAsia" w:ascii="宋体" w:hAnsi="宋体" w:eastAsia="宋体" w:cs="宋体"/>
                <w:color w:val="auto"/>
                <w:sz w:val="24"/>
                <w:szCs w:val="24"/>
                <w:highlight w:val="none"/>
                <w:lang w:eastAsia="zh-CN" w:bidi="en-US"/>
              </w:rPr>
              <w:t>分，未提供本项内容的不得分。</w:t>
            </w:r>
          </w:p>
          <w:p w14:paraId="0ED64A30">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val="en-US" w:eastAsia="zh-CN" w:bidi="en-US"/>
              </w:rPr>
              <w:t>6</w:t>
            </w:r>
            <w:r>
              <w:rPr>
                <w:rFonts w:hint="eastAsia" w:ascii="宋体" w:hAnsi="宋体" w:eastAsia="宋体" w:cs="宋体"/>
                <w:color w:val="auto"/>
                <w:sz w:val="24"/>
                <w:szCs w:val="24"/>
                <w:highlight w:val="none"/>
                <w:lang w:eastAsia="zh-CN" w:bidi="en-US"/>
              </w:rPr>
              <w:t>、售后服务（</w:t>
            </w:r>
            <w:r>
              <w:rPr>
                <w:rFonts w:hint="eastAsia" w:ascii="宋体" w:hAnsi="宋体" w:eastAsia="宋体" w:cs="宋体"/>
                <w:color w:val="auto"/>
                <w:sz w:val="24"/>
                <w:szCs w:val="24"/>
                <w:highlight w:val="none"/>
                <w:lang w:val="en-US" w:eastAsia="zh-CN" w:bidi="en-US"/>
              </w:rPr>
              <w:t>5</w:t>
            </w:r>
            <w:r>
              <w:rPr>
                <w:rFonts w:hint="eastAsia" w:ascii="宋体" w:hAnsi="宋体" w:eastAsia="宋体" w:cs="宋体"/>
                <w:color w:val="auto"/>
                <w:sz w:val="24"/>
                <w:szCs w:val="24"/>
                <w:highlight w:val="none"/>
                <w:lang w:eastAsia="zh-CN" w:bidi="en-US"/>
              </w:rPr>
              <w:t>分）</w:t>
            </w:r>
          </w:p>
          <w:p w14:paraId="232C72E4">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bidi="en-US"/>
              </w:rPr>
            </w:pPr>
            <w:r>
              <w:rPr>
                <w:rFonts w:hint="eastAsia" w:ascii="宋体" w:hAnsi="宋体" w:eastAsia="宋体" w:cs="宋体"/>
                <w:color w:val="auto"/>
                <w:sz w:val="24"/>
                <w:szCs w:val="24"/>
                <w:highlight w:val="none"/>
                <w:lang w:eastAsia="zh-CN" w:bidi="en-US"/>
              </w:rPr>
              <w:t>根据投标人承诺质量负责承诺、其他服务及满足招标人在项目实施期间内因需求变化和其他特殊原因提出的额外要求的承诺情况评分；售后服务全面的得</w:t>
            </w:r>
            <w:r>
              <w:rPr>
                <w:rFonts w:hint="eastAsia" w:ascii="宋体" w:hAnsi="宋体" w:eastAsia="宋体" w:cs="宋体"/>
                <w:color w:val="auto"/>
                <w:sz w:val="24"/>
                <w:szCs w:val="24"/>
                <w:highlight w:val="none"/>
                <w:lang w:val="en-US" w:eastAsia="zh-CN" w:bidi="en-US"/>
              </w:rPr>
              <w:t>5</w:t>
            </w:r>
            <w:r>
              <w:rPr>
                <w:rFonts w:hint="eastAsia" w:ascii="宋体" w:hAnsi="宋体" w:eastAsia="宋体" w:cs="宋体"/>
                <w:color w:val="auto"/>
                <w:sz w:val="24"/>
                <w:szCs w:val="24"/>
                <w:highlight w:val="none"/>
                <w:lang w:eastAsia="zh-CN" w:bidi="en-US"/>
              </w:rPr>
              <w:t>分；售后服务措施一般、较全面的得</w:t>
            </w:r>
            <w:r>
              <w:rPr>
                <w:rFonts w:hint="eastAsia" w:ascii="宋体" w:hAnsi="宋体" w:eastAsia="宋体" w:cs="宋体"/>
                <w:color w:val="auto"/>
                <w:sz w:val="24"/>
                <w:szCs w:val="24"/>
                <w:highlight w:val="none"/>
                <w:lang w:val="en-US" w:eastAsia="zh-CN" w:bidi="en-US"/>
              </w:rPr>
              <w:t>4</w:t>
            </w:r>
            <w:r>
              <w:rPr>
                <w:rFonts w:hint="eastAsia" w:ascii="宋体" w:hAnsi="宋体" w:eastAsia="宋体" w:cs="宋体"/>
                <w:color w:val="auto"/>
                <w:sz w:val="24"/>
                <w:szCs w:val="24"/>
                <w:highlight w:val="none"/>
                <w:lang w:eastAsia="zh-CN" w:bidi="en-US"/>
              </w:rPr>
              <w:t>分；售后服务措施差、不全面的得</w:t>
            </w:r>
            <w:r>
              <w:rPr>
                <w:rFonts w:hint="eastAsia" w:ascii="宋体" w:hAnsi="宋体" w:eastAsia="宋体" w:cs="宋体"/>
                <w:color w:val="auto"/>
                <w:sz w:val="24"/>
                <w:szCs w:val="24"/>
                <w:highlight w:val="none"/>
                <w:lang w:val="en-US" w:eastAsia="zh-CN" w:bidi="en-US"/>
              </w:rPr>
              <w:t>3</w:t>
            </w:r>
            <w:r>
              <w:rPr>
                <w:rFonts w:hint="eastAsia" w:ascii="宋体" w:hAnsi="宋体" w:eastAsia="宋体" w:cs="宋体"/>
                <w:color w:val="auto"/>
                <w:sz w:val="24"/>
                <w:szCs w:val="24"/>
                <w:highlight w:val="none"/>
                <w:lang w:eastAsia="zh-CN" w:bidi="en-US"/>
              </w:rPr>
              <w:t>分，未提供本项内容的不得分。</w:t>
            </w:r>
          </w:p>
          <w:p w14:paraId="53131297">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rPr>
              <w:t>注：项目实施方案应表述简洁，合计不得超过</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否则每超过1页扣1分，扣完为止</w:t>
            </w:r>
            <w:r>
              <w:rPr>
                <w:rFonts w:hint="eastAsia" w:ascii="宋体" w:hAnsi="宋体" w:eastAsia="宋体" w:cs="宋体"/>
                <w:color w:val="auto"/>
                <w:sz w:val="24"/>
                <w:szCs w:val="24"/>
                <w:highlight w:val="none"/>
              </w:rPr>
              <w:t>。</w:t>
            </w:r>
          </w:p>
        </w:tc>
      </w:tr>
    </w:tbl>
    <w:p w14:paraId="483C17CE">
      <w:pPr>
        <w:spacing w:line="360" w:lineRule="auto"/>
        <w:ind w:firstLine="420"/>
        <w:rPr>
          <w:rFonts w:hint="eastAsia" w:ascii="宋体" w:hAnsi="宋体" w:cs="宋体"/>
          <w:color w:val="auto"/>
          <w:szCs w:val="21"/>
          <w:highlight w:val="none"/>
        </w:rPr>
      </w:pPr>
    </w:p>
    <w:p w14:paraId="0E5F5E97">
      <w:pPr>
        <w:spacing w:line="360" w:lineRule="auto"/>
        <w:ind w:firstLine="420"/>
        <w:rPr>
          <w:rFonts w:hint="eastAsia" w:ascii="宋体" w:hAnsi="宋体" w:cs="宋体"/>
          <w:color w:val="auto"/>
          <w:szCs w:val="21"/>
          <w:highlight w:val="none"/>
        </w:rPr>
      </w:pPr>
    </w:p>
    <w:p w14:paraId="2BACF4D4">
      <w:pPr>
        <w:rPr>
          <w:rFonts w:hint="eastAsia" w:ascii="黑体" w:hAnsi="宋体" w:eastAsia="黑体" w:cs="黑体"/>
          <w:color w:val="auto"/>
          <w:sz w:val="44"/>
          <w:szCs w:val="44"/>
          <w:highlight w:val="none"/>
        </w:rPr>
      </w:pPr>
    </w:p>
    <w:p w14:paraId="2C4E36BB">
      <w:pPr>
        <w:pStyle w:val="259"/>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6BF135ED">
      <w:pPr>
        <w:pStyle w:val="259"/>
        <w:spacing w:beforeAutospacing="0" w:afterAutospacing="0"/>
        <w:jc w:val="center"/>
        <w:rPr>
          <w:rFonts w:hint="eastAsia" w:ascii="宋体" w:hAnsi="宋体" w:cs="宋体"/>
          <w:b/>
          <w:color w:val="auto"/>
          <w:sz w:val="72"/>
          <w:szCs w:val="72"/>
          <w:highlight w:val="none"/>
        </w:rPr>
      </w:pPr>
      <w:bookmarkStart w:id="204" w:name="_Toc120614282"/>
      <w:bookmarkEnd w:id="204"/>
      <w:bookmarkStart w:id="205" w:name="_Toc49090576"/>
      <w:bookmarkEnd w:id="205"/>
      <w:bookmarkStart w:id="206" w:name="_Toc26554094"/>
      <w:bookmarkStart w:id="207" w:name="_Hlt26955039"/>
      <w:bookmarkStart w:id="208" w:name="_Hlt26671244"/>
    </w:p>
    <w:p w14:paraId="75A53E07">
      <w:pPr>
        <w:pStyle w:val="259"/>
        <w:spacing w:beforeAutospacing="0" w:afterAutospacing="0"/>
        <w:jc w:val="center"/>
        <w:rPr>
          <w:rFonts w:hint="eastAsia" w:ascii="宋体" w:hAnsi="宋体" w:cs="宋体"/>
          <w:b/>
          <w:color w:val="auto"/>
          <w:sz w:val="72"/>
          <w:szCs w:val="72"/>
          <w:highlight w:val="none"/>
        </w:rPr>
      </w:pPr>
    </w:p>
    <w:p w14:paraId="61D65829">
      <w:pPr>
        <w:pStyle w:val="259"/>
        <w:spacing w:beforeAutospacing="0" w:afterAutospacing="0"/>
        <w:jc w:val="center"/>
        <w:rPr>
          <w:rFonts w:hint="eastAsia" w:ascii="宋体" w:hAnsi="宋体" w:cs="宋体"/>
          <w:b/>
          <w:color w:val="auto"/>
          <w:sz w:val="72"/>
          <w:szCs w:val="72"/>
          <w:highlight w:val="none"/>
        </w:rPr>
      </w:pPr>
    </w:p>
    <w:p w14:paraId="5149D573">
      <w:pPr>
        <w:pStyle w:val="259"/>
        <w:spacing w:beforeAutospacing="0" w:afterAutospacing="0"/>
        <w:jc w:val="center"/>
        <w:rPr>
          <w:rFonts w:hint="eastAsia" w:ascii="宋体" w:hAnsi="宋体" w:cs="宋体"/>
          <w:b/>
          <w:color w:val="auto"/>
          <w:sz w:val="72"/>
          <w:szCs w:val="72"/>
          <w:highlight w:val="none"/>
        </w:rPr>
      </w:pPr>
    </w:p>
    <w:p w14:paraId="7A2E2BA8">
      <w:pPr>
        <w:pStyle w:val="259"/>
        <w:spacing w:beforeAutospacing="0" w:afterAutospacing="0"/>
        <w:jc w:val="center"/>
        <w:rPr>
          <w:color w:val="auto"/>
          <w:highlight w:val="none"/>
        </w:rPr>
      </w:pPr>
      <w:r>
        <w:rPr>
          <w:rFonts w:hint="eastAsia" w:ascii="宋体" w:hAnsi="宋体" w:cs="宋体"/>
          <w:b/>
          <w:color w:val="auto"/>
          <w:sz w:val="72"/>
          <w:szCs w:val="72"/>
          <w:highlight w:val="none"/>
        </w:rPr>
        <w:t>投  标  文  件</w:t>
      </w:r>
    </w:p>
    <w:p w14:paraId="034AAEA4">
      <w:pPr>
        <w:pStyle w:val="259"/>
        <w:spacing w:beforeAutospacing="0" w:afterAutospacing="0"/>
        <w:jc w:val="center"/>
        <w:rPr>
          <w:color w:val="auto"/>
          <w:highlight w:val="none"/>
        </w:rPr>
      </w:pPr>
      <w:r>
        <w:rPr>
          <w:color w:val="auto"/>
          <w:highlight w:val="none"/>
        </w:rPr>
        <w:t> </w:t>
      </w:r>
    </w:p>
    <w:p w14:paraId="5370C956">
      <w:pPr>
        <w:pStyle w:val="259"/>
        <w:spacing w:beforeAutospacing="0" w:afterAutospacing="0"/>
        <w:jc w:val="center"/>
        <w:rPr>
          <w:color w:val="auto"/>
          <w:highlight w:val="none"/>
        </w:rPr>
      </w:pPr>
      <w:r>
        <w:rPr>
          <w:color w:val="auto"/>
          <w:highlight w:val="none"/>
        </w:rPr>
        <w:t> </w:t>
      </w:r>
    </w:p>
    <w:p w14:paraId="53123015">
      <w:pPr>
        <w:pStyle w:val="259"/>
        <w:spacing w:beforeAutospacing="0" w:afterAutospacing="0"/>
        <w:jc w:val="center"/>
        <w:rPr>
          <w:color w:val="auto"/>
          <w:highlight w:val="none"/>
        </w:rPr>
      </w:pPr>
      <w:r>
        <w:rPr>
          <w:color w:val="auto"/>
          <w:highlight w:val="none"/>
        </w:rPr>
        <w:t> </w:t>
      </w:r>
    </w:p>
    <w:p w14:paraId="4C98D146">
      <w:pPr>
        <w:pStyle w:val="259"/>
        <w:spacing w:beforeAutospacing="0" w:afterAutospacing="0"/>
        <w:jc w:val="center"/>
        <w:rPr>
          <w:color w:val="auto"/>
          <w:highlight w:val="none"/>
        </w:rPr>
      </w:pPr>
      <w:r>
        <w:rPr>
          <w:color w:val="auto"/>
          <w:highlight w:val="none"/>
        </w:rPr>
        <w:t> </w:t>
      </w:r>
    </w:p>
    <w:p w14:paraId="70967EDE">
      <w:pPr>
        <w:pStyle w:val="259"/>
        <w:spacing w:beforeAutospacing="0" w:afterAutospacing="0"/>
        <w:jc w:val="center"/>
        <w:rPr>
          <w:color w:val="auto"/>
          <w:highlight w:val="none"/>
        </w:rPr>
      </w:pPr>
      <w:r>
        <w:rPr>
          <w:color w:val="auto"/>
          <w:highlight w:val="none"/>
        </w:rPr>
        <w:t> </w:t>
      </w:r>
    </w:p>
    <w:p w14:paraId="0ABA69CC">
      <w:pPr>
        <w:pStyle w:val="259"/>
        <w:spacing w:beforeAutospacing="0" w:afterAutospacing="0"/>
        <w:ind w:firstLine="1084"/>
        <w:jc w:val="both"/>
        <w:rPr>
          <w:color w:val="auto"/>
          <w:highlight w:val="none"/>
        </w:rPr>
      </w:pPr>
      <w:r>
        <w:rPr>
          <w:rFonts w:hint="eastAsia" w:ascii="宋体" w:hAnsi="宋体" w:cs="宋体"/>
          <w:b/>
          <w:color w:val="auto"/>
          <w:sz w:val="36"/>
          <w:szCs w:val="36"/>
          <w:highlight w:val="none"/>
        </w:rPr>
        <w:t>项 目 名 称：</w:t>
      </w:r>
      <w:r>
        <w:rPr>
          <w:rFonts w:hint="eastAsia" w:ascii="宋体" w:hAnsi="宋体" w:cs="宋体"/>
          <w:b/>
          <w:color w:val="auto"/>
          <w:sz w:val="36"/>
          <w:szCs w:val="36"/>
          <w:highlight w:val="none"/>
          <w:u w:val="single"/>
        </w:rPr>
        <w:t>             </w:t>
      </w:r>
    </w:p>
    <w:p w14:paraId="245B87C7">
      <w:pPr>
        <w:pStyle w:val="259"/>
        <w:spacing w:beforeAutospacing="0" w:afterAutospacing="0"/>
        <w:ind w:firstLine="1084"/>
        <w:jc w:val="both"/>
        <w:rPr>
          <w:color w:val="auto"/>
          <w:highlight w:val="none"/>
        </w:rPr>
      </w:pPr>
      <w:r>
        <w:rPr>
          <w:rFonts w:hint="eastAsia" w:ascii="宋体" w:hAnsi="宋体" w:cs="宋体"/>
          <w:b/>
          <w:color w:val="auto"/>
          <w:sz w:val="36"/>
          <w:szCs w:val="36"/>
          <w:highlight w:val="none"/>
        </w:rPr>
        <w:t>项 目 编 号：</w:t>
      </w:r>
      <w:r>
        <w:rPr>
          <w:rFonts w:hint="eastAsia" w:ascii="宋体" w:hAnsi="宋体" w:cs="宋体"/>
          <w:b/>
          <w:color w:val="auto"/>
          <w:sz w:val="36"/>
          <w:szCs w:val="36"/>
          <w:highlight w:val="none"/>
          <w:u w:val="single"/>
        </w:rPr>
        <w:t>             </w:t>
      </w:r>
    </w:p>
    <w:p w14:paraId="7EB6DDA5">
      <w:pPr>
        <w:pStyle w:val="259"/>
        <w:spacing w:beforeAutospacing="0" w:afterAutospacing="0"/>
        <w:jc w:val="both"/>
        <w:rPr>
          <w:color w:val="auto"/>
          <w:highlight w:val="none"/>
        </w:rPr>
      </w:pPr>
      <w:r>
        <w:rPr>
          <w:rFonts w:hint="eastAsia" w:ascii="宋体" w:hAnsi="宋体" w:cs="宋体"/>
          <w:b/>
          <w:color w:val="auto"/>
          <w:sz w:val="36"/>
          <w:szCs w:val="36"/>
          <w:highlight w:val="none"/>
        </w:rPr>
        <w:t>   投标人名称 ：</w:t>
      </w:r>
      <w:r>
        <w:rPr>
          <w:rFonts w:hint="eastAsia" w:ascii="宋体" w:hAnsi="宋体" w:cs="宋体"/>
          <w:b/>
          <w:color w:val="auto"/>
          <w:sz w:val="36"/>
          <w:szCs w:val="36"/>
          <w:highlight w:val="none"/>
          <w:u w:val="single"/>
        </w:rPr>
        <w:t>（加盖CA电子公章）</w:t>
      </w:r>
    </w:p>
    <w:p w14:paraId="45B6C6A9">
      <w:pPr>
        <w:pStyle w:val="259"/>
        <w:spacing w:beforeAutospacing="0" w:afterAutospacing="0"/>
        <w:jc w:val="both"/>
        <w:rPr>
          <w:color w:val="auto"/>
          <w:highlight w:val="none"/>
        </w:rPr>
      </w:pPr>
      <w:r>
        <w:rPr>
          <w:rFonts w:hint="eastAsia" w:ascii="宋体" w:hAnsi="宋体" w:cs="宋体"/>
          <w:b/>
          <w:color w:val="auto"/>
          <w:sz w:val="36"/>
          <w:szCs w:val="36"/>
          <w:highlight w:val="none"/>
        </w:rPr>
        <w:t>   日   期 ：</w:t>
      </w:r>
      <w:r>
        <w:rPr>
          <w:rFonts w:hint="eastAsia" w:ascii="宋体" w:hAnsi="宋体" w:cs="宋体"/>
          <w:b/>
          <w:color w:val="auto"/>
          <w:sz w:val="36"/>
          <w:szCs w:val="36"/>
          <w:highlight w:val="none"/>
          <w:u w:val="single"/>
        </w:rPr>
        <w:t>             </w:t>
      </w:r>
    </w:p>
    <w:p w14:paraId="4BB0ADFC">
      <w:pPr>
        <w:pStyle w:val="259"/>
        <w:spacing w:beforeAutospacing="0" w:afterAutospacing="0" w:line="0" w:lineRule="atLeast"/>
        <w:jc w:val="center"/>
        <w:rPr>
          <w:color w:val="auto"/>
          <w:highlight w:val="none"/>
        </w:rPr>
      </w:pPr>
    </w:p>
    <w:p w14:paraId="7414C970">
      <w:pPr>
        <w:pStyle w:val="259"/>
        <w:spacing w:beforeAutospacing="0" w:afterAutospacing="0" w:line="0" w:lineRule="atLeast"/>
        <w:jc w:val="center"/>
        <w:rPr>
          <w:color w:val="auto"/>
          <w:highlight w:val="none"/>
        </w:rPr>
      </w:pPr>
    </w:p>
    <w:p w14:paraId="4241D909">
      <w:pPr>
        <w:pStyle w:val="259"/>
        <w:spacing w:beforeAutospacing="0" w:afterAutospacing="0" w:line="0" w:lineRule="atLeast"/>
        <w:jc w:val="center"/>
        <w:rPr>
          <w:color w:val="auto"/>
          <w:highlight w:val="none"/>
        </w:rPr>
      </w:pPr>
    </w:p>
    <w:p w14:paraId="18BBE120">
      <w:pPr>
        <w:pStyle w:val="259"/>
        <w:spacing w:beforeAutospacing="0" w:afterAutospacing="0" w:line="0" w:lineRule="atLeast"/>
        <w:jc w:val="center"/>
        <w:rPr>
          <w:color w:val="auto"/>
          <w:highlight w:val="none"/>
        </w:rPr>
      </w:pPr>
    </w:p>
    <w:p w14:paraId="6486E9B1">
      <w:pPr>
        <w:pStyle w:val="259"/>
        <w:spacing w:beforeAutospacing="0" w:afterAutospacing="0" w:line="0" w:lineRule="atLeast"/>
        <w:jc w:val="center"/>
        <w:rPr>
          <w:color w:val="auto"/>
          <w:highlight w:val="none"/>
        </w:rPr>
      </w:pPr>
    </w:p>
    <w:p w14:paraId="27695378">
      <w:pPr>
        <w:pStyle w:val="259"/>
        <w:spacing w:beforeAutospacing="0" w:afterAutospacing="0" w:line="0" w:lineRule="atLeast"/>
        <w:jc w:val="center"/>
        <w:rPr>
          <w:color w:val="auto"/>
          <w:highlight w:val="none"/>
        </w:rPr>
      </w:pPr>
    </w:p>
    <w:p w14:paraId="20CDF7CF">
      <w:pPr>
        <w:pStyle w:val="259"/>
        <w:spacing w:beforeAutospacing="0" w:afterAutospacing="0" w:line="0" w:lineRule="atLeast"/>
        <w:jc w:val="center"/>
        <w:rPr>
          <w:color w:val="auto"/>
          <w:highlight w:val="none"/>
        </w:rPr>
      </w:pPr>
    </w:p>
    <w:p w14:paraId="0D513B56">
      <w:pPr>
        <w:pStyle w:val="259"/>
        <w:spacing w:beforeAutospacing="0" w:afterAutospacing="0" w:line="0" w:lineRule="atLeast"/>
        <w:jc w:val="center"/>
        <w:rPr>
          <w:color w:val="auto"/>
          <w:highlight w:val="none"/>
        </w:rPr>
      </w:pPr>
    </w:p>
    <w:p w14:paraId="71E02F43">
      <w:pPr>
        <w:pStyle w:val="259"/>
        <w:spacing w:beforeAutospacing="0" w:afterAutospacing="0" w:line="0" w:lineRule="atLeast"/>
        <w:jc w:val="center"/>
        <w:rPr>
          <w:color w:val="auto"/>
          <w:highlight w:val="none"/>
        </w:rPr>
      </w:pPr>
    </w:p>
    <w:p w14:paraId="041F7E20">
      <w:pPr>
        <w:pStyle w:val="259"/>
        <w:spacing w:beforeAutospacing="0" w:afterAutospacing="0" w:line="0" w:lineRule="atLeast"/>
        <w:jc w:val="center"/>
        <w:rPr>
          <w:color w:val="auto"/>
          <w:highlight w:val="none"/>
        </w:rPr>
      </w:pPr>
    </w:p>
    <w:p w14:paraId="1AF9B5C0">
      <w:pPr>
        <w:pStyle w:val="259"/>
        <w:spacing w:beforeAutospacing="0" w:afterAutospacing="0" w:line="0" w:lineRule="atLeast"/>
        <w:jc w:val="center"/>
        <w:rPr>
          <w:color w:val="auto"/>
          <w:highlight w:val="none"/>
        </w:rPr>
      </w:pPr>
    </w:p>
    <w:p w14:paraId="24898D7F">
      <w:pPr>
        <w:pStyle w:val="259"/>
        <w:spacing w:beforeAutospacing="0" w:afterAutospacing="0" w:line="0" w:lineRule="atLeast"/>
        <w:jc w:val="center"/>
        <w:rPr>
          <w:color w:val="auto"/>
          <w:highlight w:val="none"/>
        </w:rPr>
      </w:pPr>
    </w:p>
    <w:p w14:paraId="03B6D536">
      <w:pPr>
        <w:pStyle w:val="259"/>
        <w:spacing w:beforeAutospacing="0" w:afterAutospacing="0" w:line="0" w:lineRule="atLeast"/>
        <w:jc w:val="center"/>
        <w:rPr>
          <w:color w:val="auto"/>
          <w:highlight w:val="none"/>
        </w:rPr>
      </w:pPr>
    </w:p>
    <w:p w14:paraId="1F085A01">
      <w:pPr>
        <w:pStyle w:val="259"/>
        <w:spacing w:beforeAutospacing="0" w:afterAutospacing="0" w:line="0" w:lineRule="atLeast"/>
        <w:jc w:val="center"/>
        <w:rPr>
          <w:color w:val="auto"/>
          <w:highlight w:val="none"/>
        </w:rPr>
      </w:pPr>
    </w:p>
    <w:p w14:paraId="57932581">
      <w:pPr>
        <w:pStyle w:val="259"/>
        <w:spacing w:beforeAutospacing="0" w:afterAutospacing="0" w:line="0" w:lineRule="atLeast"/>
        <w:jc w:val="center"/>
        <w:rPr>
          <w:color w:val="auto"/>
          <w:highlight w:val="none"/>
        </w:rPr>
      </w:pPr>
    </w:p>
    <w:p w14:paraId="66443DDF">
      <w:pPr>
        <w:pStyle w:val="259"/>
        <w:spacing w:beforeAutospacing="0" w:afterAutospacing="0" w:line="0" w:lineRule="atLeast"/>
        <w:jc w:val="center"/>
        <w:rPr>
          <w:color w:val="auto"/>
          <w:highlight w:val="none"/>
        </w:rPr>
      </w:pPr>
    </w:p>
    <w:p w14:paraId="20363DD0">
      <w:pPr>
        <w:pStyle w:val="259"/>
        <w:spacing w:beforeAutospacing="0" w:afterAutospacing="0" w:line="0" w:lineRule="atLeast"/>
        <w:jc w:val="center"/>
        <w:rPr>
          <w:color w:val="auto"/>
          <w:highlight w:val="none"/>
        </w:rPr>
      </w:pPr>
    </w:p>
    <w:p w14:paraId="1A63F917">
      <w:pPr>
        <w:pStyle w:val="259"/>
        <w:spacing w:beforeAutospacing="0" w:afterAutospacing="0" w:line="0" w:lineRule="atLeast"/>
        <w:jc w:val="center"/>
        <w:rPr>
          <w:color w:val="auto"/>
          <w:highlight w:val="none"/>
        </w:rPr>
      </w:pPr>
    </w:p>
    <w:p w14:paraId="4AE84961">
      <w:pPr>
        <w:pStyle w:val="259"/>
        <w:spacing w:beforeAutospacing="0" w:afterAutospacing="0" w:line="0" w:lineRule="atLeast"/>
        <w:jc w:val="center"/>
        <w:rPr>
          <w:rFonts w:hint="eastAsia" w:ascii="宋体" w:hAnsi="宋体" w:cs="宋体"/>
          <w:b/>
          <w:bCs/>
          <w:color w:val="auto"/>
          <w:sz w:val="32"/>
          <w:szCs w:val="32"/>
          <w:highlight w:val="none"/>
        </w:rPr>
      </w:pPr>
    </w:p>
    <w:p w14:paraId="1516DB9F">
      <w:pPr>
        <w:pStyle w:val="259"/>
        <w:spacing w:beforeAutospacing="0" w:afterAutospacing="0" w:line="0" w:lineRule="atLeast"/>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投标文件目录</w:t>
      </w:r>
    </w:p>
    <w:p w14:paraId="536FDDF8">
      <w:pPr>
        <w:pStyle w:val="259"/>
        <w:spacing w:beforeAutospacing="0" w:afterAutospacing="0" w:line="0" w:lineRule="atLeast"/>
        <w:jc w:val="center"/>
        <w:rPr>
          <w:color w:val="auto"/>
          <w:highlight w:val="none"/>
        </w:rPr>
      </w:pPr>
      <w:r>
        <w:rPr>
          <w:color w:val="auto"/>
          <w:highlight w:val="none"/>
        </w:rPr>
        <w:t> </w:t>
      </w:r>
    </w:p>
    <w:p w14:paraId="79D36EC4">
      <w:pPr>
        <w:pStyle w:val="259"/>
        <w:spacing w:beforeAutospacing="0" w:afterAutospacing="0" w:line="360" w:lineRule="auto"/>
        <w:ind w:firstLine="420" w:firstLineChars="200"/>
        <w:jc w:val="both"/>
        <w:rPr>
          <w:i/>
          <w:iCs w:val="0"/>
          <w:color w:val="auto"/>
          <w:sz w:val="21"/>
          <w:szCs w:val="21"/>
          <w:highlight w:val="none"/>
          <w:u w:val="single"/>
        </w:rPr>
      </w:pPr>
      <w:r>
        <w:rPr>
          <w:rFonts w:hint="eastAsia" w:ascii="宋体" w:hAnsi="宋体" w:cs="宋体"/>
          <w:i/>
          <w:iCs w:val="0"/>
          <w:color w:val="auto"/>
          <w:sz w:val="21"/>
          <w:szCs w:val="21"/>
          <w:highlight w:val="none"/>
          <w:u w:val="single"/>
        </w:rPr>
        <w:t>一、法人或者其他组织的营业执照等证明文件，自然人的身份证明</w:t>
      </w:r>
    </w:p>
    <w:p w14:paraId="7DABA495">
      <w:pPr>
        <w:tabs>
          <w:tab w:val="left" w:pos="1331"/>
        </w:tabs>
        <w:spacing w:line="360" w:lineRule="auto"/>
        <w:ind w:firstLine="420" w:firstLineChars="200"/>
        <w:jc w:val="left"/>
        <w:rPr>
          <w:rFonts w:hint="eastAsia" w:ascii="宋体" w:hAnsi="宋体" w:eastAsia="宋体" w:cs="宋体"/>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二、</w:t>
      </w:r>
      <w:r>
        <w:rPr>
          <w:rFonts w:hint="eastAsia" w:ascii="宋体" w:hAnsi="宋体" w:eastAsia="宋体" w:cs="宋体"/>
          <w:i/>
          <w:iCs w:val="0"/>
          <w:color w:val="auto"/>
          <w:sz w:val="21"/>
          <w:szCs w:val="21"/>
          <w:highlight w:val="none"/>
          <w:u w:val="single"/>
        </w:rPr>
        <w:t>上一年度的财务状况报表（财务状况报表至少包含利润表、资产负债表、现金流量表，成立不满一年无需提供）</w:t>
      </w:r>
    </w:p>
    <w:p w14:paraId="44BA10AC">
      <w:pPr>
        <w:pStyle w:val="259"/>
        <w:spacing w:beforeAutospacing="0" w:afterAutospacing="0" w:line="360" w:lineRule="auto"/>
        <w:ind w:left="480"/>
        <w:jc w:val="both"/>
        <w:rPr>
          <w:rFonts w:hint="eastAsia" w:ascii="宋体" w:hAnsi="宋体" w:cs="宋体"/>
          <w:i/>
          <w:iCs w:val="0"/>
          <w:color w:val="auto"/>
          <w:sz w:val="21"/>
          <w:szCs w:val="21"/>
          <w:highlight w:val="none"/>
          <w:u w:val="single"/>
        </w:rPr>
      </w:pPr>
      <w:r>
        <w:rPr>
          <w:rFonts w:hint="eastAsia" w:ascii="宋体" w:hAnsi="宋体" w:cs="宋体"/>
          <w:i/>
          <w:iCs w:val="0"/>
          <w:color w:val="auto"/>
          <w:sz w:val="21"/>
          <w:szCs w:val="21"/>
          <w:highlight w:val="none"/>
          <w:u w:val="single"/>
        </w:rPr>
        <w:t>三、具备履行合同所必需的设备和专业技术能力的书面声明</w:t>
      </w:r>
    </w:p>
    <w:p w14:paraId="359CB537">
      <w:pPr>
        <w:pStyle w:val="259"/>
        <w:spacing w:beforeAutospacing="0" w:afterAutospacing="0" w:line="360" w:lineRule="auto"/>
        <w:ind w:left="480"/>
        <w:jc w:val="both"/>
        <w:rPr>
          <w:rFonts w:hint="eastAsia" w:ascii="宋体" w:hAnsi="宋体" w:cs="宋体"/>
          <w:i/>
          <w:iCs w:val="0"/>
          <w:color w:val="auto"/>
          <w:sz w:val="21"/>
          <w:szCs w:val="21"/>
          <w:highlight w:val="none"/>
          <w:u w:val="single"/>
        </w:rPr>
      </w:pPr>
      <w:r>
        <w:rPr>
          <w:rFonts w:hint="eastAsia" w:ascii="宋体" w:hAnsi="宋体" w:cs="宋体"/>
          <w:i/>
          <w:iCs w:val="0"/>
          <w:color w:val="auto"/>
          <w:sz w:val="21"/>
          <w:szCs w:val="21"/>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6567AC11">
      <w:pPr>
        <w:pStyle w:val="259"/>
        <w:spacing w:beforeAutospacing="0" w:afterAutospacing="0" w:line="360" w:lineRule="auto"/>
        <w:ind w:firstLine="480"/>
        <w:jc w:val="both"/>
        <w:rPr>
          <w:i/>
          <w:iCs w:val="0"/>
          <w:color w:val="auto"/>
          <w:sz w:val="21"/>
          <w:szCs w:val="21"/>
          <w:highlight w:val="none"/>
          <w:u w:val="single"/>
        </w:rPr>
      </w:pPr>
      <w:r>
        <w:rPr>
          <w:rFonts w:hint="eastAsia" w:ascii="宋体" w:hAnsi="宋体" w:cs="宋体"/>
          <w:i/>
          <w:iCs w:val="0"/>
          <w:color w:val="auto"/>
          <w:sz w:val="21"/>
          <w:szCs w:val="21"/>
          <w:highlight w:val="none"/>
          <w:u w:val="single"/>
        </w:rPr>
        <w:t>五、参加政府采购活动前3年内在经营活动中没有重大违法记录的书面声明</w:t>
      </w:r>
    </w:p>
    <w:p w14:paraId="7FC2F9C7">
      <w:pPr>
        <w:pStyle w:val="259"/>
        <w:spacing w:beforeAutospacing="0" w:afterAutospacing="0" w:line="360" w:lineRule="auto"/>
        <w:ind w:firstLine="480"/>
        <w:jc w:val="both"/>
        <w:rPr>
          <w:i/>
          <w:iCs w:val="0"/>
          <w:color w:val="auto"/>
          <w:sz w:val="21"/>
          <w:szCs w:val="21"/>
          <w:highlight w:val="none"/>
          <w:u w:val="single"/>
        </w:rPr>
      </w:pPr>
      <w:r>
        <w:rPr>
          <w:rFonts w:hint="eastAsia" w:ascii="宋体" w:hAnsi="宋体" w:cs="宋体"/>
          <w:i/>
          <w:iCs w:val="0"/>
          <w:color w:val="auto"/>
          <w:sz w:val="21"/>
          <w:szCs w:val="21"/>
          <w:highlight w:val="none"/>
          <w:u w:val="single"/>
        </w:rPr>
        <w:t>六、特定资格要求的证明文件（如果本项目设置特定资格要求，则需要提供）</w:t>
      </w:r>
    </w:p>
    <w:p w14:paraId="50AB1495">
      <w:pPr>
        <w:pStyle w:val="259"/>
        <w:spacing w:beforeAutospacing="0" w:afterAutospacing="0" w:line="360" w:lineRule="auto"/>
        <w:ind w:firstLine="480"/>
        <w:jc w:val="both"/>
        <w:rPr>
          <w:i/>
          <w:iCs w:val="0"/>
          <w:color w:val="auto"/>
          <w:sz w:val="21"/>
          <w:szCs w:val="21"/>
          <w:highlight w:val="none"/>
          <w:u w:val="single"/>
        </w:rPr>
      </w:pPr>
      <w:r>
        <w:rPr>
          <w:rFonts w:hint="eastAsia" w:ascii="宋体" w:hAnsi="宋体" w:cs="宋体"/>
          <w:i/>
          <w:iCs w:val="0"/>
          <w:color w:val="auto"/>
          <w:sz w:val="21"/>
          <w:szCs w:val="21"/>
          <w:highlight w:val="none"/>
          <w:u w:val="single"/>
        </w:rPr>
        <w:t>七、法人授权书</w:t>
      </w:r>
    </w:p>
    <w:p w14:paraId="4E43AB48">
      <w:pPr>
        <w:pStyle w:val="259"/>
        <w:spacing w:beforeAutospacing="0" w:afterAutospacing="0" w:line="360" w:lineRule="auto"/>
        <w:ind w:firstLine="420" w:firstLineChars="200"/>
        <w:jc w:val="both"/>
        <w:rPr>
          <w:rFonts w:hint="eastAsia" w:ascii="宋体" w:hAnsi="宋体" w:eastAsia="宋体" w:cs="宋体"/>
          <w:i/>
          <w:iCs w:val="0"/>
          <w:color w:val="auto"/>
          <w:sz w:val="21"/>
          <w:szCs w:val="21"/>
          <w:highlight w:val="none"/>
          <w:u w:val="single"/>
        </w:rPr>
      </w:pPr>
      <w:r>
        <w:rPr>
          <w:rFonts w:hint="eastAsia" w:ascii="宋体" w:hAnsi="宋体" w:eastAsia="宋体" w:cs="宋体"/>
          <w:i/>
          <w:iCs w:val="0"/>
          <w:color w:val="auto"/>
          <w:sz w:val="21"/>
          <w:szCs w:val="21"/>
          <w:highlight w:val="none"/>
          <w:u w:val="single"/>
        </w:rPr>
        <w:t>八、投标函</w:t>
      </w:r>
    </w:p>
    <w:p w14:paraId="7B0E6204">
      <w:pPr>
        <w:pStyle w:val="259"/>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九、中小企业声明函</w:t>
      </w:r>
    </w:p>
    <w:p w14:paraId="2030D872">
      <w:pPr>
        <w:pStyle w:val="259"/>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十、残疾人福利性单位声明函</w:t>
      </w:r>
    </w:p>
    <w:p w14:paraId="7C17D7C3">
      <w:pPr>
        <w:pStyle w:val="259"/>
        <w:spacing w:beforeAutospacing="0" w:afterAutospacing="0" w:line="360" w:lineRule="auto"/>
        <w:ind w:firstLine="480"/>
        <w:jc w:val="both"/>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rPr>
        <w:t>十一、</w:t>
      </w:r>
      <w:r>
        <w:rPr>
          <w:rFonts w:hint="eastAsia" w:ascii="宋体" w:hAnsi="宋体" w:eastAsia="宋体" w:cs="宋体"/>
          <w:iCs/>
          <w:color w:val="auto"/>
          <w:sz w:val="21"/>
          <w:szCs w:val="21"/>
          <w:highlight w:val="none"/>
        </w:rPr>
        <w:t>关于符合本国产品标准的声明函</w:t>
      </w:r>
    </w:p>
    <w:p w14:paraId="576E7162">
      <w:pPr>
        <w:pStyle w:val="259"/>
        <w:spacing w:beforeAutospacing="0" w:afterAutospacing="0" w:line="360" w:lineRule="auto"/>
        <w:ind w:firstLine="420" w:firstLineChars="200"/>
        <w:jc w:val="both"/>
        <w:rPr>
          <w:rFonts w:hint="eastAsia" w:ascii="宋体" w:hAnsi="宋体" w:eastAsia="宋体" w:cs="宋体"/>
          <w:i/>
          <w:iCs w:val="0"/>
          <w:color w:val="auto"/>
          <w:sz w:val="21"/>
          <w:szCs w:val="21"/>
          <w:highlight w:val="none"/>
          <w:u w:val="single"/>
        </w:rPr>
      </w:pPr>
      <w:r>
        <w:rPr>
          <w:rFonts w:hint="eastAsia" w:ascii="宋体" w:hAnsi="宋体" w:eastAsia="宋体" w:cs="宋体"/>
          <w:i/>
          <w:iCs w:val="0"/>
          <w:color w:val="auto"/>
          <w:sz w:val="21"/>
          <w:szCs w:val="21"/>
          <w:highlight w:val="none"/>
          <w:u w:val="single"/>
        </w:rPr>
        <w:t>十</w:t>
      </w:r>
      <w:r>
        <w:rPr>
          <w:rFonts w:hint="eastAsia" w:ascii="宋体" w:hAnsi="宋体" w:eastAsia="宋体" w:cs="宋体"/>
          <w:i/>
          <w:iCs w:val="0"/>
          <w:color w:val="auto"/>
          <w:sz w:val="21"/>
          <w:szCs w:val="21"/>
          <w:highlight w:val="none"/>
          <w:u w:val="single"/>
          <w:lang w:val="en-US" w:eastAsia="zh-CN"/>
        </w:rPr>
        <w:t>二</w:t>
      </w:r>
      <w:r>
        <w:rPr>
          <w:rFonts w:hint="eastAsia" w:ascii="宋体" w:hAnsi="宋体" w:eastAsia="宋体" w:cs="宋体"/>
          <w:i/>
          <w:iCs w:val="0"/>
          <w:color w:val="auto"/>
          <w:sz w:val="21"/>
          <w:szCs w:val="21"/>
          <w:highlight w:val="none"/>
          <w:u w:val="single"/>
        </w:rPr>
        <w:t>、投标分项报价表</w:t>
      </w:r>
    </w:p>
    <w:p w14:paraId="6627E760">
      <w:pPr>
        <w:pStyle w:val="259"/>
        <w:spacing w:beforeAutospacing="0" w:afterAutospacing="0" w:line="360" w:lineRule="auto"/>
        <w:ind w:firstLine="420" w:firstLineChars="200"/>
        <w:jc w:val="both"/>
        <w:rPr>
          <w:rFonts w:hint="eastAsia" w:ascii="宋体" w:hAnsi="宋体" w:eastAsia="宋体" w:cs="宋体"/>
          <w:i/>
          <w:iCs w:val="0"/>
          <w:color w:val="auto"/>
          <w:sz w:val="21"/>
          <w:szCs w:val="21"/>
          <w:highlight w:val="none"/>
          <w:u w:val="single"/>
        </w:rPr>
      </w:pPr>
      <w:r>
        <w:rPr>
          <w:rFonts w:hint="eastAsia" w:ascii="宋体" w:hAnsi="宋体" w:eastAsia="宋体" w:cs="宋体"/>
          <w:i/>
          <w:iCs w:val="0"/>
          <w:color w:val="auto"/>
          <w:sz w:val="21"/>
          <w:szCs w:val="21"/>
          <w:highlight w:val="none"/>
          <w:u w:val="single"/>
        </w:rPr>
        <w:t>十</w:t>
      </w:r>
      <w:r>
        <w:rPr>
          <w:rFonts w:hint="eastAsia" w:ascii="宋体" w:hAnsi="宋体" w:eastAsia="宋体" w:cs="宋体"/>
          <w:i/>
          <w:iCs w:val="0"/>
          <w:color w:val="auto"/>
          <w:sz w:val="21"/>
          <w:szCs w:val="21"/>
          <w:highlight w:val="none"/>
          <w:u w:val="single"/>
          <w:lang w:val="en-US" w:eastAsia="zh-CN"/>
        </w:rPr>
        <w:t>三</w:t>
      </w:r>
      <w:r>
        <w:rPr>
          <w:rFonts w:hint="eastAsia" w:ascii="宋体" w:hAnsi="宋体" w:eastAsia="宋体" w:cs="宋体"/>
          <w:i/>
          <w:iCs w:val="0"/>
          <w:color w:val="auto"/>
          <w:sz w:val="21"/>
          <w:szCs w:val="21"/>
          <w:highlight w:val="none"/>
          <w:u w:val="single"/>
        </w:rPr>
        <w:t>、技术要求响应及偏离表</w:t>
      </w:r>
    </w:p>
    <w:p w14:paraId="1D9634B8">
      <w:pPr>
        <w:pStyle w:val="259"/>
        <w:spacing w:beforeAutospacing="0" w:afterAutospacing="0" w:line="360" w:lineRule="auto"/>
        <w:ind w:firstLine="420" w:firstLineChars="200"/>
        <w:jc w:val="both"/>
        <w:rPr>
          <w:rFonts w:hint="eastAsia" w:ascii="宋体" w:hAnsi="宋体" w:eastAsia="宋体" w:cs="宋体"/>
          <w:i/>
          <w:iCs w:val="0"/>
          <w:color w:val="auto"/>
          <w:sz w:val="21"/>
          <w:szCs w:val="21"/>
          <w:highlight w:val="none"/>
          <w:u w:val="single"/>
        </w:rPr>
      </w:pPr>
      <w:r>
        <w:rPr>
          <w:rFonts w:hint="eastAsia" w:ascii="宋体" w:hAnsi="宋体" w:eastAsia="宋体" w:cs="宋体"/>
          <w:i/>
          <w:iCs w:val="0"/>
          <w:color w:val="auto"/>
          <w:sz w:val="21"/>
          <w:szCs w:val="21"/>
          <w:highlight w:val="none"/>
          <w:u w:val="single"/>
        </w:rPr>
        <w:t>十</w:t>
      </w:r>
      <w:r>
        <w:rPr>
          <w:rFonts w:hint="eastAsia" w:ascii="宋体" w:hAnsi="宋体" w:eastAsia="宋体" w:cs="宋体"/>
          <w:i/>
          <w:iCs w:val="0"/>
          <w:color w:val="auto"/>
          <w:sz w:val="21"/>
          <w:szCs w:val="21"/>
          <w:highlight w:val="none"/>
          <w:u w:val="single"/>
          <w:lang w:val="en-US" w:eastAsia="zh-CN"/>
        </w:rPr>
        <w:t>四</w:t>
      </w:r>
      <w:r>
        <w:rPr>
          <w:rFonts w:hint="eastAsia" w:ascii="宋体" w:hAnsi="宋体" w:eastAsia="宋体" w:cs="宋体"/>
          <w:i/>
          <w:iCs w:val="0"/>
          <w:color w:val="auto"/>
          <w:sz w:val="21"/>
          <w:szCs w:val="21"/>
          <w:highlight w:val="none"/>
          <w:u w:val="single"/>
        </w:rPr>
        <w:t>、商务要求响应及偏离表</w:t>
      </w:r>
    </w:p>
    <w:p w14:paraId="77A36CEE">
      <w:pPr>
        <w:pStyle w:val="259"/>
        <w:spacing w:beforeAutospacing="0" w:afterAutospacing="0" w:line="360" w:lineRule="auto"/>
        <w:ind w:firstLine="420" w:firstLineChars="200"/>
        <w:jc w:val="both"/>
        <w:rPr>
          <w:rFonts w:hint="eastAsia" w:ascii="宋体" w:hAnsi="宋体" w:eastAsia="宋体" w:cs="宋体"/>
          <w:i/>
          <w:iCs w:val="0"/>
          <w:color w:val="auto"/>
          <w:sz w:val="21"/>
          <w:szCs w:val="21"/>
          <w:highlight w:val="none"/>
          <w:u w:val="single"/>
        </w:rPr>
      </w:pPr>
      <w:r>
        <w:rPr>
          <w:rFonts w:hint="eastAsia" w:ascii="宋体" w:hAnsi="宋体" w:eastAsia="宋体" w:cs="宋体"/>
          <w:i/>
          <w:iCs w:val="0"/>
          <w:color w:val="auto"/>
          <w:sz w:val="21"/>
          <w:szCs w:val="21"/>
          <w:highlight w:val="none"/>
          <w:u w:val="single"/>
        </w:rPr>
        <w:t>十</w:t>
      </w:r>
      <w:r>
        <w:rPr>
          <w:rFonts w:hint="eastAsia" w:ascii="宋体" w:hAnsi="宋体" w:eastAsia="宋体" w:cs="宋体"/>
          <w:i/>
          <w:iCs w:val="0"/>
          <w:color w:val="auto"/>
          <w:sz w:val="21"/>
          <w:szCs w:val="21"/>
          <w:highlight w:val="none"/>
          <w:u w:val="single"/>
          <w:lang w:val="en-US" w:eastAsia="zh-CN"/>
        </w:rPr>
        <w:t>五</w:t>
      </w:r>
      <w:r>
        <w:rPr>
          <w:rFonts w:hint="eastAsia" w:ascii="宋体" w:hAnsi="宋体" w:eastAsia="宋体" w:cs="宋体"/>
          <w:i/>
          <w:iCs w:val="0"/>
          <w:color w:val="auto"/>
          <w:sz w:val="21"/>
          <w:szCs w:val="21"/>
          <w:highlight w:val="none"/>
          <w:u w:val="single"/>
        </w:rPr>
        <w:t>、开标一览表</w:t>
      </w:r>
    </w:p>
    <w:p w14:paraId="2F7DD1D8">
      <w:pPr>
        <w:pStyle w:val="259"/>
        <w:spacing w:beforeAutospacing="0" w:afterAutospacing="0" w:line="360" w:lineRule="auto"/>
        <w:ind w:firstLine="420" w:firstLineChars="200"/>
        <w:jc w:val="both"/>
        <w:rPr>
          <w:rFonts w:hint="default" w:ascii="宋体" w:hAnsi="宋体" w:eastAsia="宋体" w:cs="宋体"/>
          <w:i/>
          <w:iCs w:val="0"/>
          <w:color w:val="auto"/>
          <w:sz w:val="21"/>
          <w:szCs w:val="21"/>
          <w:highlight w:val="none"/>
          <w:u w:val="single"/>
          <w:lang w:val="en-US" w:eastAsia="zh-CN"/>
        </w:rPr>
      </w:pPr>
      <w:r>
        <w:rPr>
          <w:rFonts w:hint="eastAsia" w:ascii="宋体" w:hAnsi="宋体" w:cs="宋体"/>
          <w:i/>
          <w:iCs w:val="0"/>
          <w:color w:val="auto"/>
          <w:sz w:val="21"/>
          <w:szCs w:val="21"/>
          <w:highlight w:val="none"/>
          <w:u w:val="single"/>
          <w:lang w:val="en-US" w:eastAsia="zh-CN"/>
        </w:rPr>
        <w:t>十六、承诺函</w:t>
      </w:r>
    </w:p>
    <w:p w14:paraId="373B2460">
      <w:pPr>
        <w:pStyle w:val="259"/>
        <w:spacing w:beforeAutospacing="0" w:afterAutospacing="0" w:line="360" w:lineRule="auto"/>
        <w:ind w:firstLine="480"/>
        <w:jc w:val="both"/>
        <w:rPr>
          <w:rFonts w:hint="eastAsia" w:ascii="宋体" w:hAnsi="宋体" w:cs="宋体"/>
          <w:iCs/>
          <w:color w:val="auto"/>
          <w:sz w:val="21"/>
          <w:szCs w:val="21"/>
          <w:highlight w:val="none"/>
        </w:rPr>
      </w:pPr>
      <w:r>
        <w:rPr>
          <w:rFonts w:hint="eastAsia" w:ascii="宋体" w:hAnsi="宋体" w:cs="宋体"/>
          <w:iCs/>
          <w:color w:val="auto"/>
          <w:sz w:val="21"/>
          <w:szCs w:val="21"/>
          <w:highlight w:val="none"/>
        </w:rPr>
        <w:t>十</w:t>
      </w:r>
      <w:r>
        <w:rPr>
          <w:rFonts w:hint="eastAsia" w:ascii="宋体" w:hAnsi="宋体" w:cs="宋体"/>
          <w:iCs/>
          <w:color w:val="auto"/>
          <w:sz w:val="21"/>
          <w:szCs w:val="21"/>
          <w:highlight w:val="none"/>
          <w:lang w:val="en-US" w:eastAsia="zh-CN"/>
        </w:rPr>
        <w:t>七</w:t>
      </w:r>
      <w:r>
        <w:rPr>
          <w:rFonts w:hint="eastAsia" w:ascii="宋体" w:hAnsi="宋体" w:cs="宋体"/>
          <w:iCs/>
          <w:color w:val="auto"/>
          <w:sz w:val="21"/>
          <w:szCs w:val="21"/>
          <w:highlight w:val="none"/>
        </w:rPr>
        <w:t>、技术方案、服务承诺、培训承诺等</w:t>
      </w:r>
    </w:p>
    <w:p w14:paraId="6C54A4F4">
      <w:pPr>
        <w:pStyle w:val="259"/>
        <w:spacing w:beforeAutospacing="0" w:afterAutospacing="0" w:line="360" w:lineRule="auto"/>
        <w:ind w:firstLine="420" w:firstLineChars="200"/>
        <w:jc w:val="both"/>
        <w:rPr>
          <w:rFonts w:hint="eastAsia" w:ascii="宋体" w:hAnsi="宋体" w:eastAsia="宋体" w:cs="宋体"/>
          <w:i/>
          <w:iCs w:val="0"/>
          <w:color w:val="auto"/>
          <w:sz w:val="21"/>
          <w:szCs w:val="21"/>
          <w:highlight w:val="none"/>
          <w:u w:val="single"/>
          <w:lang w:val="en-US" w:eastAsia="zh-CN"/>
        </w:rPr>
      </w:pPr>
      <w:r>
        <w:rPr>
          <w:rFonts w:hint="eastAsia" w:ascii="宋体" w:hAnsi="宋体" w:eastAsia="宋体" w:cs="宋体"/>
          <w:i/>
          <w:iCs w:val="0"/>
          <w:color w:val="auto"/>
          <w:sz w:val="21"/>
          <w:szCs w:val="21"/>
          <w:highlight w:val="none"/>
          <w:u w:val="single"/>
        </w:rPr>
        <w:t>十</w:t>
      </w:r>
      <w:r>
        <w:rPr>
          <w:rFonts w:hint="eastAsia" w:ascii="宋体" w:hAnsi="宋体" w:cs="宋体"/>
          <w:i/>
          <w:iCs w:val="0"/>
          <w:color w:val="auto"/>
          <w:sz w:val="21"/>
          <w:szCs w:val="21"/>
          <w:highlight w:val="none"/>
          <w:u w:val="single"/>
          <w:lang w:val="en-US" w:eastAsia="zh-CN"/>
        </w:rPr>
        <w:t>八</w:t>
      </w:r>
      <w:r>
        <w:rPr>
          <w:rFonts w:hint="eastAsia" w:ascii="宋体" w:hAnsi="宋体" w:eastAsia="宋体" w:cs="宋体"/>
          <w:i/>
          <w:iCs w:val="0"/>
          <w:color w:val="auto"/>
          <w:sz w:val="21"/>
          <w:szCs w:val="21"/>
          <w:highlight w:val="none"/>
          <w:u w:val="single"/>
        </w:rPr>
        <w:t>、盐城市政府采购事前信用承诺书</w:t>
      </w:r>
    </w:p>
    <w:p w14:paraId="169305EC">
      <w:pPr>
        <w:pStyle w:val="259"/>
        <w:spacing w:beforeAutospacing="0" w:afterAutospacing="0" w:line="0" w:lineRule="atLeast"/>
        <w:ind w:firstLine="480"/>
        <w:jc w:val="both"/>
        <w:rPr>
          <w:color w:val="auto"/>
          <w:sz w:val="21"/>
          <w:szCs w:val="21"/>
          <w:highlight w:val="none"/>
        </w:rPr>
      </w:pPr>
      <w:r>
        <w:rPr>
          <w:color w:val="auto"/>
          <w:sz w:val="21"/>
          <w:szCs w:val="21"/>
          <w:highlight w:val="none"/>
        </w:rPr>
        <w:t> </w:t>
      </w:r>
    </w:p>
    <w:p w14:paraId="1E0532DA">
      <w:pPr>
        <w:pStyle w:val="259"/>
        <w:spacing w:beforeAutospacing="0" w:afterAutospacing="0" w:line="0" w:lineRule="atLeast"/>
        <w:ind w:firstLine="480"/>
        <w:jc w:val="both"/>
        <w:rPr>
          <w:color w:val="auto"/>
          <w:sz w:val="21"/>
          <w:szCs w:val="21"/>
          <w:highlight w:val="none"/>
        </w:rPr>
      </w:pPr>
      <w:r>
        <w:rPr>
          <w:color w:val="auto"/>
          <w:sz w:val="21"/>
          <w:szCs w:val="21"/>
          <w:highlight w:val="none"/>
        </w:rPr>
        <w:t> </w:t>
      </w:r>
    </w:p>
    <w:p w14:paraId="6438FDC8">
      <w:pPr>
        <w:pStyle w:val="259"/>
        <w:spacing w:beforeAutospacing="0" w:afterAutospacing="0" w:line="0" w:lineRule="atLeast"/>
        <w:ind w:firstLine="480"/>
        <w:jc w:val="both"/>
        <w:rPr>
          <w:color w:val="auto"/>
          <w:highlight w:val="none"/>
        </w:rPr>
      </w:pPr>
      <w:r>
        <w:rPr>
          <w:color w:val="auto"/>
          <w:highlight w:val="none"/>
        </w:rPr>
        <w:t> </w:t>
      </w:r>
    </w:p>
    <w:p w14:paraId="1292889E">
      <w:pPr>
        <w:pStyle w:val="259"/>
        <w:spacing w:beforeAutospacing="0" w:afterAutospacing="0" w:line="0" w:lineRule="atLeast"/>
        <w:ind w:firstLine="480"/>
        <w:jc w:val="both"/>
        <w:rPr>
          <w:color w:val="auto"/>
          <w:highlight w:val="none"/>
        </w:rPr>
      </w:pPr>
      <w:r>
        <w:rPr>
          <w:color w:val="auto"/>
          <w:highlight w:val="none"/>
        </w:rPr>
        <w:t> </w:t>
      </w:r>
    </w:p>
    <w:p w14:paraId="223606B8">
      <w:pPr>
        <w:pStyle w:val="259"/>
        <w:spacing w:beforeAutospacing="0" w:afterAutospacing="0" w:line="0" w:lineRule="atLeast"/>
        <w:ind w:firstLine="480"/>
        <w:jc w:val="both"/>
        <w:rPr>
          <w:color w:val="auto"/>
          <w:highlight w:val="none"/>
        </w:rPr>
      </w:pPr>
      <w:r>
        <w:rPr>
          <w:color w:val="auto"/>
          <w:highlight w:val="none"/>
        </w:rPr>
        <w:t> </w:t>
      </w:r>
    </w:p>
    <w:p w14:paraId="7FDD41E1">
      <w:pPr>
        <w:pStyle w:val="259"/>
        <w:spacing w:beforeAutospacing="0" w:afterAutospacing="0" w:line="0" w:lineRule="atLeast"/>
        <w:ind w:firstLine="480"/>
        <w:jc w:val="both"/>
        <w:rPr>
          <w:color w:val="auto"/>
          <w:highlight w:val="none"/>
        </w:rPr>
      </w:pPr>
      <w:r>
        <w:rPr>
          <w:color w:val="auto"/>
          <w:highlight w:val="none"/>
        </w:rPr>
        <w:t> </w:t>
      </w:r>
    </w:p>
    <w:p w14:paraId="18D425AB">
      <w:pPr>
        <w:pStyle w:val="259"/>
        <w:spacing w:beforeAutospacing="0" w:afterAutospacing="0" w:line="0" w:lineRule="atLeast"/>
        <w:ind w:firstLine="480"/>
        <w:jc w:val="both"/>
        <w:rPr>
          <w:color w:val="auto"/>
          <w:highlight w:val="none"/>
        </w:rPr>
      </w:pPr>
      <w:r>
        <w:rPr>
          <w:color w:val="auto"/>
          <w:highlight w:val="none"/>
        </w:rPr>
        <w:t> </w:t>
      </w:r>
    </w:p>
    <w:p w14:paraId="3C420271">
      <w:pPr>
        <w:pStyle w:val="259"/>
        <w:spacing w:beforeAutospacing="0" w:afterAutospacing="0" w:line="0" w:lineRule="atLeast"/>
        <w:ind w:firstLine="480"/>
        <w:jc w:val="both"/>
        <w:rPr>
          <w:color w:val="auto"/>
          <w:highlight w:val="none"/>
        </w:rPr>
      </w:pPr>
    </w:p>
    <w:p w14:paraId="24DAF338">
      <w:pPr>
        <w:pStyle w:val="259"/>
        <w:spacing w:beforeAutospacing="0" w:afterAutospacing="0" w:line="0" w:lineRule="atLeast"/>
        <w:ind w:firstLine="480"/>
        <w:jc w:val="both"/>
        <w:rPr>
          <w:color w:val="auto"/>
          <w:highlight w:val="none"/>
        </w:rPr>
      </w:pPr>
    </w:p>
    <w:p w14:paraId="0790DAB4">
      <w:pPr>
        <w:pStyle w:val="259"/>
        <w:spacing w:beforeAutospacing="0" w:afterAutospacing="0" w:line="0" w:lineRule="atLeast"/>
        <w:ind w:firstLine="480"/>
        <w:jc w:val="both"/>
        <w:rPr>
          <w:color w:val="auto"/>
          <w:highlight w:val="none"/>
        </w:rPr>
      </w:pPr>
    </w:p>
    <w:p w14:paraId="2EC3403E">
      <w:pPr>
        <w:pStyle w:val="259"/>
        <w:spacing w:beforeAutospacing="0" w:afterAutospacing="0" w:line="0" w:lineRule="atLeast"/>
        <w:ind w:firstLine="480"/>
        <w:jc w:val="both"/>
        <w:rPr>
          <w:color w:val="auto"/>
          <w:highlight w:val="none"/>
        </w:rPr>
      </w:pPr>
    </w:p>
    <w:p w14:paraId="4438EDF8">
      <w:pPr>
        <w:pStyle w:val="259"/>
        <w:spacing w:beforeAutospacing="0" w:afterAutospacing="0" w:line="0" w:lineRule="atLeast"/>
        <w:ind w:firstLine="480"/>
        <w:jc w:val="both"/>
        <w:rPr>
          <w:color w:val="auto"/>
          <w:highlight w:val="none"/>
        </w:rPr>
      </w:pPr>
    </w:p>
    <w:p w14:paraId="5C1782F1">
      <w:pPr>
        <w:pStyle w:val="259"/>
        <w:spacing w:beforeAutospacing="0" w:afterAutospacing="0" w:line="0" w:lineRule="atLeast"/>
        <w:ind w:firstLine="480"/>
        <w:jc w:val="both"/>
        <w:rPr>
          <w:color w:val="auto"/>
          <w:highlight w:val="none"/>
        </w:rPr>
      </w:pPr>
    </w:p>
    <w:p w14:paraId="6E3FBA04">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p>
    <w:p w14:paraId="26DB155E">
      <w:pPr>
        <w:pStyle w:val="259"/>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67699CE4">
      <w:pPr>
        <w:pStyle w:val="259"/>
        <w:spacing w:beforeAutospacing="0" w:afterAutospacing="0" w:line="360" w:lineRule="auto"/>
        <w:ind w:firstLine="480"/>
        <w:jc w:val="both"/>
        <w:rPr>
          <w:color w:val="auto"/>
          <w:sz w:val="21"/>
          <w:szCs w:val="21"/>
          <w:highlight w:val="none"/>
        </w:rPr>
      </w:pPr>
      <w:r>
        <w:rPr>
          <w:color w:val="auto"/>
          <w:sz w:val="21"/>
          <w:szCs w:val="21"/>
          <w:highlight w:val="none"/>
        </w:rPr>
        <w:t> </w:t>
      </w:r>
    </w:p>
    <w:p w14:paraId="01210B68">
      <w:pPr>
        <w:tabs>
          <w:tab w:val="left" w:pos="1331"/>
        </w:tabs>
        <w:spacing w:line="360" w:lineRule="auto"/>
        <w:jc w:val="left"/>
        <w:rPr>
          <w:color w:val="auto"/>
          <w:sz w:val="21"/>
          <w:szCs w:val="21"/>
          <w:highlight w:val="none"/>
        </w:rPr>
      </w:pPr>
      <w:r>
        <w:rPr>
          <w:rFonts w:hint="eastAsia" w:ascii="黑体" w:hAnsi="宋体" w:eastAsia="黑体" w:cs="黑体"/>
          <w:i/>
          <w:color w:val="auto"/>
          <w:sz w:val="32"/>
          <w:szCs w:val="32"/>
          <w:highlight w:val="none"/>
          <w:u w:val="single"/>
        </w:rPr>
        <w:t>二、</w:t>
      </w:r>
      <w:r>
        <w:rPr>
          <w:rFonts w:hint="eastAsia" w:ascii="黑体" w:hAnsi="宋体" w:eastAsia="黑体" w:cs="黑体"/>
          <w:i/>
          <w:color w:val="auto"/>
          <w:sz w:val="32"/>
          <w:szCs w:val="32"/>
          <w:highlight w:val="none"/>
          <w:u w:val="single"/>
          <w:lang w:val="en-US" w:eastAsia="zh-CN" w:bidi="ar-SA"/>
        </w:rPr>
        <w:t>上一年度的财务状况报表（财务状况报表至少包含利润表、资产负债表、现金流量表，成立不满一年无需提供）</w:t>
      </w:r>
    </w:p>
    <w:p w14:paraId="3104CEED">
      <w:pPr>
        <w:pStyle w:val="259"/>
        <w:spacing w:beforeAutospacing="0" w:afterAutospacing="0"/>
        <w:jc w:val="both"/>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三、具备履行合同所必需的设备和专业技术能力的书面声明</w:t>
      </w:r>
    </w:p>
    <w:p w14:paraId="6851FB8D">
      <w:pPr>
        <w:pStyle w:val="259"/>
        <w:spacing w:beforeAutospacing="0" w:afterAutospacing="0" w:line="360" w:lineRule="auto"/>
        <w:ind w:firstLine="492"/>
        <w:jc w:val="both"/>
        <w:rPr>
          <w:color w:val="auto"/>
          <w:sz w:val="21"/>
          <w:szCs w:val="21"/>
          <w:highlight w:val="none"/>
        </w:rPr>
      </w:pPr>
      <w:r>
        <w:rPr>
          <w:rFonts w:hint="eastAsia" w:ascii="宋体" w:hAnsi="宋体" w:cs="宋体"/>
          <w:color w:val="auto"/>
          <w:sz w:val="21"/>
          <w:szCs w:val="21"/>
          <w:highlight w:val="none"/>
        </w:rPr>
        <w:t>我单位郑重声明：我单位具备履行本项采购合同所必需的设备和专业技术能力，为履行本项采购合同我公司具备如下主要设备和主要专业技术能力：</w:t>
      </w:r>
    </w:p>
    <w:p w14:paraId="0032A30E">
      <w:pPr>
        <w:pStyle w:val="259"/>
        <w:spacing w:beforeAutospacing="0" w:afterAutospacing="0" w:line="360" w:lineRule="auto"/>
        <w:ind w:firstLine="492"/>
        <w:jc w:val="both"/>
        <w:rPr>
          <w:color w:val="auto"/>
          <w:sz w:val="21"/>
          <w:szCs w:val="21"/>
          <w:highlight w:val="none"/>
        </w:rPr>
      </w:pPr>
      <w:r>
        <w:rPr>
          <w:rFonts w:hint="eastAsia" w:ascii="宋体" w:hAnsi="宋体" w:cs="宋体"/>
          <w:color w:val="auto"/>
          <w:sz w:val="21"/>
          <w:szCs w:val="21"/>
          <w:highlight w:val="none"/>
        </w:rPr>
        <w:t>主要设备有：</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13C806EC">
      <w:pPr>
        <w:pStyle w:val="259"/>
        <w:spacing w:beforeAutospacing="0" w:afterAutospacing="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主要专业技术能力有：</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4FB672E">
      <w:pPr>
        <w:pStyle w:val="259"/>
        <w:spacing w:beforeAutospacing="0" w:afterAutospacing="0"/>
        <w:jc w:val="both"/>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四、依法缴纳税收和社会保障资金的相关材料</w:t>
      </w:r>
    </w:p>
    <w:p w14:paraId="460F7847">
      <w:pPr>
        <w:pStyle w:val="259"/>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提供提交投标文件截止时间前一年内至少一个月依法缴纳税收及缴纳社会保障资金的证明材料。投标人依法享受缓缴、免缴税收、社会保障资金的提供证明材料。</w:t>
      </w:r>
    </w:p>
    <w:p w14:paraId="4471EFD3">
      <w:pPr>
        <w:pStyle w:val="259"/>
        <w:spacing w:beforeAutospacing="0" w:afterAutospacing="0" w:line="360" w:lineRule="auto"/>
        <w:jc w:val="both"/>
        <w:rPr>
          <w:color w:val="auto"/>
          <w:sz w:val="21"/>
          <w:szCs w:val="21"/>
          <w:highlight w:val="none"/>
        </w:rPr>
      </w:pPr>
      <w:r>
        <w:rPr>
          <w:color w:val="auto"/>
          <w:sz w:val="21"/>
          <w:szCs w:val="21"/>
          <w:highlight w:val="none"/>
        </w:rPr>
        <w:t> </w:t>
      </w:r>
    </w:p>
    <w:p w14:paraId="2C5C2DB4">
      <w:pPr>
        <w:pStyle w:val="259"/>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0FD4021D">
      <w:pPr>
        <w:pStyle w:val="259"/>
        <w:spacing w:beforeAutospacing="0" w:afterAutospacing="0" w:line="360" w:lineRule="auto"/>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rPr>
        <w:t>                </w:t>
      </w:r>
    </w:p>
    <w:p w14:paraId="385805B5">
      <w:pPr>
        <w:pStyle w:val="259"/>
        <w:spacing w:beforeAutospacing="0" w:afterAutospacing="0"/>
        <w:jc w:val="center"/>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 声  明</w:t>
      </w:r>
    </w:p>
    <w:p w14:paraId="5CF18EFE">
      <w:pPr>
        <w:pStyle w:val="259"/>
        <w:spacing w:beforeAutospacing="0" w:afterAutospacing="0" w:line="360" w:lineRule="auto"/>
        <w:jc w:val="both"/>
        <w:rPr>
          <w:color w:val="auto"/>
          <w:sz w:val="21"/>
          <w:szCs w:val="21"/>
          <w:highlight w:val="none"/>
        </w:rPr>
      </w:pPr>
      <w:r>
        <w:rPr>
          <w:rFonts w:hint="eastAsia" w:ascii="宋体" w:hAnsi="宋体" w:cs="宋体"/>
          <w:b/>
          <w:color w:val="auto"/>
          <w:sz w:val="21"/>
          <w:szCs w:val="21"/>
          <w:highlight w:val="none"/>
        </w:rPr>
        <w:t xml:space="preserve">    </w:t>
      </w:r>
      <w:r>
        <w:rPr>
          <w:rFonts w:hint="eastAsia" w:ascii="宋体" w:hAnsi="宋体" w:cs="宋体"/>
          <w:color w:val="auto"/>
          <w:sz w:val="21"/>
          <w:szCs w:val="21"/>
          <w:highlight w:val="none"/>
        </w:rPr>
        <w:t>我单位郑重声明：参加本次政府采购活动前 3 年内，我单位在经营活动中没有因违法经营受到刑事处罚或者责令停产停业、吊销许可证或者执照、较大数额罚款等行政处罚。</w:t>
      </w:r>
    </w:p>
    <w:p w14:paraId="0FC38F33">
      <w:pPr>
        <w:pStyle w:val="259"/>
        <w:spacing w:beforeAutospacing="0" w:afterAutospacing="0" w:line="360" w:lineRule="auto"/>
        <w:jc w:val="both"/>
        <w:rPr>
          <w:color w:val="auto"/>
          <w:sz w:val="21"/>
          <w:szCs w:val="21"/>
          <w:highlight w:val="none"/>
        </w:rPr>
      </w:pPr>
      <w:r>
        <w:rPr>
          <w:color w:val="auto"/>
          <w:sz w:val="21"/>
          <w:szCs w:val="21"/>
          <w:highlight w:val="none"/>
        </w:rPr>
        <w:t> </w:t>
      </w:r>
    </w:p>
    <w:p w14:paraId="6DF3450D">
      <w:pPr>
        <w:pStyle w:val="259"/>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六、特定资格要求的证明文件</w:t>
      </w:r>
    </w:p>
    <w:p w14:paraId="0AC55D79">
      <w:pPr>
        <w:pStyle w:val="259"/>
        <w:spacing w:beforeAutospacing="0" w:afterAutospacing="0" w:line="360" w:lineRule="auto"/>
        <w:jc w:val="both"/>
        <w:rPr>
          <w:color w:val="auto"/>
          <w:sz w:val="21"/>
          <w:szCs w:val="21"/>
          <w:highlight w:val="none"/>
        </w:rPr>
      </w:pPr>
      <w:r>
        <w:rPr>
          <w:rFonts w:hint="eastAsia" w:ascii="宋体" w:hAnsi="宋体" w:cs="宋体"/>
          <w:color w:val="auto"/>
          <w:sz w:val="21"/>
          <w:szCs w:val="21"/>
          <w:highlight w:val="none"/>
        </w:rPr>
        <w:t>   如果本项目申请人的特定资格要求中要求提供的，必须提供。</w:t>
      </w:r>
    </w:p>
    <w:p w14:paraId="72F29BAB">
      <w:pPr>
        <w:pStyle w:val="259"/>
        <w:spacing w:beforeAutospacing="0" w:afterAutospacing="0" w:line="360" w:lineRule="auto"/>
        <w:jc w:val="center"/>
        <w:rPr>
          <w:rFonts w:hint="eastAsia" w:ascii="黑体" w:hAnsi="宋体" w:eastAsia="黑体" w:cs="黑体"/>
          <w:i/>
          <w:color w:val="auto"/>
          <w:sz w:val="21"/>
          <w:szCs w:val="21"/>
          <w:highlight w:val="none"/>
          <w:u w:val="single"/>
        </w:rPr>
      </w:pPr>
      <w:bookmarkStart w:id="209" w:name="_Toc120614284"/>
    </w:p>
    <w:p w14:paraId="44567EE1">
      <w:pPr>
        <w:pStyle w:val="259"/>
        <w:spacing w:beforeAutospacing="0" w:afterAutospacing="0"/>
        <w:jc w:val="both"/>
        <w:rPr>
          <w:rFonts w:hint="eastAsia" w:ascii="黑体" w:hAnsi="宋体" w:eastAsia="黑体" w:cs="黑体"/>
          <w:i/>
          <w:color w:val="auto"/>
          <w:sz w:val="32"/>
          <w:szCs w:val="32"/>
          <w:highlight w:val="none"/>
          <w:u w:val="single"/>
        </w:rPr>
      </w:pPr>
    </w:p>
    <w:p w14:paraId="5288C5BE">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p>
    <w:p w14:paraId="3C79A20D">
      <w:pPr>
        <w:pStyle w:val="259"/>
        <w:spacing w:beforeAutospacing="0" w:afterAutospacing="0"/>
        <w:jc w:val="center"/>
        <w:rPr>
          <w:i/>
          <w:iCs w:val="0"/>
          <w:color w:val="auto"/>
          <w:highlight w:val="none"/>
          <w:u w:val="single"/>
        </w:rPr>
      </w:pPr>
      <w:r>
        <w:rPr>
          <w:rFonts w:hint="eastAsia" w:ascii="黑体" w:hAnsi="宋体" w:eastAsia="黑体" w:cs="黑体"/>
          <w:i/>
          <w:iCs w:val="0"/>
          <w:color w:val="auto"/>
          <w:sz w:val="32"/>
          <w:szCs w:val="32"/>
          <w:highlight w:val="none"/>
          <w:u w:val="single"/>
        </w:rPr>
        <w:t>七、法人授权书</w:t>
      </w:r>
    </w:p>
    <w:p w14:paraId="1498E8BE">
      <w:pPr>
        <w:pStyle w:val="259"/>
        <w:tabs>
          <w:tab w:val="left" w:pos="360"/>
        </w:tabs>
        <w:spacing w:beforeAutospacing="0" w:afterAutospacing="0" w:line="360" w:lineRule="auto"/>
        <w:ind w:firstLine="480"/>
        <w:jc w:val="both"/>
        <w:rPr>
          <w:color w:val="auto"/>
          <w:sz w:val="21"/>
          <w:szCs w:val="21"/>
          <w:highlight w:val="none"/>
        </w:rPr>
      </w:pPr>
      <w:r>
        <w:rPr>
          <w:rFonts w:ascii="Times New Roman" w:hAnsi="Times New Roman"/>
          <w:color w:val="auto"/>
          <w:sz w:val="21"/>
          <w:szCs w:val="21"/>
          <w:highlight w:val="none"/>
        </w:rPr>
        <w:t>本授权书声明：____________（投标人名称）授权________________（被授权人的姓名）为我方就</w:t>
      </w:r>
      <w:r>
        <w:rPr>
          <w:rFonts w:hint="eastAsia" w:ascii="Times New Roman" w:hAnsi="Times New Roman"/>
          <w:color w:val="auto"/>
          <w:sz w:val="21"/>
          <w:szCs w:val="21"/>
          <w:highlight w:val="none"/>
          <w:lang w:val="en-US" w:eastAsia="zh-CN"/>
        </w:rPr>
        <w:t xml:space="preserve">           </w:t>
      </w:r>
      <w:r>
        <w:rPr>
          <w:rFonts w:ascii="Times New Roman" w:hAnsi="Times New Roman"/>
          <w:color w:val="auto"/>
          <w:sz w:val="21"/>
          <w:szCs w:val="21"/>
          <w:highlight w:val="none"/>
        </w:rPr>
        <w:t>号项目采购活动的合法代理人，以本单位名义全权处理一切与该项目采购有关的事务。</w:t>
      </w:r>
    </w:p>
    <w:p w14:paraId="63C31BD4">
      <w:pPr>
        <w:pStyle w:val="259"/>
        <w:tabs>
          <w:tab w:val="left" w:pos="360"/>
        </w:tabs>
        <w:spacing w:beforeAutospacing="0" w:afterAutospacing="0" w:line="360" w:lineRule="auto"/>
        <w:ind w:firstLine="688"/>
        <w:jc w:val="both"/>
        <w:rPr>
          <w:color w:val="auto"/>
          <w:sz w:val="21"/>
          <w:szCs w:val="21"/>
          <w:highlight w:val="none"/>
        </w:rPr>
      </w:pPr>
      <w:r>
        <w:rPr>
          <w:rFonts w:ascii="Times New Roman" w:hAnsi="Times New Roman"/>
          <w:color w:val="auto"/>
          <w:sz w:val="21"/>
          <w:szCs w:val="21"/>
          <w:highlight w:val="none"/>
        </w:rPr>
        <w:t>本授权书于______年____月____日起生效，特此声明。</w:t>
      </w:r>
    </w:p>
    <w:p w14:paraId="01F48240">
      <w:pPr>
        <w:pStyle w:val="259"/>
        <w:tabs>
          <w:tab w:val="left" w:pos="360"/>
        </w:tabs>
        <w:spacing w:beforeAutospacing="0" w:afterAutospacing="0" w:line="360" w:lineRule="auto"/>
        <w:jc w:val="both"/>
        <w:rPr>
          <w:color w:val="auto"/>
          <w:sz w:val="21"/>
          <w:szCs w:val="21"/>
          <w:highlight w:val="none"/>
        </w:rPr>
      </w:pPr>
      <w:r>
        <w:rPr>
          <w:rFonts w:ascii="Times New Roman" w:hAnsi="Times New Roman"/>
          <w:color w:val="auto"/>
          <w:sz w:val="21"/>
          <w:szCs w:val="21"/>
          <w:highlight w:val="none"/>
        </w:rPr>
        <w:t>          被授权人身份证号码：</w:t>
      </w:r>
      <w:r>
        <w:rPr>
          <w:rFonts w:ascii="Times New Roman" w:hAnsi="Times New Roman"/>
          <w:color w:val="auto"/>
          <w:sz w:val="21"/>
          <w:szCs w:val="21"/>
          <w:highlight w:val="none"/>
          <w:u w:val="single"/>
        </w:rPr>
        <w:t xml:space="preserve">                              </w:t>
      </w:r>
    </w:p>
    <w:p w14:paraId="1481763C">
      <w:pPr>
        <w:pStyle w:val="259"/>
        <w:tabs>
          <w:tab w:val="left" w:pos="360"/>
        </w:tabs>
        <w:spacing w:beforeAutospacing="0" w:afterAutospacing="0" w:line="360" w:lineRule="auto"/>
        <w:jc w:val="both"/>
        <w:rPr>
          <w:rFonts w:ascii="Times New Roman" w:hAnsi="Times New Roman"/>
          <w:color w:val="auto"/>
          <w:sz w:val="21"/>
          <w:szCs w:val="21"/>
          <w:highlight w:val="none"/>
        </w:rPr>
      </w:pPr>
      <w:r>
        <w:rPr>
          <w:rFonts w:ascii="Times New Roman" w:hAnsi="Times New Roman"/>
          <w:color w:val="auto"/>
          <w:sz w:val="21"/>
          <w:szCs w:val="21"/>
          <w:highlight w:val="none"/>
        </w:rPr>
        <w:t>          被授权人联系电话：（手机）</w:t>
      </w:r>
      <w:r>
        <w:rPr>
          <w:rFonts w:ascii="Times New Roman" w:hAnsi="Times New Roman"/>
          <w:color w:val="auto"/>
          <w:sz w:val="21"/>
          <w:szCs w:val="21"/>
          <w:highlight w:val="none"/>
          <w:u w:val="single"/>
        </w:rPr>
        <w:t xml:space="preserve">                          </w:t>
      </w:r>
    </w:p>
    <w:p w14:paraId="645A9F3B">
      <w:pPr>
        <w:pStyle w:val="259"/>
        <w:tabs>
          <w:tab w:val="left" w:pos="360"/>
        </w:tabs>
        <w:spacing w:beforeAutospacing="0" w:afterAutospacing="0" w:line="360" w:lineRule="auto"/>
        <w:ind w:firstLine="630"/>
        <w:jc w:val="both"/>
        <w:rPr>
          <w:color w:val="auto"/>
          <w:sz w:val="21"/>
          <w:szCs w:val="21"/>
          <w:highlight w:val="none"/>
        </w:rPr>
      </w:pPr>
      <w:r>
        <w:rPr>
          <w:rFonts w:ascii="Times New Roman" w:hAnsi="Times New Roman"/>
          <w:color w:val="auto"/>
          <w:sz w:val="21"/>
          <w:szCs w:val="21"/>
          <w:highlight w:val="none"/>
        </w:rPr>
        <w:t>授权单位名称：</w:t>
      </w:r>
      <w:r>
        <w:rPr>
          <w:rFonts w:ascii="Times New Roman" w:hAnsi="Times New Roman"/>
          <w:color w:val="auto"/>
          <w:sz w:val="21"/>
          <w:szCs w:val="21"/>
          <w:highlight w:val="none"/>
          <w:u w:val="single"/>
        </w:rPr>
        <w:t>（加盖CA电子公章）</w:t>
      </w:r>
    </w:p>
    <w:p w14:paraId="147E9DDE">
      <w:pPr>
        <w:pStyle w:val="259"/>
        <w:tabs>
          <w:tab w:val="left" w:pos="360"/>
        </w:tabs>
        <w:spacing w:beforeAutospacing="0" w:afterAutospacing="0" w:line="360" w:lineRule="auto"/>
        <w:ind w:firstLine="480"/>
        <w:jc w:val="both"/>
        <w:rPr>
          <w:color w:val="auto"/>
          <w:sz w:val="21"/>
          <w:szCs w:val="21"/>
          <w:highlight w:val="none"/>
        </w:rPr>
      </w:pPr>
      <w:r>
        <w:rPr>
          <w:rFonts w:ascii="Times New Roman" w:hAnsi="Times New Roman"/>
          <w:color w:val="auto"/>
          <w:sz w:val="21"/>
          <w:szCs w:val="21"/>
          <w:highlight w:val="none"/>
        </w:rPr>
        <w:t>   单位地址：</w:t>
      </w:r>
      <w:r>
        <w:rPr>
          <w:rFonts w:ascii="Times New Roman" w:hAnsi="Times New Roman"/>
          <w:color w:val="auto"/>
          <w:sz w:val="21"/>
          <w:szCs w:val="21"/>
          <w:highlight w:val="none"/>
          <w:u w:val="single"/>
        </w:rPr>
        <w:t xml:space="preserve">                                         </w:t>
      </w:r>
    </w:p>
    <w:p w14:paraId="7B33E584">
      <w:pPr>
        <w:pStyle w:val="259"/>
        <w:tabs>
          <w:tab w:val="left" w:pos="360"/>
        </w:tabs>
        <w:spacing w:beforeAutospacing="0" w:afterAutospacing="0" w:line="360" w:lineRule="auto"/>
        <w:ind w:firstLine="480"/>
        <w:jc w:val="both"/>
        <w:rPr>
          <w:color w:val="auto"/>
          <w:sz w:val="21"/>
          <w:szCs w:val="21"/>
          <w:highlight w:val="none"/>
        </w:rPr>
      </w:pPr>
      <w:r>
        <w:rPr>
          <w:rFonts w:ascii="Times New Roman" w:hAnsi="Times New Roman"/>
          <w:color w:val="auto"/>
          <w:sz w:val="21"/>
          <w:szCs w:val="21"/>
          <w:highlight w:val="none"/>
        </w:rPr>
        <w:t>   日期：</w:t>
      </w:r>
      <w:bookmarkStart w:id="210" w:name="_Hlt26955070"/>
      <w:bookmarkStart w:id="211" w:name="_格式3__银行出具的资信证明"/>
      <w:bookmarkStart w:id="212" w:name="_Hlt26671380"/>
      <w:r>
        <w:rPr>
          <w:rFonts w:ascii="Times New Roman" w:hAnsi="Times New Roman"/>
          <w:color w:val="auto"/>
          <w:sz w:val="21"/>
          <w:szCs w:val="21"/>
          <w:highlight w:val="none"/>
          <w:u w:val="single"/>
        </w:rPr>
        <w:t xml:space="preserve">                                         </w:t>
      </w:r>
    </w:p>
    <w:p w14:paraId="0F1EAF0B">
      <w:pPr>
        <w:pStyle w:val="259"/>
        <w:spacing w:beforeAutospacing="0" w:afterAutospacing="0"/>
        <w:ind w:firstLine="420"/>
        <w:jc w:val="both"/>
        <w:rPr>
          <w:color w:val="auto"/>
          <w:highlight w:val="none"/>
        </w:rPr>
      </w:pPr>
      <w:r>
        <w:rPr>
          <w:color w:val="auto"/>
          <w:highlight w:val="none"/>
        </w:rPr>
        <w:t> </w:t>
      </w:r>
    </w:p>
    <w:p w14:paraId="24CFF527">
      <w:pPr>
        <w:pStyle w:val="259"/>
        <w:spacing w:beforeAutospacing="0" w:afterAutospacing="0"/>
        <w:jc w:val="both"/>
        <w:rPr>
          <w:color w:val="auto"/>
          <w:highlight w:val="none"/>
        </w:rPr>
      </w:pPr>
      <w:r>
        <w:rPr>
          <w:color w:val="auto"/>
          <w:highlight w:val="none"/>
        </w:rPr>
        <w:t> </w:t>
      </w:r>
    </w:p>
    <w:p w14:paraId="609898CA">
      <w:pPr>
        <w:pStyle w:val="259"/>
        <w:spacing w:beforeAutospacing="0" w:afterAutospacing="0" w:line="0" w:lineRule="atLeast"/>
        <w:jc w:val="both"/>
        <w:rPr>
          <w:color w:val="auto"/>
          <w:highlight w:val="none"/>
        </w:rPr>
      </w:pPr>
      <w:r>
        <w:rPr>
          <w:color w:val="auto"/>
          <w:highlight w:val="none"/>
        </w:rPr>
        <w:t> </w:t>
      </w:r>
    </w:p>
    <w:p w14:paraId="629A61AC">
      <w:pPr>
        <w:pStyle w:val="259"/>
        <w:keepNext/>
        <w:keepLines/>
        <w:spacing w:before="260" w:beforeAutospacing="0" w:after="260" w:afterAutospacing="0" w:line="415" w:lineRule="auto"/>
        <w:ind w:firstLine="3390"/>
        <w:jc w:val="both"/>
        <w:rPr>
          <w:color w:val="auto"/>
          <w:highlight w:val="none"/>
        </w:rPr>
      </w:pPr>
      <w:r>
        <w:rPr>
          <w:rFonts w:hint="eastAsia" w:ascii="宋体" w:hAnsi="宋体" w:cs="宋体"/>
          <w:b/>
          <w:color w:val="auto"/>
          <w:highlight w:val="none"/>
        </w:rPr>
        <w:br w:type="page" w:clear="all"/>
      </w:r>
      <w:r>
        <w:rPr>
          <w:rFonts w:hint="eastAsia" w:ascii="宋体" w:hAnsi="宋体" w:cs="宋体"/>
          <w:b/>
          <w:color w:val="auto"/>
          <w:highlight w:val="none"/>
        </w:rPr>
        <w:t> </w:t>
      </w:r>
      <w:r>
        <w:rPr>
          <w:rFonts w:hint="eastAsia" w:ascii="黑体" w:hAnsi="宋体" w:eastAsia="黑体" w:cs="黑体"/>
          <w:b/>
          <w:i/>
          <w:color w:val="auto"/>
          <w:sz w:val="32"/>
          <w:szCs w:val="32"/>
          <w:highlight w:val="none"/>
          <w:u w:val="single"/>
        </w:rPr>
        <w:t>八、投标函</w:t>
      </w:r>
    </w:p>
    <w:p w14:paraId="28FCFA40">
      <w:pPr>
        <w:pStyle w:val="259"/>
        <w:spacing w:beforeAutospacing="0" w:afterAutospacing="0" w:line="360" w:lineRule="auto"/>
        <w:rPr>
          <w:rFonts w:eastAsia="宋体"/>
          <w:color w:val="auto"/>
          <w:sz w:val="21"/>
          <w:szCs w:val="21"/>
          <w:highlight w:val="none"/>
          <w:lang w:val="en-US" w:eastAsia="zh-CN"/>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lang w:val="en-US" w:eastAsia="zh-CN"/>
        </w:rPr>
        <w:t>盐城市公安局盐都分局</w:t>
      </w:r>
    </w:p>
    <w:p w14:paraId="491FC7FA">
      <w:pPr>
        <w:pStyle w:val="259"/>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根据贵方的</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号招标文件，正式授权下述签字人_________________(姓名)代表我方______________（投标人的名称），全权处理本次项目投标的有关事宜。</w:t>
      </w:r>
    </w:p>
    <w:p w14:paraId="51828F00">
      <w:pPr>
        <w:pStyle w:val="259"/>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据此函，__________签字人兹宣布同意如下：</w:t>
      </w:r>
    </w:p>
    <w:p w14:paraId="2539A7C8">
      <w:pPr>
        <w:pStyle w:val="259"/>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1.按招标文件规定的各项要求，向买方提供所需货物（包含与货物相关的服务）。</w:t>
      </w:r>
    </w:p>
    <w:p w14:paraId="506FB686">
      <w:pPr>
        <w:pStyle w:val="259"/>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2.我们完全理解贵方不一定将合同授予最低报价的投标人。</w:t>
      </w:r>
    </w:p>
    <w:p w14:paraId="0226BBDB">
      <w:pPr>
        <w:pStyle w:val="259"/>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3.我们已详细审核全部招标文件及其有效补充文件，我们知道必须放弃提出含糊不清或误解问题的权利。</w:t>
      </w:r>
    </w:p>
    <w:p w14:paraId="25082BA1">
      <w:pPr>
        <w:pStyle w:val="259"/>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4.我们同意从规定的开标日期起遵循本投标文件，并在规定的投标有效期期满之前均具有约束力。</w:t>
      </w:r>
    </w:p>
    <w:p w14:paraId="4FC4519C">
      <w:pPr>
        <w:pStyle w:val="259"/>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5.同意向贵方提供贵方可能另外要求的与投标有关的任何证据或资料，并保证我方已提供和将要提供的文件是真实的、准确的。</w:t>
      </w:r>
    </w:p>
    <w:p w14:paraId="09C693C2">
      <w:pPr>
        <w:pStyle w:val="259"/>
        <w:spacing w:beforeAutospacing="0" w:afterAutospacing="0" w:line="360" w:lineRule="auto"/>
        <w:ind w:firstLine="480"/>
        <w:rPr>
          <w:color w:val="auto"/>
          <w:sz w:val="21"/>
          <w:szCs w:val="21"/>
          <w:highlight w:val="none"/>
        </w:rPr>
      </w:pPr>
      <w:r>
        <w:rPr>
          <w:rFonts w:hint="eastAsia" w:ascii="宋体" w:hAnsi="宋体" w:cs="宋体"/>
          <w:color w:val="auto"/>
          <w:sz w:val="21"/>
          <w:szCs w:val="21"/>
          <w:highlight w:val="none"/>
        </w:rPr>
        <w:t>6.一旦我方中标,我方将根据招标文件的规定，严格履行合同的责任和义务,并保证在招标文件规定的时间完成项目，交付买方验收、使用。</w:t>
      </w:r>
    </w:p>
    <w:p w14:paraId="5FEC6AFE">
      <w:pPr>
        <w:pStyle w:val="259"/>
        <w:spacing w:beforeAutospacing="0" w:afterAutospacing="0" w:line="360" w:lineRule="auto"/>
        <w:ind w:left="425"/>
        <w:rPr>
          <w:color w:val="auto"/>
          <w:sz w:val="21"/>
          <w:szCs w:val="21"/>
          <w:highlight w:val="none"/>
        </w:rPr>
      </w:pPr>
      <w:r>
        <w:rPr>
          <w:rFonts w:hint="eastAsia" w:ascii="宋体" w:hAnsi="宋体" w:cs="宋体"/>
          <w:color w:val="auto"/>
          <w:sz w:val="21"/>
          <w:szCs w:val="21"/>
          <w:highlight w:val="none"/>
        </w:rPr>
        <w:t>7.与本投标有关的正式通讯地址为：</w:t>
      </w:r>
    </w:p>
    <w:p w14:paraId="177D5AF4">
      <w:pPr>
        <w:pStyle w:val="259"/>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地          址：</w:t>
      </w:r>
    </w:p>
    <w:p w14:paraId="3D6E3070">
      <w:pPr>
        <w:pStyle w:val="259"/>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邮          编：</w:t>
      </w:r>
    </w:p>
    <w:p w14:paraId="7A9AFEAD">
      <w:pPr>
        <w:pStyle w:val="259"/>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电          话：</w:t>
      </w:r>
    </w:p>
    <w:p w14:paraId="3B79BA68">
      <w:pPr>
        <w:pStyle w:val="259"/>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传          真：</w:t>
      </w:r>
    </w:p>
    <w:p w14:paraId="5C82E529">
      <w:pPr>
        <w:pStyle w:val="259"/>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投标人开户行：</w:t>
      </w:r>
    </w:p>
    <w:p w14:paraId="0F130D24">
      <w:pPr>
        <w:pStyle w:val="259"/>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 xml:space="preserve">账          号： </w:t>
      </w:r>
    </w:p>
    <w:p w14:paraId="5AFA430F">
      <w:pPr>
        <w:pStyle w:val="259"/>
        <w:spacing w:beforeAutospacing="0" w:afterAutospacing="0" w:line="360" w:lineRule="auto"/>
        <w:ind w:left="420" w:firstLine="480"/>
        <w:rPr>
          <w:color w:val="auto"/>
          <w:sz w:val="21"/>
          <w:szCs w:val="21"/>
          <w:highlight w:val="none"/>
        </w:rPr>
      </w:pPr>
      <w:r>
        <w:rPr>
          <w:rFonts w:hint="eastAsia" w:ascii="宋体" w:hAnsi="宋体" w:cs="宋体"/>
          <w:color w:val="auto"/>
          <w:sz w:val="21"/>
          <w:szCs w:val="21"/>
          <w:highlight w:val="none"/>
        </w:rPr>
        <w:t>日           期：________年____月____日</w:t>
      </w:r>
    </w:p>
    <w:p w14:paraId="6631A4D2">
      <w:pPr>
        <w:pStyle w:val="259"/>
        <w:spacing w:beforeAutospacing="0" w:afterAutospacing="0" w:line="0" w:lineRule="atLeast"/>
        <w:ind w:firstLine="240"/>
        <w:jc w:val="center"/>
        <w:rPr>
          <w:color w:val="auto"/>
          <w:highlight w:val="none"/>
        </w:rPr>
      </w:pPr>
      <w:r>
        <w:rPr>
          <w:color w:val="auto"/>
          <w:highlight w:val="none"/>
        </w:rPr>
        <w:t> </w:t>
      </w:r>
    </w:p>
    <w:p w14:paraId="1B346D41">
      <w:pPr>
        <w:pStyle w:val="259"/>
        <w:spacing w:beforeAutospacing="0" w:afterAutospacing="0" w:line="0" w:lineRule="atLeast"/>
        <w:ind w:firstLine="240"/>
        <w:jc w:val="center"/>
        <w:rPr>
          <w:color w:val="auto"/>
          <w:highlight w:val="none"/>
        </w:rPr>
      </w:pPr>
      <w:r>
        <w:rPr>
          <w:color w:val="auto"/>
          <w:highlight w:val="none"/>
        </w:rPr>
        <w:t> </w:t>
      </w:r>
    </w:p>
    <w:p w14:paraId="5F644E7E">
      <w:pPr>
        <w:pStyle w:val="259"/>
        <w:spacing w:beforeAutospacing="0" w:afterAutospacing="0" w:line="0" w:lineRule="atLeast"/>
        <w:ind w:firstLine="240"/>
        <w:jc w:val="center"/>
        <w:rPr>
          <w:color w:val="auto"/>
          <w:highlight w:val="none"/>
        </w:rPr>
      </w:pPr>
      <w:r>
        <w:rPr>
          <w:color w:val="auto"/>
          <w:highlight w:val="none"/>
        </w:rPr>
        <w:t> </w:t>
      </w:r>
    </w:p>
    <w:p w14:paraId="05BFF63A">
      <w:pPr>
        <w:pStyle w:val="259"/>
        <w:spacing w:beforeAutospacing="0" w:afterAutospacing="0" w:line="0" w:lineRule="atLeast"/>
        <w:ind w:firstLine="240"/>
        <w:jc w:val="center"/>
        <w:rPr>
          <w:color w:val="auto"/>
          <w:highlight w:val="none"/>
        </w:rPr>
      </w:pPr>
      <w:r>
        <w:rPr>
          <w:color w:val="auto"/>
          <w:highlight w:val="none"/>
        </w:rPr>
        <w:t> </w:t>
      </w:r>
    </w:p>
    <w:p w14:paraId="49CBCEE1">
      <w:pPr>
        <w:pStyle w:val="259"/>
        <w:spacing w:beforeAutospacing="0" w:afterAutospacing="0" w:line="0" w:lineRule="atLeast"/>
        <w:ind w:firstLine="240"/>
        <w:jc w:val="center"/>
        <w:rPr>
          <w:color w:val="auto"/>
          <w:highlight w:val="none"/>
        </w:rPr>
      </w:pPr>
    </w:p>
    <w:p w14:paraId="6BAD8755">
      <w:pPr>
        <w:pStyle w:val="259"/>
        <w:spacing w:beforeAutospacing="0" w:afterAutospacing="0" w:line="0" w:lineRule="atLeast"/>
        <w:ind w:firstLine="240"/>
        <w:jc w:val="center"/>
        <w:rPr>
          <w:color w:val="auto"/>
          <w:highlight w:val="none"/>
        </w:rPr>
      </w:pPr>
    </w:p>
    <w:p w14:paraId="4381111D">
      <w:pPr>
        <w:pStyle w:val="259"/>
        <w:spacing w:beforeAutospacing="0" w:afterAutospacing="0" w:line="0" w:lineRule="atLeast"/>
        <w:ind w:firstLine="240"/>
        <w:jc w:val="center"/>
        <w:rPr>
          <w:color w:val="auto"/>
          <w:highlight w:val="none"/>
        </w:rPr>
      </w:pPr>
    </w:p>
    <w:p w14:paraId="2B0F0C69">
      <w:pPr>
        <w:pStyle w:val="259"/>
        <w:spacing w:beforeAutospacing="0" w:afterAutospacing="0" w:line="0" w:lineRule="atLeast"/>
        <w:ind w:firstLine="240"/>
        <w:jc w:val="center"/>
        <w:rPr>
          <w:color w:val="auto"/>
          <w:highlight w:val="none"/>
        </w:rPr>
      </w:pPr>
    </w:p>
    <w:p w14:paraId="22E81430">
      <w:pPr>
        <w:pStyle w:val="259"/>
        <w:spacing w:beforeAutospacing="0" w:afterAutospacing="0" w:line="0" w:lineRule="atLeast"/>
        <w:ind w:firstLine="240"/>
        <w:jc w:val="center"/>
        <w:rPr>
          <w:color w:val="auto"/>
          <w:highlight w:val="none"/>
        </w:rPr>
      </w:pPr>
    </w:p>
    <w:p w14:paraId="7781F9CE">
      <w:pPr>
        <w:pStyle w:val="259"/>
        <w:spacing w:beforeAutospacing="0" w:afterAutospacing="0" w:line="0" w:lineRule="atLeast"/>
        <w:ind w:firstLine="240"/>
        <w:jc w:val="center"/>
        <w:rPr>
          <w:color w:val="auto"/>
          <w:highlight w:val="none"/>
        </w:rPr>
      </w:pPr>
      <w:r>
        <w:rPr>
          <w:color w:val="auto"/>
          <w:highlight w:val="none"/>
        </w:rPr>
        <w:t> </w:t>
      </w:r>
    </w:p>
    <w:p w14:paraId="4C9E19F2">
      <w:pPr>
        <w:pStyle w:val="259"/>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九、中小企业声明函（货物）（分包号：**）</w:t>
      </w:r>
    </w:p>
    <w:p w14:paraId="3CE83BD5">
      <w:pPr>
        <w:spacing w:line="500" w:lineRule="exact"/>
        <w:ind w:firstLine="480"/>
        <w:rPr>
          <w:color w:val="auto"/>
          <w:sz w:val="24"/>
          <w:highlight w:val="none"/>
        </w:rPr>
      </w:pPr>
    </w:p>
    <w:p w14:paraId="37A563B2">
      <w:pPr>
        <w:keepNext w:val="0"/>
        <w:keepLines w:val="0"/>
        <w:pageBreakBefore w:val="0"/>
        <w:widowControl w:val="0"/>
        <w:spacing w:line="48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w:t>
      </w:r>
      <w:r>
        <w:rPr>
          <w:rFonts w:hint="eastAsia" w:ascii="宋体" w:hAnsi="宋体" w:eastAsia="宋体" w:cs="宋体"/>
          <w:color w:val="auto"/>
          <w:sz w:val="21"/>
          <w:szCs w:val="21"/>
          <w:highlight w:val="none"/>
          <w:lang w:eastAsia="zh-CN"/>
        </w:rPr>
        <w:t>〔2020〕46号</w:t>
      </w:r>
      <w:r>
        <w:rPr>
          <w:rFonts w:hint="eastAsia" w:ascii="宋体" w:hAnsi="宋体" w:eastAsia="宋体" w:cs="宋体"/>
          <w:color w:val="auto"/>
          <w:sz w:val="21"/>
          <w:szCs w:val="21"/>
          <w:highlight w:val="none"/>
        </w:rPr>
        <w:t>)的规定，本公司（联合体）参加</w:t>
      </w:r>
      <w:r>
        <w:rPr>
          <w:rFonts w:hint="eastAsia" w:ascii="宋体" w:hAnsi="宋体" w:cs="宋体"/>
          <w:color w:val="auto"/>
          <w:sz w:val="21"/>
          <w:szCs w:val="21"/>
          <w:highlight w:val="none"/>
          <w:lang w:val="en-US" w:eastAsia="zh-CN"/>
        </w:rPr>
        <w:t>盐城市公安局盐都分局</w:t>
      </w:r>
      <w:r>
        <w:rPr>
          <w:rFonts w:hint="eastAsia" w:ascii="宋体" w:hAnsi="宋体" w:eastAsia="宋体" w:cs="宋体"/>
          <w:color w:val="auto"/>
          <w:sz w:val="21"/>
          <w:szCs w:val="21"/>
          <w:highlight w:val="none"/>
        </w:rPr>
        <w:t>组织的采购编号为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的采购活动，提供的货物全部由符合政策要求的</w:t>
      </w:r>
      <w:r>
        <w:rPr>
          <w:rFonts w:hint="eastAsia" w:ascii="宋体" w:hAnsi="宋体" w:eastAsia="宋体" w:cs="宋体"/>
          <w:color w:val="auto"/>
          <w:sz w:val="21"/>
          <w:szCs w:val="21"/>
          <w:highlight w:val="none"/>
          <w:lang w:val="en-US" w:eastAsia="zh-CN"/>
        </w:rPr>
        <w:t>中小</w:t>
      </w:r>
      <w:r>
        <w:rPr>
          <w:rFonts w:hint="eastAsia" w:ascii="宋体" w:hAnsi="宋体" w:eastAsia="宋体" w:cs="宋体"/>
          <w:color w:val="auto"/>
          <w:sz w:val="21"/>
          <w:szCs w:val="21"/>
          <w:highlight w:val="none"/>
        </w:rPr>
        <w:t>企业制造。相关企业（含联合体中</w:t>
      </w:r>
      <w:r>
        <w:rPr>
          <w:rFonts w:hint="eastAsia" w:ascii="宋体" w:hAnsi="宋体" w:eastAsia="宋体" w:cs="宋体"/>
          <w:color w:val="auto"/>
          <w:sz w:val="21"/>
          <w:szCs w:val="21"/>
          <w:highlight w:val="none"/>
          <w:lang w:val="en-US" w:eastAsia="zh-CN"/>
        </w:rPr>
        <w:t>的中小</w:t>
      </w:r>
      <w:r>
        <w:rPr>
          <w:rFonts w:hint="eastAsia" w:ascii="宋体" w:hAnsi="宋体" w:eastAsia="宋体" w:cs="宋体"/>
          <w:color w:val="auto"/>
          <w:sz w:val="21"/>
          <w:szCs w:val="21"/>
          <w:highlight w:val="none"/>
        </w:rPr>
        <w:t>企业、签订分包意向协议的</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小企业）的具体情况如下：</w:t>
      </w:r>
    </w:p>
    <w:p w14:paraId="6D6E5EA9">
      <w:pPr>
        <w:pStyle w:val="99"/>
        <w:keepNext w:val="0"/>
        <w:keepLines w:val="0"/>
        <w:pageBreakBefore w:val="0"/>
        <w:widowControl w:val="0"/>
        <w:spacing w:before="0" w:beforeAutospacing="0" w:after="0" w:afterAutospacing="0" w:line="480" w:lineRule="exact"/>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（标的名称）</w:t>
      </w:r>
      <w:r>
        <w:rPr>
          <w:rFonts w:hint="eastAsia" w:ascii="宋体" w:hAnsi="宋体" w:eastAsia="宋体" w:cs="宋体"/>
          <w:i/>
          <w:color w:val="auto"/>
          <w:sz w:val="21"/>
          <w:szCs w:val="21"/>
          <w:highlight w:val="none"/>
        </w:rPr>
        <w:t>，</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lang w:val="en-US" w:eastAsia="zh-CN"/>
        </w:rPr>
        <w:t>(采购文件中明确的所属行业)</w:t>
      </w:r>
      <w:r>
        <w:rPr>
          <w:rFonts w:hint="eastAsia" w:ascii="宋体" w:hAnsi="宋体" w:eastAsia="宋体" w:cs="宋体"/>
          <w:color w:val="auto"/>
          <w:sz w:val="21"/>
          <w:szCs w:val="21"/>
          <w:highlight w:val="none"/>
        </w:rPr>
        <w:t>行业；制造商为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p>
    <w:p w14:paraId="3E70C627">
      <w:pPr>
        <w:pStyle w:val="99"/>
        <w:keepNext w:val="0"/>
        <w:keepLines w:val="0"/>
        <w:pageBreakBefore w:val="0"/>
        <w:widowControl w:val="0"/>
        <w:spacing w:before="0" w:beforeAutospacing="0" w:after="0" w:afterAutospacing="0" w:line="480" w:lineRule="exact"/>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（标的名称）</w:t>
      </w:r>
      <w:r>
        <w:rPr>
          <w:rFonts w:hint="eastAsia" w:ascii="宋体" w:hAnsi="宋体" w:eastAsia="宋体" w:cs="宋体"/>
          <w:i/>
          <w:color w:val="auto"/>
          <w:sz w:val="21"/>
          <w:szCs w:val="21"/>
          <w:highlight w:val="none"/>
        </w:rPr>
        <w:t>，</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lang w:val="en-US" w:eastAsia="zh-CN"/>
        </w:rPr>
        <w:t>(采购文件中明确的所属行业)</w:t>
      </w:r>
      <w:r>
        <w:rPr>
          <w:rFonts w:hint="eastAsia" w:ascii="宋体" w:hAnsi="宋体" w:eastAsia="宋体" w:cs="宋体"/>
          <w:color w:val="auto"/>
          <w:sz w:val="21"/>
          <w:szCs w:val="21"/>
          <w:highlight w:val="none"/>
        </w:rPr>
        <w:t>行业；制造商为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p>
    <w:p w14:paraId="7777A442">
      <w:pPr>
        <w:pStyle w:val="99"/>
        <w:keepNext w:val="0"/>
        <w:keepLines w:val="0"/>
        <w:pageBreakBefore w:val="0"/>
        <w:widowControl w:val="0"/>
        <w:spacing w:before="0" w:beforeAutospacing="0" w:after="0" w:afterAutospacing="0" w:line="480" w:lineRule="exact"/>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1EB831E3">
      <w:pPr>
        <w:pStyle w:val="99"/>
        <w:keepNext w:val="0"/>
        <w:keepLines w:val="0"/>
        <w:pageBreakBefore w:val="0"/>
        <w:widowControl w:val="0"/>
        <w:spacing w:before="0" w:beforeAutospacing="0" w:after="0" w:afterAutospacing="0" w:line="480" w:lineRule="exact"/>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56EBDB49">
      <w:pPr>
        <w:pStyle w:val="99"/>
        <w:keepNext w:val="0"/>
        <w:keepLines w:val="0"/>
        <w:pageBreakBefore w:val="0"/>
        <w:widowControl w:val="0"/>
        <w:spacing w:before="0" w:beforeAutospacing="0" w:after="0" w:afterAutospacing="0" w:line="480" w:lineRule="exact"/>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451BD645">
      <w:pPr>
        <w:pStyle w:val="99"/>
        <w:keepNext w:val="0"/>
        <w:keepLines w:val="0"/>
        <w:pageBreakBefore w:val="0"/>
        <w:widowControl w:val="0"/>
        <w:spacing w:before="0" w:beforeAutospacing="0" w:after="0" w:afterAutospacing="0" w:line="480" w:lineRule="exact"/>
        <w:ind w:right="7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7A306EF7">
      <w:pPr>
        <w:pStyle w:val="99"/>
        <w:keepNext w:val="0"/>
        <w:keepLines w:val="0"/>
        <w:pageBreakBefore w:val="0"/>
        <w:widowControl w:val="0"/>
        <w:spacing w:before="0" w:beforeAutospacing="0" w:after="0" w:afterAutospacing="0" w:line="480" w:lineRule="exact"/>
        <w:ind w:right="180" w:firstLine="36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企业名称（加盖CA电子公章）：</w:t>
      </w:r>
    </w:p>
    <w:p w14:paraId="3300C456">
      <w:pPr>
        <w:pStyle w:val="99"/>
        <w:keepNext w:val="0"/>
        <w:keepLines w:val="0"/>
        <w:pageBreakBefore w:val="0"/>
        <w:widowControl w:val="0"/>
        <w:spacing w:before="0" w:beforeAutospacing="0" w:after="0" w:afterAutospacing="0" w:line="480" w:lineRule="exact"/>
        <w:ind w:right="480" w:firstLine="54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5AA669F5">
      <w:pPr>
        <w:pStyle w:val="99"/>
        <w:keepNext w:val="0"/>
        <w:keepLines w:val="0"/>
        <w:pageBreakBefore w:val="0"/>
        <w:widowControl w:val="0"/>
        <w:spacing w:before="0" w:beforeAutospacing="0" w:after="0" w:afterAutospacing="0" w:line="480" w:lineRule="exact"/>
        <w:ind w:firstLine="36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32642F07">
      <w:pPr>
        <w:pStyle w:val="99"/>
        <w:keepNext w:val="0"/>
        <w:keepLines w:val="0"/>
        <w:pageBreakBefore w:val="0"/>
        <w:widowControl w:val="0"/>
        <w:spacing w:before="0" w:beforeAutospacing="0" w:after="0" w:afterAutospacing="0" w:line="48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备注1：从业人员、营业收入、资产总额填报上一年度数据，无上一年度数据的新成立企业可不填报。</w:t>
      </w:r>
    </w:p>
    <w:p w14:paraId="6102E314">
      <w:pPr>
        <w:pStyle w:val="99"/>
        <w:keepNext w:val="0"/>
        <w:keepLines w:val="0"/>
        <w:pageBreakBefore w:val="0"/>
        <w:widowControl w:val="0"/>
        <w:spacing w:before="0" w:beforeAutospacing="0" w:after="0" w:afterAutospacing="0" w:line="48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备注2：供应商如不提供此声明函，价格将不做相应扣除（如项目全面面向中小企业，则资格审查不通过）。</w:t>
      </w:r>
    </w:p>
    <w:p w14:paraId="3FF88E22">
      <w:pPr>
        <w:pStyle w:val="259"/>
        <w:spacing w:beforeAutospacing="0" w:afterAutospacing="0" w:line="0" w:lineRule="atLeast"/>
        <w:jc w:val="center"/>
        <w:rPr>
          <w:rFonts w:hint="eastAsia" w:ascii="黑体" w:hAnsi="宋体" w:eastAsia="黑体" w:cs="黑体"/>
          <w:b/>
          <w:color w:val="auto"/>
          <w:sz w:val="21"/>
          <w:szCs w:val="21"/>
          <w:highlight w:val="none"/>
        </w:rPr>
      </w:pPr>
    </w:p>
    <w:p w14:paraId="316BC68E">
      <w:pPr>
        <w:pStyle w:val="259"/>
        <w:spacing w:beforeAutospacing="0" w:afterAutospacing="0" w:line="0" w:lineRule="atLeast"/>
        <w:jc w:val="center"/>
        <w:rPr>
          <w:rFonts w:hint="eastAsia" w:ascii="黑体" w:hAnsi="宋体" w:eastAsia="黑体" w:cs="黑体"/>
          <w:b/>
          <w:color w:val="auto"/>
          <w:sz w:val="32"/>
          <w:szCs w:val="32"/>
          <w:highlight w:val="none"/>
        </w:rPr>
      </w:pPr>
    </w:p>
    <w:p w14:paraId="4491CA99">
      <w:pPr>
        <w:pStyle w:val="259"/>
        <w:spacing w:beforeAutospacing="0" w:afterAutospacing="0" w:line="0" w:lineRule="atLeast"/>
        <w:jc w:val="center"/>
        <w:rPr>
          <w:rFonts w:hint="eastAsia" w:ascii="黑体" w:hAnsi="宋体" w:eastAsia="黑体" w:cs="黑体"/>
          <w:b/>
          <w:color w:val="auto"/>
          <w:sz w:val="32"/>
          <w:szCs w:val="32"/>
          <w:highlight w:val="none"/>
        </w:rPr>
      </w:pPr>
    </w:p>
    <w:p w14:paraId="7B6DEA8C">
      <w:pPr>
        <w:pStyle w:val="259"/>
        <w:spacing w:beforeAutospacing="0" w:afterAutospacing="0" w:line="0" w:lineRule="atLeast"/>
        <w:jc w:val="center"/>
        <w:rPr>
          <w:rFonts w:hint="eastAsia" w:ascii="黑体" w:hAnsi="宋体" w:eastAsia="黑体" w:cs="黑体"/>
          <w:b/>
          <w:color w:val="auto"/>
          <w:sz w:val="32"/>
          <w:szCs w:val="32"/>
          <w:highlight w:val="none"/>
        </w:rPr>
      </w:pPr>
    </w:p>
    <w:p w14:paraId="1DACC8A0">
      <w:pPr>
        <w:pStyle w:val="259"/>
        <w:spacing w:beforeAutospacing="0" w:afterAutospacing="0" w:line="0" w:lineRule="atLeast"/>
        <w:jc w:val="center"/>
        <w:rPr>
          <w:rFonts w:hint="eastAsia" w:ascii="黑体" w:hAnsi="宋体" w:eastAsia="黑体" w:cs="黑体"/>
          <w:b/>
          <w:color w:val="auto"/>
          <w:sz w:val="32"/>
          <w:szCs w:val="32"/>
          <w:highlight w:val="none"/>
        </w:rPr>
      </w:pPr>
    </w:p>
    <w:p w14:paraId="4D8EAA84">
      <w:pPr>
        <w:pStyle w:val="259"/>
        <w:spacing w:beforeAutospacing="0" w:afterAutospacing="0" w:line="0" w:lineRule="atLeast"/>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w:t>
      </w:r>
    </w:p>
    <w:p w14:paraId="3B170CF6">
      <w:pPr>
        <w:pStyle w:val="259"/>
        <w:spacing w:beforeAutospacing="0" w:afterAutospacing="0" w:line="0" w:lineRule="atLeast"/>
        <w:jc w:val="center"/>
        <w:rPr>
          <w:rFonts w:hint="eastAsia" w:ascii="黑体" w:hAnsi="宋体" w:eastAsia="黑体" w:cs="黑体"/>
          <w:b/>
          <w:color w:val="auto"/>
          <w:sz w:val="32"/>
          <w:szCs w:val="32"/>
          <w:highlight w:val="none"/>
        </w:rPr>
      </w:pPr>
    </w:p>
    <w:p w14:paraId="55B50F6C">
      <w:pPr>
        <w:pStyle w:val="259"/>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十、残疾人福利性单位声明函（分包号：**）</w:t>
      </w:r>
    </w:p>
    <w:p w14:paraId="5F1D28B2">
      <w:pPr>
        <w:pStyle w:val="259"/>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项目（分包号：**）采购活动提供本单位制造的货物，或者提供其他残疾人福利性单位制造的货物（不包括使用非残疾人福利性单位注册商标的货物）。</w:t>
      </w:r>
    </w:p>
    <w:p w14:paraId="23A7E9F3">
      <w:pPr>
        <w:pStyle w:val="259"/>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本单位对上述声明的真实性负责。如有虚假，将依法承担相应责任。</w:t>
      </w:r>
    </w:p>
    <w:p w14:paraId="287DA807">
      <w:pPr>
        <w:pStyle w:val="259"/>
        <w:spacing w:beforeAutospacing="0" w:afterAutospacing="0" w:line="360" w:lineRule="auto"/>
        <w:ind w:firstLine="480"/>
        <w:jc w:val="both"/>
        <w:rPr>
          <w:color w:val="auto"/>
          <w:sz w:val="21"/>
          <w:szCs w:val="21"/>
          <w:highlight w:val="none"/>
        </w:rPr>
      </w:pPr>
      <w:r>
        <w:rPr>
          <w:color w:val="auto"/>
          <w:sz w:val="21"/>
          <w:szCs w:val="21"/>
          <w:highlight w:val="none"/>
        </w:rPr>
        <w:t> </w:t>
      </w:r>
    </w:p>
    <w:p w14:paraId="4E175032">
      <w:pPr>
        <w:pStyle w:val="259"/>
        <w:spacing w:beforeAutospacing="0" w:afterAutospacing="0" w:line="360" w:lineRule="auto"/>
        <w:ind w:firstLine="480"/>
        <w:jc w:val="both"/>
        <w:rPr>
          <w:color w:val="auto"/>
          <w:sz w:val="21"/>
          <w:szCs w:val="21"/>
          <w:highlight w:val="none"/>
        </w:rPr>
      </w:pPr>
      <w:r>
        <w:rPr>
          <w:rFonts w:hint="eastAsia" w:ascii="宋体" w:hAnsi="宋体" w:cs="宋体"/>
          <w:color w:val="auto"/>
          <w:sz w:val="21"/>
          <w:szCs w:val="21"/>
          <w:highlight w:val="none"/>
        </w:rPr>
        <w:t>备注：1、供应商如不提供此声明函，价格将不做相应扣除（如项目全面面向中小企业，则资格审查不通过）。2、中标供应商为残疾人福利单位的，此声明函将随中标结果同时公告，接受社会监督</w:t>
      </w:r>
    </w:p>
    <w:p w14:paraId="2A00A740">
      <w:pPr>
        <w:pStyle w:val="259"/>
        <w:spacing w:beforeAutospacing="0" w:afterAutospacing="0" w:line="360" w:lineRule="auto"/>
        <w:ind w:firstLine="624"/>
        <w:jc w:val="both"/>
        <w:rPr>
          <w:color w:val="auto"/>
          <w:sz w:val="21"/>
          <w:szCs w:val="21"/>
          <w:highlight w:val="none"/>
        </w:rPr>
      </w:pPr>
      <w:r>
        <w:rPr>
          <w:color w:val="auto"/>
          <w:sz w:val="21"/>
          <w:szCs w:val="21"/>
          <w:highlight w:val="none"/>
        </w:rPr>
        <w:t> </w:t>
      </w:r>
    </w:p>
    <w:p w14:paraId="77F00C32">
      <w:pPr>
        <w:pStyle w:val="259"/>
        <w:tabs>
          <w:tab w:val="left" w:pos="4864"/>
        </w:tabs>
        <w:spacing w:beforeAutospacing="0" w:afterAutospacing="0" w:line="360" w:lineRule="auto"/>
        <w:ind w:right="1560" w:firstLine="624"/>
        <w:jc w:val="center"/>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cs="宋体"/>
          <w:color w:val="auto"/>
          <w:sz w:val="21"/>
          <w:szCs w:val="21"/>
          <w:highlight w:val="none"/>
        </w:rPr>
        <w:t>          供应商全称（加盖CA电子公章）：</w:t>
      </w:r>
    </w:p>
    <w:p w14:paraId="7B7DBAAE">
      <w:pPr>
        <w:pStyle w:val="259"/>
        <w:tabs>
          <w:tab w:val="left" w:pos="4864"/>
        </w:tabs>
        <w:spacing w:beforeAutospacing="0" w:afterAutospacing="0" w:line="360" w:lineRule="auto"/>
        <w:ind w:right="1560" w:firstLine="480"/>
        <w:jc w:val="center"/>
        <w:rPr>
          <w:color w:val="auto"/>
          <w:sz w:val="21"/>
          <w:szCs w:val="21"/>
          <w:highlight w:val="none"/>
        </w:rPr>
      </w:pPr>
      <w:r>
        <w:rPr>
          <w:rFonts w:hint="eastAsia" w:ascii="宋体" w:hAnsi="宋体" w:cs="宋体"/>
          <w:color w:val="auto"/>
          <w:sz w:val="21"/>
          <w:szCs w:val="21"/>
          <w:highlight w:val="none"/>
        </w:rPr>
        <w:t>        日  期：</w:t>
      </w:r>
    </w:p>
    <w:p w14:paraId="2C42A580">
      <w:pPr>
        <w:pStyle w:val="259"/>
        <w:spacing w:beforeAutospacing="0" w:afterAutospacing="0" w:line="360" w:lineRule="auto"/>
        <w:jc w:val="center"/>
        <w:rPr>
          <w:color w:val="auto"/>
          <w:sz w:val="21"/>
          <w:szCs w:val="21"/>
          <w:highlight w:val="none"/>
        </w:rPr>
      </w:pPr>
      <w:r>
        <w:rPr>
          <w:color w:val="auto"/>
          <w:sz w:val="21"/>
          <w:szCs w:val="21"/>
          <w:highlight w:val="none"/>
        </w:rPr>
        <w:t> </w:t>
      </w:r>
    </w:p>
    <w:p w14:paraId="0935A57D">
      <w:pPr>
        <w:pStyle w:val="259"/>
        <w:spacing w:beforeAutospacing="0" w:afterAutospacing="0" w:line="0" w:lineRule="atLeast"/>
        <w:jc w:val="center"/>
        <w:rPr>
          <w:color w:val="auto"/>
          <w:highlight w:val="none"/>
        </w:rPr>
      </w:pPr>
      <w:r>
        <w:rPr>
          <w:color w:val="auto"/>
          <w:highlight w:val="none"/>
        </w:rPr>
        <w:t> </w:t>
      </w:r>
    </w:p>
    <w:p w14:paraId="50502D33">
      <w:pPr>
        <w:pStyle w:val="259"/>
        <w:spacing w:beforeAutospacing="0" w:afterAutospacing="0" w:line="0" w:lineRule="atLeast"/>
        <w:jc w:val="center"/>
        <w:rPr>
          <w:color w:val="auto"/>
          <w:highlight w:val="none"/>
        </w:rPr>
      </w:pPr>
      <w:r>
        <w:rPr>
          <w:color w:val="auto"/>
          <w:highlight w:val="none"/>
        </w:rPr>
        <w:t> </w:t>
      </w:r>
    </w:p>
    <w:p w14:paraId="3639FC68">
      <w:pPr>
        <w:pStyle w:val="259"/>
        <w:spacing w:beforeAutospacing="0" w:afterAutospacing="0" w:line="0" w:lineRule="atLeast"/>
        <w:jc w:val="center"/>
        <w:rPr>
          <w:color w:val="auto"/>
          <w:highlight w:val="none"/>
        </w:rPr>
      </w:pPr>
      <w:r>
        <w:rPr>
          <w:color w:val="auto"/>
          <w:highlight w:val="none"/>
        </w:rPr>
        <w:t> </w:t>
      </w:r>
    </w:p>
    <w:p w14:paraId="4F10B587">
      <w:pPr>
        <w:pStyle w:val="259"/>
        <w:spacing w:beforeAutospacing="0" w:afterAutospacing="0" w:line="0" w:lineRule="atLeast"/>
        <w:jc w:val="center"/>
        <w:rPr>
          <w:color w:val="auto"/>
          <w:highlight w:val="none"/>
        </w:rPr>
      </w:pPr>
      <w:r>
        <w:rPr>
          <w:color w:val="auto"/>
          <w:highlight w:val="none"/>
        </w:rPr>
        <w:t> </w:t>
      </w:r>
    </w:p>
    <w:p w14:paraId="7007D2C6">
      <w:pPr>
        <w:pStyle w:val="259"/>
        <w:spacing w:beforeAutospacing="0" w:afterAutospacing="0" w:line="0" w:lineRule="atLeast"/>
        <w:jc w:val="center"/>
        <w:rPr>
          <w:color w:val="auto"/>
          <w:highlight w:val="none"/>
        </w:rPr>
      </w:pPr>
      <w:r>
        <w:rPr>
          <w:color w:val="auto"/>
          <w:highlight w:val="none"/>
        </w:rPr>
        <w:t> </w:t>
      </w:r>
    </w:p>
    <w:p w14:paraId="04FF7B67">
      <w:pPr>
        <w:pStyle w:val="259"/>
        <w:spacing w:beforeAutospacing="0" w:afterAutospacing="0" w:line="0" w:lineRule="atLeast"/>
        <w:jc w:val="center"/>
        <w:rPr>
          <w:color w:val="auto"/>
          <w:highlight w:val="none"/>
        </w:rPr>
      </w:pPr>
      <w:r>
        <w:rPr>
          <w:color w:val="auto"/>
          <w:highlight w:val="none"/>
        </w:rPr>
        <w:t> </w:t>
      </w:r>
    </w:p>
    <w:p w14:paraId="2D7A3A7A">
      <w:pPr>
        <w:pStyle w:val="259"/>
        <w:spacing w:beforeAutospacing="0" w:afterAutospacing="0" w:line="0" w:lineRule="atLeast"/>
        <w:jc w:val="center"/>
        <w:rPr>
          <w:color w:val="auto"/>
          <w:highlight w:val="none"/>
        </w:rPr>
      </w:pPr>
      <w:r>
        <w:rPr>
          <w:color w:val="auto"/>
          <w:highlight w:val="none"/>
        </w:rPr>
        <w:t> </w:t>
      </w:r>
    </w:p>
    <w:p w14:paraId="7ADB2DAC">
      <w:pPr>
        <w:pStyle w:val="259"/>
        <w:spacing w:beforeAutospacing="0" w:afterAutospacing="0" w:line="0" w:lineRule="atLeast"/>
        <w:jc w:val="center"/>
        <w:rPr>
          <w:color w:val="auto"/>
          <w:highlight w:val="none"/>
        </w:rPr>
      </w:pPr>
      <w:r>
        <w:rPr>
          <w:color w:val="auto"/>
          <w:highlight w:val="none"/>
        </w:rPr>
        <w:t> </w:t>
      </w:r>
    </w:p>
    <w:p w14:paraId="2DB2024E">
      <w:pPr>
        <w:pStyle w:val="259"/>
        <w:spacing w:beforeAutospacing="0" w:afterAutospacing="0" w:line="0" w:lineRule="atLeast"/>
        <w:jc w:val="center"/>
        <w:rPr>
          <w:color w:val="auto"/>
          <w:highlight w:val="none"/>
        </w:rPr>
      </w:pPr>
    </w:p>
    <w:p w14:paraId="179F0332">
      <w:pPr>
        <w:pStyle w:val="259"/>
        <w:spacing w:beforeAutospacing="0" w:afterAutospacing="0" w:line="0" w:lineRule="atLeast"/>
        <w:jc w:val="center"/>
        <w:rPr>
          <w:color w:val="auto"/>
          <w:highlight w:val="none"/>
        </w:rPr>
      </w:pPr>
    </w:p>
    <w:p w14:paraId="337F3047">
      <w:pPr>
        <w:pStyle w:val="259"/>
        <w:spacing w:beforeAutospacing="0" w:afterAutospacing="0" w:line="0" w:lineRule="atLeast"/>
        <w:jc w:val="center"/>
        <w:rPr>
          <w:color w:val="auto"/>
          <w:highlight w:val="none"/>
        </w:rPr>
      </w:pPr>
    </w:p>
    <w:p w14:paraId="382B513F">
      <w:pPr>
        <w:pStyle w:val="259"/>
        <w:spacing w:beforeAutospacing="0" w:afterAutospacing="0" w:line="0" w:lineRule="atLeast"/>
        <w:jc w:val="center"/>
        <w:rPr>
          <w:color w:val="auto"/>
          <w:highlight w:val="none"/>
        </w:rPr>
      </w:pPr>
    </w:p>
    <w:p w14:paraId="40360F1F">
      <w:pPr>
        <w:pStyle w:val="259"/>
        <w:spacing w:beforeAutospacing="0" w:afterAutospacing="0" w:line="0" w:lineRule="atLeast"/>
        <w:jc w:val="center"/>
        <w:rPr>
          <w:color w:val="auto"/>
          <w:highlight w:val="none"/>
        </w:rPr>
      </w:pPr>
    </w:p>
    <w:p w14:paraId="0B3CD5DE">
      <w:pPr>
        <w:pStyle w:val="259"/>
        <w:spacing w:beforeAutospacing="0" w:afterAutospacing="0" w:line="0" w:lineRule="atLeast"/>
        <w:jc w:val="center"/>
        <w:rPr>
          <w:color w:val="auto"/>
          <w:highlight w:val="none"/>
        </w:rPr>
      </w:pPr>
    </w:p>
    <w:p w14:paraId="3B359126">
      <w:pPr>
        <w:pStyle w:val="259"/>
        <w:spacing w:beforeAutospacing="0" w:afterAutospacing="0" w:line="0" w:lineRule="atLeast"/>
        <w:jc w:val="center"/>
        <w:rPr>
          <w:color w:val="auto"/>
          <w:highlight w:val="none"/>
        </w:rPr>
      </w:pPr>
    </w:p>
    <w:p w14:paraId="798D0482">
      <w:pPr>
        <w:pStyle w:val="259"/>
        <w:spacing w:beforeAutospacing="0" w:afterAutospacing="0" w:line="0" w:lineRule="atLeast"/>
        <w:jc w:val="center"/>
        <w:rPr>
          <w:color w:val="auto"/>
          <w:highlight w:val="none"/>
        </w:rPr>
      </w:pPr>
    </w:p>
    <w:p w14:paraId="115E928A">
      <w:pPr>
        <w:pStyle w:val="259"/>
        <w:spacing w:beforeAutospacing="0" w:afterAutospacing="0" w:line="0" w:lineRule="atLeast"/>
        <w:jc w:val="center"/>
        <w:rPr>
          <w:color w:val="auto"/>
          <w:highlight w:val="none"/>
        </w:rPr>
      </w:pPr>
    </w:p>
    <w:p w14:paraId="3C47D498">
      <w:pPr>
        <w:pStyle w:val="259"/>
        <w:spacing w:beforeAutospacing="0" w:afterAutospacing="0" w:line="0" w:lineRule="atLeast"/>
        <w:jc w:val="center"/>
        <w:rPr>
          <w:color w:val="auto"/>
          <w:highlight w:val="none"/>
        </w:rPr>
      </w:pPr>
    </w:p>
    <w:p w14:paraId="375D6852">
      <w:pPr>
        <w:pStyle w:val="259"/>
        <w:spacing w:beforeAutospacing="0" w:afterAutospacing="0" w:line="0" w:lineRule="atLeast"/>
        <w:jc w:val="center"/>
        <w:rPr>
          <w:color w:val="auto"/>
          <w:highlight w:val="none"/>
        </w:rPr>
      </w:pPr>
    </w:p>
    <w:p w14:paraId="2BD08C46">
      <w:pPr>
        <w:pStyle w:val="259"/>
        <w:spacing w:beforeAutospacing="0" w:afterAutospacing="0" w:line="0" w:lineRule="atLeast"/>
        <w:jc w:val="center"/>
        <w:rPr>
          <w:color w:val="auto"/>
          <w:highlight w:val="none"/>
        </w:rPr>
      </w:pPr>
    </w:p>
    <w:p w14:paraId="1EB5DC86">
      <w:pPr>
        <w:pStyle w:val="259"/>
        <w:spacing w:beforeAutospacing="0" w:afterAutospacing="0" w:line="0" w:lineRule="atLeast"/>
        <w:jc w:val="center"/>
        <w:rPr>
          <w:color w:val="auto"/>
          <w:highlight w:val="none"/>
        </w:rPr>
      </w:pPr>
    </w:p>
    <w:p w14:paraId="0157589F">
      <w:pPr>
        <w:pStyle w:val="259"/>
        <w:spacing w:beforeAutospacing="0" w:afterAutospacing="0" w:line="0" w:lineRule="atLeast"/>
        <w:jc w:val="center"/>
        <w:rPr>
          <w:color w:val="auto"/>
          <w:highlight w:val="none"/>
        </w:rPr>
      </w:pPr>
    </w:p>
    <w:p w14:paraId="644CDDAE">
      <w:pPr>
        <w:pStyle w:val="259"/>
        <w:spacing w:beforeAutospacing="0" w:afterAutospacing="0" w:line="0" w:lineRule="atLeast"/>
        <w:jc w:val="both"/>
        <w:rPr>
          <w:color w:val="auto"/>
          <w:highlight w:val="none"/>
        </w:rPr>
      </w:pPr>
      <w:r>
        <w:rPr>
          <w:color w:val="auto"/>
          <w:highlight w:val="none"/>
        </w:rPr>
        <w:t> </w:t>
      </w:r>
    </w:p>
    <w:p w14:paraId="237F7EA1">
      <w:pPr>
        <w:pStyle w:val="259"/>
        <w:spacing w:beforeAutospacing="0" w:afterAutospacing="0" w:line="0" w:lineRule="atLeast"/>
        <w:jc w:val="both"/>
        <w:rPr>
          <w:color w:val="auto"/>
          <w:highlight w:val="none"/>
        </w:rPr>
      </w:pPr>
    </w:p>
    <w:p w14:paraId="65F2BBB8">
      <w:pPr>
        <w:pStyle w:val="259"/>
        <w:spacing w:beforeAutospacing="0" w:afterAutospacing="0" w:line="0" w:lineRule="atLeast"/>
        <w:jc w:val="both"/>
        <w:rPr>
          <w:color w:val="auto"/>
          <w:highlight w:val="none"/>
        </w:rPr>
      </w:pPr>
    </w:p>
    <w:p w14:paraId="24DBF0EE">
      <w:pPr>
        <w:pStyle w:val="259"/>
        <w:spacing w:beforeAutospacing="0" w:afterAutospacing="0" w:line="0" w:lineRule="atLeast"/>
        <w:jc w:val="both"/>
        <w:rPr>
          <w:color w:val="auto"/>
          <w:highlight w:val="none"/>
        </w:rPr>
      </w:pPr>
    </w:p>
    <w:p w14:paraId="363E10E8">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jc w:val="center"/>
        <w:rPr>
          <w:b/>
          <w:bCs/>
          <w:color w:val="auto"/>
          <w:highlight w:val="none"/>
        </w:rPr>
      </w:pPr>
      <w:r>
        <w:rPr>
          <w:rFonts w:ascii="黑体" w:hAnsi="宋体" w:eastAsia="黑体" w:cs="黑体"/>
          <w:b/>
          <w:bCs/>
          <w:color w:val="auto"/>
          <w:sz w:val="32"/>
          <w:szCs w:val="32"/>
          <w:highlight w:val="none"/>
        </w:rPr>
        <w:br w:type="page" w:clear="all"/>
      </w:r>
      <w:r>
        <w:rPr>
          <w:rFonts w:ascii="黑体" w:hAnsi="宋体" w:eastAsia="黑体" w:cs="黑体"/>
          <w:b/>
          <w:bCs/>
          <w:color w:val="auto"/>
          <w:sz w:val="32"/>
          <w:szCs w:val="32"/>
          <w:highlight w:val="none"/>
        </w:rPr>
        <w:t>十一、 关于符合本国产品标准的声明函（采购包号：**）</w:t>
      </w:r>
    </w:p>
    <w:p w14:paraId="149A8DB8">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b/>
          <w:bCs/>
          <w:color w:val="auto"/>
          <w:highlight w:val="none"/>
        </w:rPr>
      </w:pPr>
      <w:r>
        <w:rPr>
          <w:rFonts w:ascii="Arial" w:hAnsi="Arial" w:cs="Arial"/>
          <w:b/>
          <w:bCs/>
          <w:color w:val="auto"/>
          <w:sz w:val="24"/>
          <w:szCs w:val="24"/>
          <w:highlight w:val="none"/>
        </w:rPr>
        <w:t> </w:t>
      </w:r>
    </w:p>
    <w:p w14:paraId="3E1125AA">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b/>
          <w:bCs/>
          <w:color w:val="auto"/>
          <w:highlight w:val="none"/>
        </w:rPr>
      </w:pPr>
      <w:r>
        <w:rPr>
          <w:rFonts w:ascii="宋体" w:hAnsi="宋体" w:eastAsia="宋体" w:cs="宋体"/>
          <w:b/>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6118B4B">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color="auto" w:fill="FFFFFF"/>
        </w:rPr>
        <w:t>1.</w:t>
      </w:r>
      <w:r>
        <w:rPr>
          <w:rFonts w:ascii="宋体" w:hAnsi="宋体" w:eastAsia="宋体" w:cs="宋体"/>
          <w:b/>
          <w:bCs/>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vertAlign w:val="superscript"/>
        </w:rPr>
        <w:t>1</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vertAlign w:val="superscript"/>
        </w:rPr>
        <w:t>2</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 （产品名称1）</w:t>
      </w:r>
      <w:r>
        <w:rPr>
          <w:rFonts w:ascii="宋体" w:hAnsi="宋体" w:eastAsia="宋体" w:cs="宋体"/>
          <w:b/>
          <w:bCs/>
          <w:color w:val="auto"/>
          <w:sz w:val="24"/>
          <w:szCs w:val="24"/>
          <w:highlight w:val="none"/>
          <w:u w:val="single"/>
          <w:shd w:val="clear" w:color="auto" w:fill="FFFFFF"/>
        </w:rPr>
        <w:t> </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strike/>
          <w:color w:val="auto"/>
          <w:sz w:val="24"/>
          <w:szCs w:val="24"/>
          <w:highlight w:val="none"/>
          <w:shd w:val="clear" w:color="auto" w:fill="FFFFFF"/>
          <w:vertAlign w:val="superscript"/>
        </w:rPr>
        <w:t>3</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strike/>
          <w:color w:val="auto"/>
          <w:sz w:val="24"/>
          <w:szCs w:val="24"/>
          <w:highlight w:val="none"/>
          <w:shd w:val="clear" w:color="auto" w:fill="FFFFFF"/>
          <w:vertAlign w:val="superscript"/>
        </w:rPr>
        <w:t>4</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strike/>
          <w:color w:val="auto"/>
          <w:sz w:val="24"/>
          <w:szCs w:val="24"/>
          <w:highlight w:val="none"/>
          <w:shd w:val="clear" w:color="auto" w:fill="FFFFFF"/>
          <w:vertAlign w:val="superscript"/>
        </w:rPr>
        <w:t>5</w:t>
      </w:r>
      <w:r>
        <w:rPr>
          <w:rFonts w:ascii="宋体" w:hAnsi="宋体" w:eastAsia="宋体" w:cs="宋体"/>
          <w:b/>
          <w:bCs/>
          <w:color w:val="auto"/>
          <w:sz w:val="24"/>
          <w:szCs w:val="24"/>
          <w:highlight w:val="none"/>
          <w:shd w:val="clear" w:color="auto" w:fill="FFFFFF"/>
        </w:rPr>
        <w:t>在中国境内完成。</w:t>
      </w:r>
    </w:p>
    <w:p w14:paraId="5BCFCA0C">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color="auto" w:fill="FFFFFF"/>
        </w:rPr>
        <w:t>2.</w:t>
      </w:r>
      <w:r>
        <w:rPr>
          <w:rFonts w:ascii="宋体" w:hAnsi="宋体" w:eastAsia="宋体" w:cs="宋体"/>
          <w:b/>
          <w:bCs/>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color w:val="auto"/>
          <w:sz w:val="24"/>
          <w:szCs w:val="24"/>
          <w:highlight w:val="none"/>
          <w:shd w:val="clear" w:color="auto" w:fill="FFFFFF"/>
        </w:rPr>
        <w:t>在中国境内完成。</w:t>
      </w:r>
    </w:p>
    <w:p w14:paraId="5A1A8059">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color="auto" w:fill="FFFFFF"/>
        </w:rPr>
        <w:t>……</w:t>
      </w:r>
    </w:p>
    <w:p w14:paraId="73D9BC9C">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b/>
          <w:bCs/>
          <w:color w:val="auto"/>
          <w:highlight w:val="none"/>
        </w:rPr>
      </w:pPr>
      <w:r>
        <w:rPr>
          <w:rFonts w:ascii="宋体" w:hAnsi="宋体" w:eastAsia="宋体" w:cs="宋体"/>
          <w:b/>
          <w:bCs/>
          <w:color w:val="auto"/>
          <w:sz w:val="24"/>
          <w:szCs w:val="24"/>
          <w:highlight w:val="none"/>
          <w:shd w:val="clear" w:color="auto" w:fill="FFFFFF"/>
        </w:rPr>
        <w:t>本公司（单位）对上述声明内容的真实性负责。如有虚假，愿承担相应法律责任。</w:t>
      </w:r>
    </w:p>
    <w:p w14:paraId="1011F0E1">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rPr>
        <w:t> </w:t>
      </w:r>
    </w:p>
    <w:p w14:paraId="2610D8A4">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right="480" w:firstLine="3720"/>
        <w:jc w:val="both"/>
        <w:rPr>
          <w:b/>
          <w:bCs/>
          <w:color w:val="auto"/>
          <w:highlight w:val="none"/>
        </w:rPr>
      </w:pPr>
      <w:r>
        <w:rPr>
          <w:rFonts w:ascii="宋体" w:hAnsi="宋体" w:eastAsia="宋体" w:cs="宋体"/>
          <w:b/>
          <w:bCs/>
          <w:color w:val="auto"/>
          <w:sz w:val="24"/>
          <w:szCs w:val="24"/>
          <w:highlight w:val="none"/>
          <w:shd w:val="clear" w:color="auto" w:fill="FFFFFF"/>
        </w:rPr>
        <w:t>公司（单位）名称（盖章）：　</w:t>
      </w:r>
    </w:p>
    <w:p w14:paraId="6501465F">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center"/>
        <w:rPr>
          <w:b/>
          <w:bCs/>
          <w:color w:val="auto"/>
          <w:highlight w:val="none"/>
        </w:rPr>
      </w:pPr>
      <w:r>
        <w:rPr>
          <w:rFonts w:ascii="宋体" w:hAnsi="宋体" w:eastAsia="宋体" w:cs="宋体"/>
          <w:b/>
          <w:bCs/>
          <w:color w:val="auto"/>
          <w:sz w:val="24"/>
          <w:szCs w:val="24"/>
          <w:highlight w:val="none"/>
          <w:shd w:val="clear" w:color="auto" w:fill="FFFFFF"/>
        </w:rPr>
        <w:t>                                日期：　   年　  月　  日         </w:t>
      </w:r>
    </w:p>
    <w:p w14:paraId="676CCBFE">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color="auto" w:fill="FFFFFF"/>
        </w:rPr>
        <w:t>__________________</w:t>
      </w:r>
    </w:p>
    <w:p w14:paraId="76EE1F84">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color="auto" w:fill="FFFFFF"/>
        </w:rPr>
        <w:t>1.产品如有型号，请在“产品名称”栏一并填写。</w:t>
      </w:r>
    </w:p>
    <w:p w14:paraId="7B0D1575">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color="auto" w:fill="FFFFFF"/>
        </w:rPr>
        <w:t>2.生产厂名与厂址应与生产厂营业执照载明的相关信息保持一致。</w:t>
      </w:r>
    </w:p>
    <w:p w14:paraId="4453BD9D">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color="auto" w:fill="FFFFFF"/>
        </w:rPr>
        <w:t>3.该产品的中国境内生产的组件成本占比相关要求实施前，“规定比例”栏可不填，下同。</w:t>
      </w:r>
    </w:p>
    <w:p w14:paraId="382E2D1C">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color="auto" w:fill="FFFFFF"/>
        </w:rPr>
        <w:t>4.该产品的关键组件要求实施前，“关键组件”栏可不填，下同。</w:t>
      </w:r>
    </w:p>
    <w:p w14:paraId="0EFAE602">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b/>
          <w:bCs/>
          <w:color w:val="auto"/>
          <w:highlight w:val="none"/>
        </w:rPr>
      </w:pPr>
      <w:r>
        <w:rPr>
          <w:rFonts w:ascii="宋体" w:hAnsi="宋体" w:eastAsia="宋体" w:cs="宋体"/>
          <w:b/>
          <w:bCs/>
          <w:color w:val="auto"/>
          <w:sz w:val="24"/>
          <w:szCs w:val="24"/>
          <w:highlight w:val="none"/>
          <w:shd w:val="clear" w:color="auto" w:fill="FFFFFF"/>
        </w:rPr>
        <w:t>5.该产品的关键工序要求实施前，“关键工序”栏可不填，下同。</w:t>
      </w:r>
    </w:p>
    <w:p w14:paraId="18D2A40A">
      <w:pPr>
        <w:pStyle w:val="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6.用</w:t>
      </w:r>
      <w:r>
        <w:rPr>
          <w:rFonts w:hint="eastAsia" w:ascii="宋体" w:hAnsi="宋体" w:eastAsia="宋体" w:cs="宋体"/>
          <w:b/>
          <w:bCs/>
          <w:color w:val="auto"/>
          <w:sz w:val="24"/>
          <w:szCs w:val="24"/>
          <w:highlight w:val="none"/>
          <w:shd w:val="clear" w:color="auto" w:fill="FFFFFF"/>
          <w:lang w:val="en-US" w:eastAsia="zh-CN"/>
        </w:rPr>
        <w:t>横</w:t>
      </w:r>
      <w:r>
        <w:rPr>
          <w:rFonts w:ascii="宋体" w:hAnsi="宋体" w:eastAsia="宋体" w:cs="宋体"/>
          <w:b/>
          <w:bCs/>
          <w:color w:val="auto"/>
          <w:sz w:val="24"/>
          <w:szCs w:val="24"/>
          <w:highlight w:val="none"/>
          <w:shd w:val="clear" w:color="auto" w:fill="FFFFFF"/>
        </w:rPr>
        <w:t>线划除的地方无需填写。</w:t>
      </w:r>
    </w:p>
    <w:p w14:paraId="1449273B">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备注：</w:t>
      </w:r>
      <w:r>
        <w:rPr>
          <w:rFonts w:hint="eastAsia" w:ascii="宋体" w:hAnsi="宋体" w:eastAsia="宋体" w:cs="宋体"/>
          <w:b/>
          <w:bCs/>
          <w:color w:val="auto"/>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E36C10E">
      <w:pPr>
        <w:jc w:val="both"/>
        <w:rPr>
          <w:rFonts w:hint="eastAsia" w:ascii="Arial" w:hAnsi="Arial" w:eastAsia="Arial" w:cs="Arial"/>
          <w:b/>
          <w:color w:val="auto"/>
          <w:sz w:val="24"/>
          <w:szCs w:val="24"/>
          <w:highlight w:val="none"/>
        </w:rPr>
      </w:pPr>
    </w:p>
    <w:p w14:paraId="7FA70ACC">
      <w:pPr>
        <w:spacing w:line="241" w:lineRule="auto"/>
        <w:rPr>
          <w:rFonts w:ascii="Arial"/>
          <w:color w:val="auto"/>
          <w:sz w:val="21"/>
          <w:highlight w:val="none"/>
        </w:rPr>
      </w:pPr>
    </w:p>
    <w:p w14:paraId="75D1052B">
      <w:pPr>
        <w:spacing w:line="241" w:lineRule="auto"/>
        <w:rPr>
          <w:rFonts w:ascii="Arial"/>
          <w:color w:val="auto"/>
          <w:sz w:val="21"/>
          <w:highlight w:val="none"/>
        </w:rPr>
      </w:pPr>
    </w:p>
    <w:p w14:paraId="43697A91">
      <w:pPr>
        <w:pStyle w:val="99"/>
        <w:spacing w:beforeAutospacing="0" w:afterAutospacing="0" w:line="0" w:lineRule="atLeast"/>
        <w:jc w:val="center"/>
        <w:rPr>
          <w:color w:val="auto"/>
          <w:highlight w:val="none"/>
        </w:rPr>
      </w:pPr>
      <w:r>
        <w:rPr>
          <w:color w:val="auto"/>
          <w:highlight w:val="none"/>
        </w:rPr>
        <w:t> </w:t>
      </w:r>
    </w:p>
    <w:p w14:paraId="52B8F3EA">
      <w:pPr>
        <w:pStyle w:val="99"/>
        <w:spacing w:beforeAutospacing="0" w:afterAutospacing="0" w:line="0" w:lineRule="atLeast"/>
        <w:jc w:val="center"/>
        <w:rPr>
          <w:color w:val="auto"/>
          <w:highlight w:val="none"/>
        </w:rPr>
      </w:pPr>
    </w:p>
    <w:p w14:paraId="7AF983D4">
      <w:pPr>
        <w:pStyle w:val="99"/>
        <w:spacing w:beforeAutospacing="0" w:afterAutospacing="0" w:line="0" w:lineRule="atLeast"/>
        <w:jc w:val="center"/>
        <w:rPr>
          <w:color w:val="auto"/>
          <w:highlight w:val="none"/>
        </w:rPr>
      </w:pPr>
    </w:p>
    <w:p w14:paraId="2FA7F467">
      <w:pPr>
        <w:jc w:val="center"/>
        <w:rPr>
          <w:rFonts w:hint="eastAsia" w:ascii="Arial" w:hAnsi="Arial" w:eastAsia="Arial" w:cs="Arial"/>
          <w:b/>
          <w:color w:val="auto"/>
          <w:sz w:val="24"/>
          <w:szCs w:val="24"/>
          <w:highlight w:val="none"/>
        </w:rPr>
      </w:pPr>
    </w:p>
    <w:p w14:paraId="1671D0FD">
      <w:pPr>
        <w:spacing w:line="241" w:lineRule="auto"/>
        <w:rPr>
          <w:rFonts w:ascii="Arial"/>
          <w:color w:val="auto"/>
          <w:sz w:val="21"/>
          <w:highlight w:val="none"/>
        </w:rPr>
      </w:pPr>
    </w:p>
    <w:p w14:paraId="4B98F6DB">
      <w:pPr>
        <w:pStyle w:val="37"/>
        <w:rPr>
          <w:rFonts w:ascii="Arial"/>
          <w:color w:val="auto"/>
          <w:sz w:val="21"/>
          <w:highlight w:val="none"/>
        </w:rPr>
      </w:pPr>
    </w:p>
    <w:p w14:paraId="745F66A8">
      <w:pPr>
        <w:rPr>
          <w:rFonts w:ascii="Arial"/>
          <w:color w:val="auto"/>
          <w:sz w:val="21"/>
          <w:highlight w:val="none"/>
        </w:rPr>
      </w:pPr>
    </w:p>
    <w:p w14:paraId="3709D687">
      <w:pPr>
        <w:pStyle w:val="37"/>
        <w:rPr>
          <w:rFonts w:ascii="Arial"/>
          <w:color w:val="auto"/>
          <w:sz w:val="21"/>
          <w:highlight w:val="none"/>
        </w:rPr>
      </w:pPr>
    </w:p>
    <w:p w14:paraId="51971442">
      <w:pPr>
        <w:pStyle w:val="259"/>
        <w:spacing w:beforeAutospacing="0" w:afterAutospacing="0"/>
        <w:jc w:val="center"/>
        <w:rPr>
          <w:rFonts w:hint="eastAsia" w:ascii="黑体" w:hAnsi="宋体" w:eastAsia="黑体" w:cs="黑体"/>
          <w:b/>
          <w:bCs/>
          <w:color w:val="auto"/>
          <w:sz w:val="32"/>
          <w:szCs w:val="32"/>
          <w:highlight w:val="none"/>
        </w:rPr>
      </w:pPr>
    </w:p>
    <w:p w14:paraId="52AA4B8D">
      <w:pPr>
        <w:pStyle w:val="259"/>
        <w:spacing w:beforeAutospacing="0" w:afterAutospacing="0"/>
        <w:jc w:val="center"/>
        <w:rPr>
          <w:rFonts w:hint="eastAsia" w:ascii="黑体" w:hAnsi="宋体" w:eastAsia="黑体" w:cs="黑体"/>
          <w:b/>
          <w:color w:val="auto"/>
          <w:sz w:val="32"/>
          <w:szCs w:val="32"/>
          <w:highlight w:val="none"/>
        </w:rPr>
      </w:pPr>
    </w:p>
    <w:p w14:paraId="66EADE1C">
      <w:pPr>
        <w:pStyle w:val="259"/>
        <w:keepNext/>
        <w:keepLines/>
        <w:spacing w:before="260" w:beforeAutospacing="0" w:after="260" w:afterAutospacing="0" w:line="415" w:lineRule="auto"/>
        <w:jc w:val="cente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二</w:t>
      </w:r>
      <w:r>
        <w:rPr>
          <w:rFonts w:hint="eastAsia" w:ascii="黑体" w:hAnsi="宋体" w:eastAsia="黑体" w:cs="黑体"/>
          <w:b/>
          <w:i/>
          <w:color w:val="auto"/>
          <w:sz w:val="32"/>
          <w:szCs w:val="32"/>
          <w:highlight w:val="none"/>
          <w:u w:val="single"/>
        </w:rPr>
        <w:t>、</w:t>
      </w:r>
      <w:bookmarkStart w:id="213" w:name="OLE_LINK22"/>
      <w:r>
        <w:rPr>
          <w:rFonts w:hint="eastAsia" w:ascii="黑体" w:hAnsi="宋体" w:eastAsia="黑体" w:cs="黑体"/>
          <w:b/>
          <w:i/>
          <w:color w:val="auto"/>
          <w:sz w:val="32"/>
          <w:szCs w:val="32"/>
          <w:highlight w:val="none"/>
          <w:u w:val="single"/>
        </w:rPr>
        <w:t>投标分项报价表（分包号：***）</w:t>
      </w:r>
    </w:p>
    <w:tbl>
      <w:tblPr>
        <w:tblStyle w:val="30"/>
        <w:tblW w:w="965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8"/>
        <w:gridCol w:w="2765"/>
        <w:gridCol w:w="976"/>
        <w:gridCol w:w="1005"/>
        <w:gridCol w:w="757"/>
        <w:gridCol w:w="728"/>
        <w:gridCol w:w="991"/>
        <w:gridCol w:w="976"/>
        <w:gridCol w:w="919"/>
      </w:tblGrid>
      <w:tr w14:paraId="40C69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023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1C8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FD57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F6D5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计量 </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单位</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D9A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284C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10A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085A8">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投标品牌及型号</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2EEE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3A3BF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676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DC0A5B">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一、数字化装备提升部分</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5665">
            <w:pPr>
              <w:rPr>
                <w:rFonts w:hint="eastAsia" w:ascii="宋体" w:hAnsi="宋体" w:eastAsia="宋体" w:cs="宋体"/>
                <w:b/>
                <w:bCs/>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2CE909">
            <w:pP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4FDB52">
            <w:pPr>
              <w:rPr>
                <w:rFonts w:hint="eastAsia" w:ascii="宋体" w:hAnsi="宋体" w:eastAsia="宋体" w:cs="宋体"/>
                <w:i w:val="0"/>
                <w:iCs w:val="0"/>
                <w:color w:val="000000"/>
                <w:sz w:val="24"/>
                <w:szCs w:val="24"/>
                <w:u w:val="none"/>
              </w:rPr>
            </w:pPr>
          </w:p>
        </w:tc>
      </w:tr>
      <w:tr w14:paraId="725D7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34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139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900万电子警察</w:t>
            </w:r>
          </w:p>
        </w:tc>
        <w:tc>
          <w:tcPr>
            <w:tcW w:w="976" w:type="dxa"/>
            <w:vMerge w:val="restart"/>
            <w:tcBorders>
              <w:top w:val="single" w:color="000000" w:sz="4" w:space="0"/>
              <w:left w:val="single" w:color="000000" w:sz="4" w:space="0"/>
              <w:right w:val="single" w:color="000000" w:sz="4" w:space="0"/>
            </w:tcBorders>
            <w:shd w:val="clear" w:color="auto" w:fill="auto"/>
            <w:vAlign w:val="center"/>
          </w:tcPr>
          <w:p w14:paraId="61C519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详见“技术要求响应及偏离表”</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F6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229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38F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34C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2B0D">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750FE">
            <w:pPr>
              <w:jc w:val="center"/>
              <w:rPr>
                <w:rFonts w:hint="eastAsia" w:ascii="宋体" w:hAnsi="宋体" w:eastAsia="宋体" w:cs="宋体"/>
                <w:i w:val="0"/>
                <w:iCs w:val="0"/>
                <w:color w:val="000000"/>
                <w:sz w:val="24"/>
                <w:szCs w:val="24"/>
                <w:u w:val="none"/>
              </w:rPr>
            </w:pPr>
          </w:p>
        </w:tc>
      </w:tr>
      <w:tr w14:paraId="12D3F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A2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42C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1200万电子警察</w:t>
            </w:r>
          </w:p>
        </w:tc>
        <w:tc>
          <w:tcPr>
            <w:tcW w:w="976" w:type="dxa"/>
            <w:vMerge w:val="continue"/>
            <w:tcBorders>
              <w:left w:val="single" w:color="000000" w:sz="4" w:space="0"/>
              <w:right w:val="single" w:color="000000" w:sz="4" w:space="0"/>
            </w:tcBorders>
            <w:shd w:val="clear" w:color="auto" w:fill="auto"/>
            <w:vAlign w:val="center"/>
          </w:tcPr>
          <w:p w14:paraId="79588D9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C8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DD4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FD1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C62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824C">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E31BE">
            <w:pPr>
              <w:jc w:val="center"/>
              <w:rPr>
                <w:rFonts w:hint="eastAsia" w:ascii="宋体" w:hAnsi="宋体" w:eastAsia="宋体" w:cs="宋体"/>
                <w:i w:val="0"/>
                <w:iCs w:val="0"/>
                <w:color w:val="000000"/>
                <w:sz w:val="24"/>
                <w:szCs w:val="24"/>
                <w:u w:val="none"/>
              </w:rPr>
            </w:pPr>
          </w:p>
        </w:tc>
      </w:tr>
      <w:tr w14:paraId="5172A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47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8DE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400万双目全彩球机</w:t>
            </w:r>
          </w:p>
        </w:tc>
        <w:tc>
          <w:tcPr>
            <w:tcW w:w="976" w:type="dxa"/>
            <w:vMerge w:val="continue"/>
            <w:tcBorders>
              <w:left w:val="single" w:color="000000" w:sz="4" w:space="0"/>
              <w:right w:val="single" w:color="000000" w:sz="4" w:space="0"/>
            </w:tcBorders>
            <w:shd w:val="clear" w:color="auto" w:fill="auto"/>
            <w:vAlign w:val="center"/>
          </w:tcPr>
          <w:p w14:paraId="26CCA22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492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5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045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7AA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F7E11">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046C8">
            <w:pPr>
              <w:jc w:val="center"/>
              <w:rPr>
                <w:rFonts w:hint="eastAsia" w:ascii="宋体" w:hAnsi="宋体" w:eastAsia="宋体" w:cs="宋体"/>
                <w:i w:val="0"/>
                <w:iCs w:val="0"/>
                <w:color w:val="000000"/>
                <w:sz w:val="24"/>
                <w:szCs w:val="24"/>
                <w:u w:val="none"/>
              </w:rPr>
            </w:pPr>
          </w:p>
        </w:tc>
      </w:tr>
      <w:tr w14:paraId="394E3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C4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18F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鱼眼相机</w:t>
            </w:r>
          </w:p>
        </w:tc>
        <w:tc>
          <w:tcPr>
            <w:tcW w:w="976" w:type="dxa"/>
            <w:vMerge w:val="continue"/>
            <w:tcBorders>
              <w:left w:val="single" w:color="000000" w:sz="4" w:space="0"/>
              <w:right w:val="single" w:color="000000" w:sz="4" w:space="0"/>
            </w:tcBorders>
            <w:shd w:val="clear" w:color="auto" w:fill="auto"/>
            <w:vAlign w:val="center"/>
          </w:tcPr>
          <w:p w14:paraId="0870072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6E3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884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18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5F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79D5">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6F765">
            <w:pPr>
              <w:jc w:val="center"/>
              <w:rPr>
                <w:rFonts w:hint="eastAsia" w:ascii="宋体" w:hAnsi="宋体" w:eastAsia="宋体" w:cs="宋体"/>
                <w:i w:val="0"/>
                <w:iCs w:val="0"/>
                <w:color w:val="000000"/>
                <w:sz w:val="24"/>
                <w:szCs w:val="24"/>
                <w:u w:val="none"/>
              </w:rPr>
            </w:pPr>
          </w:p>
        </w:tc>
      </w:tr>
      <w:tr w14:paraId="4ADE2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1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D6C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警用AI眼镜</w:t>
            </w:r>
          </w:p>
        </w:tc>
        <w:tc>
          <w:tcPr>
            <w:tcW w:w="976" w:type="dxa"/>
            <w:vMerge w:val="continue"/>
            <w:tcBorders>
              <w:left w:val="single" w:color="000000" w:sz="4" w:space="0"/>
              <w:right w:val="single" w:color="000000" w:sz="4" w:space="0"/>
            </w:tcBorders>
            <w:shd w:val="clear" w:color="auto" w:fill="auto"/>
            <w:vAlign w:val="center"/>
          </w:tcPr>
          <w:p w14:paraId="0D20163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A4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5E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4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0B8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33BF2">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2397">
            <w:pPr>
              <w:jc w:val="center"/>
              <w:rPr>
                <w:rFonts w:hint="eastAsia" w:ascii="宋体" w:hAnsi="宋体" w:eastAsia="宋体" w:cs="宋体"/>
                <w:i w:val="0"/>
                <w:iCs w:val="0"/>
                <w:color w:val="000000"/>
                <w:sz w:val="24"/>
                <w:szCs w:val="24"/>
                <w:u w:val="none"/>
              </w:rPr>
            </w:pPr>
          </w:p>
        </w:tc>
      </w:tr>
      <w:tr w14:paraId="44030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940B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C034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超员检测系统</w:t>
            </w:r>
          </w:p>
        </w:tc>
        <w:tc>
          <w:tcPr>
            <w:tcW w:w="976" w:type="dxa"/>
            <w:vMerge w:val="continue"/>
            <w:tcBorders>
              <w:left w:val="single" w:color="000000" w:sz="4" w:space="0"/>
              <w:right w:val="single" w:color="000000" w:sz="4" w:space="0"/>
            </w:tcBorders>
            <w:shd w:val="clear" w:color="auto" w:fill="auto"/>
            <w:vAlign w:val="center"/>
          </w:tcPr>
          <w:p w14:paraId="52D9BB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E4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89B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27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8BC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AB0C">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FA41C">
            <w:pPr>
              <w:jc w:val="center"/>
              <w:rPr>
                <w:rFonts w:hint="eastAsia" w:ascii="宋体" w:hAnsi="宋体" w:eastAsia="宋体" w:cs="宋体"/>
                <w:i w:val="0"/>
                <w:iCs w:val="0"/>
                <w:color w:val="000000"/>
                <w:sz w:val="24"/>
                <w:szCs w:val="24"/>
                <w:u w:val="none"/>
              </w:rPr>
            </w:pPr>
          </w:p>
        </w:tc>
      </w:tr>
      <w:tr w14:paraId="406C7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48626">
            <w:pPr>
              <w:jc w:val="center"/>
              <w:rPr>
                <w:rFonts w:hint="eastAsia" w:ascii="宋体" w:hAnsi="宋体" w:eastAsia="宋体" w:cs="宋体"/>
                <w:i w:val="0"/>
                <w:iCs w:val="0"/>
                <w:color w:val="000000"/>
                <w:sz w:val="24"/>
                <w:szCs w:val="24"/>
                <w:u w:val="none"/>
              </w:rPr>
            </w:pPr>
          </w:p>
        </w:tc>
        <w:tc>
          <w:tcPr>
            <w:tcW w:w="2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A9E11">
            <w:pPr>
              <w:jc w:val="center"/>
              <w:rPr>
                <w:rFonts w:hint="eastAsia" w:ascii="宋体" w:hAnsi="宋体" w:eastAsia="宋体" w:cs="宋体"/>
                <w:i w:val="0"/>
                <w:iCs w:val="0"/>
                <w:color w:val="000000"/>
                <w:sz w:val="24"/>
                <w:szCs w:val="24"/>
                <w:u w:val="none"/>
              </w:rPr>
            </w:pPr>
          </w:p>
        </w:tc>
        <w:tc>
          <w:tcPr>
            <w:tcW w:w="976" w:type="dxa"/>
            <w:vMerge w:val="continue"/>
            <w:tcBorders>
              <w:left w:val="single" w:color="000000" w:sz="4" w:space="0"/>
              <w:right w:val="single" w:color="000000" w:sz="4" w:space="0"/>
            </w:tcBorders>
            <w:shd w:val="clear" w:color="auto" w:fill="auto"/>
            <w:vAlign w:val="center"/>
          </w:tcPr>
          <w:p w14:paraId="430755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EAA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05C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F1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6D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AE817">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1D6BD">
            <w:pPr>
              <w:jc w:val="center"/>
              <w:rPr>
                <w:rFonts w:hint="eastAsia" w:ascii="宋体" w:hAnsi="宋体" w:eastAsia="宋体" w:cs="宋体"/>
                <w:i w:val="0"/>
                <w:iCs w:val="0"/>
                <w:color w:val="000000"/>
                <w:sz w:val="24"/>
                <w:szCs w:val="24"/>
                <w:u w:val="none"/>
              </w:rPr>
            </w:pPr>
          </w:p>
        </w:tc>
      </w:tr>
      <w:tr w14:paraId="2CDA9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61978">
            <w:pPr>
              <w:jc w:val="center"/>
              <w:rPr>
                <w:rFonts w:hint="eastAsia" w:ascii="宋体" w:hAnsi="宋体" w:eastAsia="宋体" w:cs="宋体"/>
                <w:i w:val="0"/>
                <w:iCs w:val="0"/>
                <w:color w:val="000000"/>
                <w:sz w:val="24"/>
                <w:szCs w:val="24"/>
                <w:u w:val="none"/>
              </w:rPr>
            </w:pPr>
          </w:p>
        </w:tc>
        <w:tc>
          <w:tcPr>
            <w:tcW w:w="2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69BA9">
            <w:pPr>
              <w:jc w:val="center"/>
              <w:rPr>
                <w:rFonts w:hint="eastAsia" w:ascii="宋体" w:hAnsi="宋体" w:eastAsia="宋体" w:cs="宋体"/>
                <w:i w:val="0"/>
                <w:iCs w:val="0"/>
                <w:color w:val="000000"/>
                <w:sz w:val="24"/>
                <w:szCs w:val="24"/>
                <w:u w:val="none"/>
              </w:rPr>
            </w:pPr>
          </w:p>
        </w:tc>
        <w:tc>
          <w:tcPr>
            <w:tcW w:w="976" w:type="dxa"/>
            <w:vMerge w:val="continue"/>
            <w:tcBorders>
              <w:left w:val="single" w:color="000000" w:sz="4" w:space="0"/>
              <w:right w:val="single" w:color="000000" w:sz="4" w:space="0"/>
            </w:tcBorders>
            <w:shd w:val="clear" w:color="auto" w:fill="auto"/>
            <w:vAlign w:val="center"/>
          </w:tcPr>
          <w:p w14:paraId="0C4354F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ABB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DDA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D8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AE2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3179">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D473">
            <w:pPr>
              <w:jc w:val="center"/>
              <w:rPr>
                <w:rFonts w:hint="eastAsia" w:ascii="宋体" w:hAnsi="宋体" w:eastAsia="宋体" w:cs="宋体"/>
                <w:i w:val="0"/>
                <w:iCs w:val="0"/>
                <w:color w:val="000000"/>
                <w:sz w:val="24"/>
                <w:szCs w:val="24"/>
                <w:u w:val="none"/>
              </w:rPr>
            </w:pPr>
          </w:p>
        </w:tc>
      </w:tr>
      <w:tr w14:paraId="3EA2F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322A3">
            <w:pPr>
              <w:jc w:val="center"/>
              <w:rPr>
                <w:rFonts w:hint="eastAsia" w:ascii="宋体" w:hAnsi="宋体" w:eastAsia="宋体" w:cs="宋体"/>
                <w:i w:val="0"/>
                <w:iCs w:val="0"/>
                <w:color w:val="000000"/>
                <w:sz w:val="24"/>
                <w:szCs w:val="24"/>
                <w:u w:val="none"/>
              </w:rPr>
            </w:pPr>
          </w:p>
        </w:tc>
        <w:tc>
          <w:tcPr>
            <w:tcW w:w="2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F4DE7">
            <w:pPr>
              <w:jc w:val="center"/>
              <w:rPr>
                <w:rFonts w:hint="eastAsia" w:ascii="宋体" w:hAnsi="宋体" w:eastAsia="宋体" w:cs="宋体"/>
                <w:i w:val="0"/>
                <w:iCs w:val="0"/>
                <w:color w:val="000000"/>
                <w:sz w:val="24"/>
                <w:szCs w:val="24"/>
                <w:u w:val="none"/>
              </w:rPr>
            </w:pPr>
          </w:p>
        </w:tc>
        <w:tc>
          <w:tcPr>
            <w:tcW w:w="976" w:type="dxa"/>
            <w:vMerge w:val="continue"/>
            <w:tcBorders>
              <w:left w:val="single" w:color="000000" w:sz="4" w:space="0"/>
              <w:right w:val="single" w:color="000000" w:sz="4" w:space="0"/>
            </w:tcBorders>
            <w:shd w:val="clear" w:color="auto" w:fill="auto"/>
            <w:vAlign w:val="center"/>
          </w:tcPr>
          <w:p w14:paraId="4E9CB8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92F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BFE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D2C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00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22247">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E07F">
            <w:pPr>
              <w:jc w:val="center"/>
              <w:rPr>
                <w:rFonts w:hint="eastAsia" w:ascii="宋体" w:hAnsi="宋体" w:eastAsia="宋体" w:cs="宋体"/>
                <w:i w:val="0"/>
                <w:iCs w:val="0"/>
                <w:color w:val="000000"/>
                <w:sz w:val="24"/>
                <w:szCs w:val="24"/>
                <w:u w:val="none"/>
              </w:rPr>
            </w:pPr>
          </w:p>
        </w:tc>
      </w:tr>
      <w:tr w14:paraId="5090D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AE5FC">
            <w:pPr>
              <w:jc w:val="center"/>
              <w:rPr>
                <w:rFonts w:hint="eastAsia" w:ascii="宋体" w:hAnsi="宋体" w:eastAsia="宋体" w:cs="宋体"/>
                <w:i w:val="0"/>
                <w:iCs w:val="0"/>
                <w:color w:val="000000"/>
                <w:sz w:val="24"/>
                <w:szCs w:val="24"/>
                <w:u w:val="none"/>
              </w:rPr>
            </w:pPr>
          </w:p>
        </w:tc>
        <w:tc>
          <w:tcPr>
            <w:tcW w:w="2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83189">
            <w:pPr>
              <w:jc w:val="center"/>
              <w:rPr>
                <w:rFonts w:hint="eastAsia" w:ascii="宋体" w:hAnsi="宋体" w:eastAsia="宋体" w:cs="宋体"/>
                <w:i w:val="0"/>
                <w:iCs w:val="0"/>
                <w:color w:val="000000"/>
                <w:sz w:val="24"/>
                <w:szCs w:val="24"/>
                <w:u w:val="none"/>
              </w:rPr>
            </w:pPr>
          </w:p>
        </w:tc>
        <w:tc>
          <w:tcPr>
            <w:tcW w:w="976" w:type="dxa"/>
            <w:vMerge w:val="continue"/>
            <w:tcBorders>
              <w:left w:val="single" w:color="000000" w:sz="4" w:space="0"/>
              <w:right w:val="single" w:color="000000" w:sz="4" w:space="0"/>
            </w:tcBorders>
            <w:shd w:val="clear" w:color="auto" w:fill="auto"/>
            <w:vAlign w:val="center"/>
          </w:tcPr>
          <w:p w14:paraId="360109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04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4A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56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8C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00EB5">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9504C">
            <w:pPr>
              <w:jc w:val="center"/>
              <w:rPr>
                <w:rFonts w:hint="eastAsia" w:ascii="宋体" w:hAnsi="宋体" w:eastAsia="宋体" w:cs="宋体"/>
                <w:i w:val="0"/>
                <w:iCs w:val="0"/>
                <w:color w:val="000000"/>
                <w:sz w:val="24"/>
                <w:szCs w:val="24"/>
                <w:u w:val="none"/>
              </w:rPr>
            </w:pPr>
          </w:p>
        </w:tc>
      </w:tr>
      <w:tr w14:paraId="46050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5EB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531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磁吸声光环</w:t>
            </w:r>
          </w:p>
        </w:tc>
        <w:tc>
          <w:tcPr>
            <w:tcW w:w="976" w:type="dxa"/>
            <w:vMerge w:val="continue"/>
            <w:tcBorders>
              <w:left w:val="single" w:color="000000" w:sz="4" w:space="0"/>
              <w:right w:val="single" w:color="000000" w:sz="4" w:space="0"/>
            </w:tcBorders>
            <w:shd w:val="clear" w:color="auto" w:fill="auto"/>
            <w:vAlign w:val="center"/>
          </w:tcPr>
          <w:p w14:paraId="0DF95C4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7C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1A1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AA5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8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85FCE">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418A5">
            <w:pPr>
              <w:jc w:val="center"/>
              <w:rPr>
                <w:rFonts w:hint="eastAsia" w:ascii="宋体" w:hAnsi="宋体" w:eastAsia="宋体" w:cs="宋体"/>
                <w:i w:val="0"/>
                <w:iCs w:val="0"/>
                <w:color w:val="000000"/>
                <w:sz w:val="24"/>
                <w:szCs w:val="24"/>
                <w:u w:val="none"/>
              </w:rPr>
            </w:pPr>
          </w:p>
        </w:tc>
      </w:tr>
      <w:tr w14:paraId="29106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E1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2BB4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警戒带伸缩路锥</w:t>
            </w:r>
          </w:p>
        </w:tc>
        <w:tc>
          <w:tcPr>
            <w:tcW w:w="976" w:type="dxa"/>
            <w:vMerge w:val="continue"/>
            <w:tcBorders>
              <w:left w:val="single" w:color="000000" w:sz="4" w:space="0"/>
              <w:right w:val="single" w:color="000000" w:sz="4" w:space="0"/>
            </w:tcBorders>
            <w:shd w:val="clear" w:color="auto" w:fill="auto"/>
            <w:vAlign w:val="center"/>
          </w:tcPr>
          <w:p w14:paraId="1BDE71F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8E3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9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1AD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A6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2C355">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0CB88">
            <w:pPr>
              <w:jc w:val="center"/>
              <w:rPr>
                <w:rFonts w:hint="eastAsia" w:ascii="宋体" w:hAnsi="宋体" w:eastAsia="宋体" w:cs="宋体"/>
                <w:i w:val="0"/>
                <w:iCs w:val="0"/>
                <w:color w:val="000000"/>
                <w:sz w:val="24"/>
                <w:szCs w:val="24"/>
                <w:u w:val="none"/>
              </w:rPr>
            </w:pPr>
          </w:p>
        </w:tc>
      </w:tr>
      <w:tr w14:paraId="1D938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F4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4FC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警用摩托车</w:t>
            </w:r>
          </w:p>
        </w:tc>
        <w:tc>
          <w:tcPr>
            <w:tcW w:w="976" w:type="dxa"/>
            <w:vMerge w:val="continue"/>
            <w:tcBorders>
              <w:left w:val="single" w:color="000000" w:sz="4" w:space="0"/>
              <w:right w:val="single" w:color="000000" w:sz="4" w:space="0"/>
            </w:tcBorders>
            <w:shd w:val="clear" w:color="auto" w:fill="auto"/>
            <w:vAlign w:val="center"/>
          </w:tcPr>
          <w:p w14:paraId="32F2AE2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34C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F4A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B7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E70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D34CD">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757D9">
            <w:pPr>
              <w:jc w:val="center"/>
              <w:rPr>
                <w:rFonts w:hint="eastAsia" w:ascii="宋体" w:hAnsi="宋体" w:eastAsia="宋体" w:cs="宋体"/>
                <w:i w:val="0"/>
                <w:iCs w:val="0"/>
                <w:color w:val="000000"/>
                <w:sz w:val="24"/>
                <w:szCs w:val="24"/>
                <w:u w:val="none"/>
              </w:rPr>
            </w:pPr>
          </w:p>
        </w:tc>
      </w:tr>
      <w:tr w14:paraId="672F3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37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627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信号灯检测器</w:t>
            </w:r>
          </w:p>
        </w:tc>
        <w:tc>
          <w:tcPr>
            <w:tcW w:w="976" w:type="dxa"/>
            <w:vMerge w:val="continue"/>
            <w:tcBorders>
              <w:left w:val="single" w:color="000000" w:sz="4" w:space="0"/>
              <w:right w:val="single" w:color="000000" w:sz="4" w:space="0"/>
            </w:tcBorders>
            <w:shd w:val="clear" w:color="auto" w:fill="auto"/>
            <w:vAlign w:val="center"/>
          </w:tcPr>
          <w:p w14:paraId="504371D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E08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7C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DDA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E8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140CA">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2A3FC">
            <w:pPr>
              <w:jc w:val="center"/>
              <w:rPr>
                <w:rFonts w:hint="eastAsia" w:ascii="宋体" w:hAnsi="宋体" w:eastAsia="宋体" w:cs="宋体"/>
                <w:i w:val="0"/>
                <w:iCs w:val="0"/>
                <w:color w:val="000000"/>
                <w:sz w:val="24"/>
                <w:szCs w:val="24"/>
                <w:u w:val="none"/>
              </w:rPr>
            </w:pPr>
          </w:p>
        </w:tc>
      </w:tr>
      <w:tr w14:paraId="1FF80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56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B6D6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分贝监测仪</w:t>
            </w:r>
          </w:p>
        </w:tc>
        <w:tc>
          <w:tcPr>
            <w:tcW w:w="976" w:type="dxa"/>
            <w:vMerge w:val="continue"/>
            <w:tcBorders>
              <w:left w:val="single" w:color="000000" w:sz="4" w:space="0"/>
              <w:right w:val="single" w:color="000000" w:sz="4" w:space="0"/>
            </w:tcBorders>
            <w:shd w:val="clear" w:color="auto" w:fill="auto"/>
            <w:vAlign w:val="center"/>
          </w:tcPr>
          <w:p w14:paraId="1B7A85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B69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EE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FA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7EC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630D">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9F22">
            <w:pPr>
              <w:jc w:val="center"/>
              <w:rPr>
                <w:rFonts w:hint="eastAsia" w:ascii="宋体" w:hAnsi="宋体" w:eastAsia="宋体" w:cs="宋体"/>
                <w:i w:val="0"/>
                <w:iCs w:val="0"/>
                <w:color w:val="000000"/>
                <w:sz w:val="24"/>
                <w:szCs w:val="24"/>
                <w:u w:val="none"/>
              </w:rPr>
            </w:pPr>
          </w:p>
        </w:tc>
      </w:tr>
      <w:tr w14:paraId="2B7B4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225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11AC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激光笔</w:t>
            </w:r>
          </w:p>
        </w:tc>
        <w:tc>
          <w:tcPr>
            <w:tcW w:w="976" w:type="dxa"/>
            <w:vMerge w:val="continue"/>
            <w:tcBorders>
              <w:left w:val="single" w:color="000000" w:sz="4" w:space="0"/>
              <w:right w:val="single" w:color="000000" w:sz="4" w:space="0"/>
            </w:tcBorders>
            <w:shd w:val="clear" w:color="auto" w:fill="auto"/>
            <w:vAlign w:val="center"/>
          </w:tcPr>
          <w:p w14:paraId="71E866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42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73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41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5D7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275C">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DA9C">
            <w:pPr>
              <w:jc w:val="center"/>
              <w:rPr>
                <w:rFonts w:hint="eastAsia" w:ascii="宋体" w:hAnsi="宋体" w:eastAsia="宋体" w:cs="宋体"/>
                <w:i w:val="0"/>
                <w:iCs w:val="0"/>
                <w:color w:val="000000"/>
                <w:sz w:val="24"/>
                <w:szCs w:val="24"/>
                <w:u w:val="none"/>
              </w:rPr>
            </w:pPr>
          </w:p>
        </w:tc>
      </w:tr>
      <w:tr w14:paraId="668DF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207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BC6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400万违停摄像机</w:t>
            </w:r>
          </w:p>
        </w:tc>
        <w:tc>
          <w:tcPr>
            <w:tcW w:w="976" w:type="dxa"/>
            <w:vMerge w:val="continue"/>
            <w:tcBorders>
              <w:left w:val="single" w:color="000000" w:sz="4" w:space="0"/>
              <w:right w:val="single" w:color="000000" w:sz="4" w:space="0"/>
            </w:tcBorders>
            <w:shd w:val="clear" w:color="auto" w:fill="auto"/>
            <w:vAlign w:val="center"/>
          </w:tcPr>
          <w:p w14:paraId="302043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63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9A2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382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97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CD454">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A834C">
            <w:pPr>
              <w:jc w:val="center"/>
              <w:rPr>
                <w:rFonts w:hint="eastAsia" w:ascii="宋体" w:hAnsi="宋体" w:eastAsia="宋体" w:cs="宋体"/>
                <w:i w:val="0"/>
                <w:iCs w:val="0"/>
                <w:color w:val="000000"/>
                <w:sz w:val="24"/>
                <w:szCs w:val="24"/>
                <w:u w:val="none"/>
              </w:rPr>
            </w:pPr>
          </w:p>
        </w:tc>
      </w:tr>
      <w:tr w14:paraId="427CA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BB9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1B2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球机支架及抱杆配件</w:t>
            </w:r>
          </w:p>
        </w:tc>
        <w:tc>
          <w:tcPr>
            <w:tcW w:w="976" w:type="dxa"/>
            <w:vMerge w:val="continue"/>
            <w:tcBorders>
              <w:left w:val="single" w:color="000000" w:sz="4" w:space="0"/>
              <w:right w:val="single" w:color="000000" w:sz="4" w:space="0"/>
            </w:tcBorders>
            <w:shd w:val="clear" w:color="auto" w:fill="auto"/>
            <w:vAlign w:val="center"/>
          </w:tcPr>
          <w:p w14:paraId="3490CBA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457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C0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38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693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E68CB">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BCAA">
            <w:pPr>
              <w:jc w:val="center"/>
              <w:rPr>
                <w:rFonts w:hint="eastAsia" w:ascii="宋体" w:hAnsi="宋体" w:eastAsia="宋体" w:cs="宋体"/>
                <w:i w:val="0"/>
                <w:iCs w:val="0"/>
                <w:color w:val="000000"/>
                <w:sz w:val="24"/>
                <w:szCs w:val="24"/>
                <w:u w:val="none"/>
              </w:rPr>
            </w:pPr>
          </w:p>
        </w:tc>
      </w:tr>
      <w:tr w14:paraId="68679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3B6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781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高空瞭望摄像机</w:t>
            </w:r>
          </w:p>
        </w:tc>
        <w:tc>
          <w:tcPr>
            <w:tcW w:w="976" w:type="dxa"/>
            <w:vMerge w:val="continue"/>
            <w:tcBorders>
              <w:left w:val="single" w:color="000000" w:sz="4" w:space="0"/>
              <w:right w:val="single" w:color="000000" w:sz="4" w:space="0"/>
            </w:tcBorders>
            <w:shd w:val="clear" w:color="auto" w:fill="auto"/>
            <w:vAlign w:val="center"/>
          </w:tcPr>
          <w:p w14:paraId="11B5539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2E5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E8D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F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FC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7DF22">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EA8A2">
            <w:pPr>
              <w:jc w:val="center"/>
              <w:rPr>
                <w:rFonts w:hint="eastAsia" w:ascii="宋体" w:hAnsi="宋体" w:eastAsia="宋体" w:cs="宋体"/>
                <w:i w:val="0"/>
                <w:iCs w:val="0"/>
                <w:color w:val="000000"/>
                <w:sz w:val="24"/>
                <w:szCs w:val="24"/>
                <w:u w:val="none"/>
              </w:rPr>
            </w:pPr>
          </w:p>
        </w:tc>
      </w:tr>
      <w:tr w14:paraId="10B16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87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5F4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高空瞭望摄像机专用支架</w:t>
            </w:r>
          </w:p>
        </w:tc>
        <w:tc>
          <w:tcPr>
            <w:tcW w:w="976" w:type="dxa"/>
            <w:vMerge w:val="continue"/>
            <w:tcBorders>
              <w:left w:val="single" w:color="000000" w:sz="4" w:space="0"/>
              <w:bottom w:val="single" w:color="000000" w:sz="4" w:space="0"/>
              <w:right w:val="single" w:color="000000" w:sz="4" w:space="0"/>
            </w:tcBorders>
            <w:shd w:val="clear" w:color="auto" w:fill="auto"/>
            <w:vAlign w:val="center"/>
          </w:tcPr>
          <w:p w14:paraId="6C8312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99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6C7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01C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3ED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4FB59">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237B">
            <w:pPr>
              <w:jc w:val="center"/>
              <w:rPr>
                <w:rFonts w:hint="eastAsia" w:ascii="宋体" w:hAnsi="宋体" w:eastAsia="宋体" w:cs="宋体"/>
                <w:i w:val="0"/>
                <w:iCs w:val="0"/>
                <w:color w:val="000000"/>
                <w:sz w:val="24"/>
                <w:szCs w:val="24"/>
                <w:u w:val="none"/>
              </w:rPr>
            </w:pPr>
          </w:p>
        </w:tc>
      </w:tr>
      <w:tr w14:paraId="4F25E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76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313A1C">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t>二、其他配套部分</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CAAA4">
            <w:pPr>
              <w:jc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E73EE">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448D">
            <w:pPr>
              <w:jc w:val="center"/>
              <w:rPr>
                <w:rFonts w:hint="eastAsia" w:ascii="宋体" w:hAnsi="宋体" w:eastAsia="宋体" w:cs="宋体"/>
                <w:i w:val="0"/>
                <w:iCs w:val="0"/>
                <w:color w:val="000000"/>
                <w:sz w:val="24"/>
                <w:szCs w:val="24"/>
                <w:u w:val="none"/>
              </w:rPr>
            </w:pPr>
          </w:p>
        </w:tc>
      </w:tr>
      <w:tr w14:paraId="1B63A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59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22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交通违法抓拍告知牌</w:t>
            </w:r>
          </w:p>
        </w:tc>
        <w:tc>
          <w:tcPr>
            <w:tcW w:w="976" w:type="dxa"/>
            <w:vMerge w:val="restart"/>
            <w:tcBorders>
              <w:top w:val="single" w:color="000000" w:sz="4" w:space="0"/>
              <w:left w:val="single" w:color="000000" w:sz="4" w:space="0"/>
              <w:right w:val="single" w:color="000000" w:sz="4" w:space="0"/>
            </w:tcBorders>
            <w:shd w:val="clear" w:color="auto" w:fill="auto"/>
            <w:vAlign w:val="center"/>
          </w:tcPr>
          <w:p w14:paraId="128FB77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详见“技术要求响应及偏离表”</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4B5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94E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61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5DC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FBF1">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6070">
            <w:pPr>
              <w:jc w:val="center"/>
              <w:rPr>
                <w:rFonts w:hint="eastAsia" w:ascii="宋体" w:hAnsi="宋体" w:eastAsia="宋体" w:cs="宋体"/>
                <w:i w:val="0"/>
                <w:iCs w:val="0"/>
                <w:color w:val="000000"/>
                <w:sz w:val="24"/>
                <w:szCs w:val="24"/>
                <w:u w:val="none"/>
              </w:rPr>
            </w:pPr>
          </w:p>
        </w:tc>
      </w:tr>
      <w:tr w14:paraId="595B9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4E4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DFF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禁停标志牌</w:t>
            </w:r>
          </w:p>
        </w:tc>
        <w:tc>
          <w:tcPr>
            <w:tcW w:w="976" w:type="dxa"/>
            <w:vMerge w:val="continue"/>
            <w:tcBorders>
              <w:left w:val="single" w:color="000000" w:sz="4" w:space="0"/>
              <w:right w:val="single" w:color="000000" w:sz="4" w:space="0"/>
            </w:tcBorders>
            <w:shd w:val="clear" w:color="auto" w:fill="auto"/>
            <w:vAlign w:val="center"/>
          </w:tcPr>
          <w:p w14:paraId="08D5FB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35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D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AD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45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5C3D">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89A2">
            <w:pPr>
              <w:jc w:val="center"/>
              <w:rPr>
                <w:rFonts w:hint="eastAsia" w:ascii="宋体" w:hAnsi="宋体" w:eastAsia="宋体" w:cs="宋体"/>
                <w:i w:val="0"/>
                <w:iCs w:val="0"/>
                <w:color w:val="000000"/>
                <w:sz w:val="24"/>
                <w:szCs w:val="24"/>
                <w:u w:val="none"/>
              </w:rPr>
            </w:pPr>
          </w:p>
        </w:tc>
      </w:tr>
      <w:tr w14:paraId="055C1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AA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A0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智能监控设备箱（含平台）</w:t>
            </w:r>
          </w:p>
        </w:tc>
        <w:tc>
          <w:tcPr>
            <w:tcW w:w="976" w:type="dxa"/>
            <w:vMerge w:val="continue"/>
            <w:tcBorders>
              <w:left w:val="single" w:color="000000" w:sz="4" w:space="0"/>
              <w:right w:val="single" w:color="000000" w:sz="4" w:space="0"/>
            </w:tcBorders>
            <w:shd w:val="clear" w:color="auto" w:fill="auto"/>
            <w:vAlign w:val="center"/>
          </w:tcPr>
          <w:p w14:paraId="24790C3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3D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84A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B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A8E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B986">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AD64C">
            <w:pPr>
              <w:jc w:val="center"/>
              <w:rPr>
                <w:rFonts w:hint="eastAsia" w:ascii="宋体" w:hAnsi="宋体" w:eastAsia="宋体" w:cs="宋体"/>
                <w:i w:val="0"/>
                <w:iCs w:val="0"/>
                <w:color w:val="000000"/>
                <w:sz w:val="24"/>
                <w:szCs w:val="24"/>
                <w:u w:val="none"/>
              </w:rPr>
            </w:pPr>
          </w:p>
        </w:tc>
      </w:tr>
      <w:tr w14:paraId="0D84B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7C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21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F杆10m悬臂（含基础）</w:t>
            </w:r>
          </w:p>
        </w:tc>
        <w:tc>
          <w:tcPr>
            <w:tcW w:w="976" w:type="dxa"/>
            <w:vMerge w:val="continue"/>
            <w:tcBorders>
              <w:left w:val="single" w:color="000000" w:sz="4" w:space="0"/>
              <w:right w:val="single" w:color="000000" w:sz="4" w:space="0"/>
            </w:tcBorders>
            <w:shd w:val="clear" w:color="auto" w:fill="auto"/>
            <w:vAlign w:val="center"/>
          </w:tcPr>
          <w:p w14:paraId="7E082C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F2F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54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B21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CA8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D9225">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F981D">
            <w:pPr>
              <w:jc w:val="center"/>
              <w:rPr>
                <w:rFonts w:hint="eastAsia" w:ascii="宋体" w:hAnsi="宋体" w:eastAsia="宋体" w:cs="宋体"/>
                <w:i w:val="0"/>
                <w:iCs w:val="0"/>
                <w:color w:val="000000"/>
                <w:sz w:val="24"/>
                <w:szCs w:val="24"/>
                <w:u w:val="none"/>
              </w:rPr>
            </w:pPr>
          </w:p>
        </w:tc>
      </w:tr>
      <w:tr w14:paraId="7A3C5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ABF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6C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F杆8m悬臂（含基础）</w:t>
            </w:r>
          </w:p>
        </w:tc>
        <w:tc>
          <w:tcPr>
            <w:tcW w:w="976" w:type="dxa"/>
            <w:vMerge w:val="continue"/>
            <w:tcBorders>
              <w:left w:val="single" w:color="000000" w:sz="4" w:space="0"/>
              <w:right w:val="single" w:color="000000" w:sz="4" w:space="0"/>
            </w:tcBorders>
            <w:shd w:val="clear" w:color="auto" w:fill="auto"/>
            <w:vAlign w:val="center"/>
          </w:tcPr>
          <w:p w14:paraId="352E92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C2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C2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F7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8D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124D">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7FD10">
            <w:pPr>
              <w:jc w:val="center"/>
              <w:rPr>
                <w:rFonts w:hint="eastAsia" w:ascii="宋体" w:hAnsi="宋体" w:eastAsia="宋体" w:cs="宋体"/>
                <w:i w:val="0"/>
                <w:iCs w:val="0"/>
                <w:color w:val="000000"/>
                <w:sz w:val="24"/>
                <w:szCs w:val="24"/>
                <w:u w:val="none"/>
              </w:rPr>
            </w:pPr>
          </w:p>
        </w:tc>
      </w:tr>
      <w:tr w14:paraId="5164F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9CF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972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F杆6m悬臂（含基础）</w:t>
            </w:r>
          </w:p>
        </w:tc>
        <w:tc>
          <w:tcPr>
            <w:tcW w:w="976" w:type="dxa"/>
            <w:vMerge w:val="continue"/>
            <w:tcBorders>
              <w:left w:val="single" w:color="000000" w:sz="4" w:space="0"/>
              <w:right w:val="single" w:color="000000" w:sz="4" w:space="0"/>
            </w:tcBorders>
            <w:shd w:val="clear" w:color="auto" w:fill="auto"/>
            <w:vAlign w:val="center"/>
          </w:tcPr>
          <w:p w14:paraId="01E9FC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340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5D7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0F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D78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E34C">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10B4">
            <w:pPr>
              <w:jc w:val="center"/>
              <w:rPr>
                <w:rFonts w:hint="eastAsia" w:ascii="宋体" w:hAnsi="宋体" w:eastAsia="宋体" w:cs="宋体"/>
                <w:i w:val="0"/>
                <w:iCs w:val="0"/>
                <w:color w:val="000000"/>
                <w:sz w:val="24"/>
                <w:szCs w:val="24"/>
                <w:u w:val="none"/>
              </w:rPr>
            </w:pPr>
          </w:p>
        </w:tc>
      </w:tr>
      <w:tr w14:paraId="554BD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C4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D8C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F杆4m悬臂（含基础）</w:t>
            </w:r>
          </w:p>
        </w:tc>
        <w:tc>
          <w:tcPr>
            <w:tcW w:w="976" w:type="dxa"/>
            <w:vMerge w:val="continue"/>
            <w:tcBorders>
              <w:left w:val="single" w:color="000000" w:sz="4" w:space="0"/>
              <w:right w:val="single" w:color="000000" w:sz="4" w:space="0"/>
            </w:tcBorders>
            <w:shd w:val="clear" w:color="auto" w:fill="auto"/>
            <w:vAlign w:val="center"/>
          </w:tcPr>
          <w:p w14:paraId="654A3C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9B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EC6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6A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06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D9C19">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7C84">
            <w:pPr>
              <w:jc w:val="center"/>
              <w:rPr>
                <w:rFonts w:hint="eastAsia" w:ascii="宋体" w:hAnsi="宋体" w:eastAsia="宋体" w:cs="宋体"/>
                <w:i w:val="0"/>
                <w:iCs w:val="0"/>
                <w:color w:val="000000"/>
                <w:sz w:val="24"/>
                <w:szCs w:val="24"/>
                <w:u w:val="none"/>
              </w:rPr>
            </w:pPr>
          </w:p>
        </w:tc>
      </w:tr>
      <w:tr w14:paraId="11581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175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12F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借杆加装2m横臂</w:t>
            </w:r>
          </w:p>
        </w:tc>
        <w:tc>
          <w:tcPr>
            <w:tcW w:w="976" w:type="dxa"/>
            <w:vMerge w:val="continue"/>
            <w:tcBorders>
              <w:left w:val="single" w:color="000000" w:sz="4" w:space="0"/>
              <w:right w:val="single" w:color="000000" w:sz="4" w:space="0"/>
            </w:tcBorders>
            <w:shd w:val="clear" w:color="auto" w:fill="auto"/>
            <w:vAlign w:val="center"/>
          </w:tcPr>
          <w:p w14:paraId="2589E9D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980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DCE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3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91B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38E8">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CC7A9">
            <w:pPr>
              <w:jc w:val="center"/>
              <w:rPr>
                <w:rFonts w:hint="eastAsia" w:ascii="宋体" w:hAnsi="宋体" w:eastAsia="宋体" w:cs="宋体"/>
                <w:i w:val="0"/>
                <w:iCs w:val="0"/>
                <w:color w:val="000000"/>
                <w:sz w:val="24"/>
                <w:szCs w:val="24"/>
                <w:u w:val="none"/>
              </w:rPr>
            </w:pPr>
          </w:p>
        </w:tc>
      </w:tr>
      <w:tr w14:paraId="197E6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28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C51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配线</w:t>
            </w:r>
          </w:p>
        </w:tc>
        <w:tc>
          <w:tcPr>
            <w:tcW w:w="976" w:type="dxa"/>
            <w:vMerge w:val="continue"/>
            <w:tcBorders>
              <w:left w:val="single" w:color="000000" w:sz="4" w:space="0"/>
              <w:right w:val="single" w:color="000000" w:sz="4" w:space="0"/>
            </w:tcBorders>
            <w:shd w:val="clear" w:color="auto" w:fill="auto"/>
            <w:vAlign w:val="center"/>
          </w:tcPr>
          <w:p w14:paraId="1C5F45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D3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679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3485</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2F3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814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4EF45">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6887">
            <w:pPr>
              <w:jc w:val="center"/>
              <w:rPr>
                <w:rFonts w:hint="eastAsia" w:ascii="宋体" w:hAnsi="宋体" w:eastAsia="宋体" w:cs="宋体"/>
                <w:i w:val="0"/>
                <w:iCs w:val="0"/>
                <w:color w:val="000000"/>
                <w:sz w:val="24"/>
                <w:szCs w:val="24"/>
                <w:u w:val="none"/>
              </w:rPr>
            </w:pPr>
          </w:p>
        </w:tc>
      </w:tr>
      <w:tr w14:paraId="663F4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6F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66A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配线</w:t>
            </w:r>
          </w:p>
        </w:tc>
        <w:tc>
          <w:tcPr>
            <w:tcW w:w="976" w:type="dxa"/>
            <w:vMerge w:val="continue"/>
            <w:tcBorders>
              <w:left w:val="single" w:color="000000" w:sz="4" w:space="0"/>
              <w:right w:val="single" w:color="000000" w:sz="4" w:space="0"/>
            </w:tcBorders>
            <w:shd w:val="clear" w:color="auto" w:fill="auto"/>
            <w:vAlign w:val="center"/>
          </w:tcPr>
          <w:p w14:paraId="50AF6B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CF3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30A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640</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21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D8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3FDD">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046C">
            <w:pPr>
              <w:jc w:val="center"/>
              <w:rPr>
                <w:rFonts w:hint="eastAsia" w:ascii="宋体" w:hAnsi="宋体" w:eastAsia="宋体" w:cs="宋体"/>
                <w:i w:val="0"/>
                <w:iCs w:val="0"/>
                <w:color w:val="000000"/>
                <w:sz w:val="24"/>
                <w:szCs w:val="24"/>
                <w:u w:val="none"/>
              </w:rPr>
            </w:pPr>
          </w:p>
        </w:tc>
      </w:tr>
      <w:tr w14:paraId="5781E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6A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048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配线</w:t>
            </w:r>
          </w:p>
        </w:tc>
        <w:tc>
          <w:tcPr>
            <w:tcW w:w="976" w:type="dxa"/>
            <w:vMerge w:val="continue"/>
            <w:tcBorders>
              <w:left w:val="single" w:color="000000" w:sz="4" w:space="0"/>
              <w:right w:val="single" w:color="000000" w:sz="4" w:space="0"/>
            </w:tcBorders>
            <w:shd w:val="clear" w:color="auto" w:fill="auto"/>
            <w:vAlign w:val="center"/>
          </w:tcPr>
          <w:p w14:paraId="5364A3A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9A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C9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290</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610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F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B7D24">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EAE7E">
            <w:pPr>
              <w:jc w:val="center"/>
              <w:rPr>
                <w:rFonts w:hint="eastAsia" w:ascii="宋体" w:hAnsi="宋体" w:eastAsia="宋体" w:cs="宋体"/>
                <w:i w:val="0"/>
                <w:iCs w:val="0"/>
                <w:color w:val="000000"/>
                <w:sz w:val="24"/>
                <w:szCs w:val="24"/>
                <w:u w:val="none"/>
              </w:rPr>
            </w:pPr>
          </w:p>
        </w:tc>
      </w:tr>
      <w:tr w14:paraId="54329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7EA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365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双绞线缆</w:t>
            </w:r>
          </w:p>
        </w:tc>
        <w:tc>
          <w:tcPr>
            <w:tcW w:w="976" w:type="dxa"/>
            <w:vMerge w:val="continue"/>
            <w:tcBorders>
              <w:left w:val="single" w:color="000000" w:sz="4" w:space="0"/>
              <w:right w:val="single" w:color="000000" w:sz="4" w:space="0"/>
            </w:tcBorders>
            <w:shd w:val="clear" w:color="auto" w:fill="auto"/>
            <w:vAlign w:val="center"/>
          </w:tcPr>
          <w:p w14:paraId="3290483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CF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47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1240</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2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3F2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9E1C">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50A5">
            <w:pPr>
              <w:jc w:val="center"/>
              <w:rPr>
                <w:rFonts w:hint="eastAsia" w:ascii="宋体" w:hAnsi="宋体" w:eastAsia="宋体" w:cs="宋体"/>
                <w:i w:val="0"/>
                <w:iCs w:val="0"/>
                <w:color w:val="000000"/>
                <w:sz w:val="24"/>
                <w:szCs w:val="24"/>
                <w:u w:val="none"/>
              </w:rPr>
            </w:pPr>
          </w:p>
        </w:tc>
      </w:tr>
      <w:tr w14:paraId="25298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3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34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牵引管道</w:t>
            </w:r>
          </w:p>
        </w:tc>
        <w:tc>
          <w:tcPr>
            <w:tcW w:w="976" w:type="dxa"/>
            <w:vMerge w:val="continue"/>
            <w:tcBorders>
              <w:left w:val="single" w:color="000000" w:sz="4" w:space="0"/>
              <w:right w:val="single" w:color="000000" w:sz="4" w:space="0"/>
            </w:tcBorders>
            <w:shd w:val="clear" w:color="auto" w:fill="auto"/>
            <w:vAlign w:val="center"/>
          </w:tcPr>
          <w:p w14:paraId="7887338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0E9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DA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3640</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81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E0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1600">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AE8D">
            <w:pPr>
              <w:jc w:val="center"/>
              <w:rPr>
                <w:rFonts w:hint="eastAsia" w:ascii="宋体" w:hAnsi="宋体" w:eastAsia="宋体" w:cs="宋体"/>
                <w:i w:val="0"/>
                <w:iCs w:val="0"/>
                <w:color w:val="000000"/>
                <w:sz w:val="24"/>
                <w:szCs w:val="24"/>
                <w:u w:val="none"/>
              </w:rPr>
            </w:pPr>
          </w:p>
        </w:tc>
      </w:tr>
      <w:tr w14:paraId="3BD54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42D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EB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埋设管道</w:t>
            </w:r>
          </w:p>
        </w:tc>
        <w:tc>
          <w:tcPr>
            <w:tcW w:w="976" w:type="dxa"/>
            <w:vMerge w:val="continue"/>
            <w:tcBorders>
              <w:left w:val="single" w:color="000000" w:sz="4" w:space="0"/>
              <w:right w:val="single" w:color="000000" w:sz="4" w:space="0"/>
            </w:tcBorders>
            <w:shd w:val="clear" w:color="auto" w:fill="auto"/>
            <w:vAlign w:val="center"/>
          </w:tcPr>
          <w:p w14:paraId="6CF7B34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DB5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8F1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F91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148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E09E">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C6012">
            <w:pPr>
              <w:jc w:val="center"/>
              <w:rPr>
                <w:rFonts w:hint="eastAsia" w:ascii="宋体" w:hAnsi="宋体" w:eastAsia="宋体" w:cs="宋体"/>
                <w:i w:val="0"/>
                <w:iCs w:val="0"/>
                <w:color w:val="000000"/>
                <w:sz w:val="24"/>
                <w:szCs w:val="24"/>
                <w:u w:val="none"/>
              </w:rPr>
            </w:pPr>
          </w:p>
        </w:tc>
      </w:tr>
      <w:tr w14:paraId="231C4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D5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59ED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工作井</w:t>
            </w:r>
          </w:p>
        </w:tc>
        <w:tc>
          <w:tcPr>
            <w:tcW w:w="976" w:type="dxa"/>
            <w:vMerge w:val="continue"/>
            <w:tcBorders>
              <w:left w:val="single" w:color="000000" w:sz="4" w:space="0"/>
              <w:right w:val="single" w:color="000000" w:sz="4" w:space="0"/>
            </w:tcBorders>
            <w:shd w:val="clear" w:color="auto" w:fill="auto"/>
            <w:vAlign w:val="center"/>
          </w:tcPr>
          <w:p w14:paraId="5E5407A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A69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FB2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817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2B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D50A2">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F170B">
            <w:pPr>
              <w:jc w:val="center"/>
              <w:rPr>
                <w:rFonts w:hint="eastAsia" w:ascii="宋体" w:hAnsi="宋体" w:eastAsia="宋体" w:cs="宋体"/>
                <w:i w:val="0"/>
                <w:iCs w:val="0"/>
                <w:color w:val="000000"/>
                <w:sz w:val="24"/>
                <w:szCs w:val="24"/>
                <w:u w:val="none"/>
              </w:rPr>
            </w:pPr>
          </w:p>
        </w:tc>
      </w:tr>
      <w:tr w14:paraId="75A5B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8D8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C76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光纤链路租赁</w:t>
            </w:r>
          </w:p>
        </w:tc>
        <w:tc>
          <w:tcPr>
            <w:tcW w:w="976" w:type="dxa"/>
            <w:vMerge w:val="continue"/>
            <w:tcBorders>
              <w:left w:val="single" w:color="000000" w:sz="4" w:space="0"/>
              <w:right w:val="single" w:color="000000" w:sz="4" w:space="0"/>
            </w:tcBorders>
            <w:shd w:val="clear" w:color="auto" w:fill="auto"/>
            <w:vAlign w:val="center"/>
          </w:tcPr>
          <w:p w14:paraId="3DEBF9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BC3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条</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36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01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03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A958">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8919">
            <w:pPr>
              <w:jc w:val="center"/>
              <w:rPr>
                <w:rFonts w:hint="eastAsia" w:ascii="宋体" w:hAnsi="宋体" w:eastAsia="宋体" w:cs="宋体"/>
                <w:i w:val="0"/>
                <w:iCs w:val="0"/>
                <w:color w:val="000000"/>
                <w:sz w:val="24"/>
                <w:szCs w:val="24"/>
                <w:u w:val="none"/>
              </w:rPr>
            </w:pPr>
          </w:p>
        </w:tc>
      </w:tr>
      <w:tr w14:paraId="56F79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7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2FD5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铁塔租赁</w:t>
            </w:r>
          </w:p>
        </w:tc>
        <w:tc>
          <w:tcPr>
            <w:tcW w:w="976" w:type="dxa"/>
            <w:vMerge w:val="continue"/>
            <w:tcBorders>
              <w:left w:val="single" w:color="000000" w:sz="4" w:space="0"/>
              <w:right w:val="single" w:color="000000" w:sz="4" w:space="0"/>
            </w:tcBorders>
            <w:shd w:val="clear" w:color="auto" w:fill="auto"/>
            <w:vAlign w:val="center"/>
          </w:tcPr>
          <w:p w14:paraId="5B16C8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E6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4F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DCE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D9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E26B">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C994">
            <w:pPr>
              <w:jc w:val="center"/>
              <w:rPr>
                <w:rFonts w:hint="eastAsia" w:ascii="宋体" w:hAnsi="宋体" w:eastAsia="宋体" w:cs="宋体"/>
                <w:i w:val="0"/>
                <w:iCs w:val="0"/>
                <w:color w:val="000000"/>
                <w:sz w:val="24"/>
                <w:szCs w:val="24"/>
                <w:u w:val="none"/>
              </w:rPr>
            </w:pPr>
          </w:p>
        </w:tc>
      </w:tr>
      <w:tr w14:paraId="7B5A1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02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B4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质保期间电费</w:t>
            </w:r>
          </w:p>
        </w:tc>
        <w:tc>
          <w:tcPr>
            <w:tcW w:w="976" w:type="dxa"/>
            <w:vMerge w:val="continue"/>
            <w:tcBorders>
              <w:left w:val="single" w:color="000000" w:sz="4" w:space="0"/>
              <w:right w:val="single" w:color="000000" w:sz="4" w:space="0"/>
            </w:tcBorders>
            <w:shd w:val="clear" w:color="auto" w:fill="auto"/>
            <w:vAlign w:val="center"/>
          </w:tcPr>
          <w:p w14:paraId="54C442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76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A1F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14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AF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0FF22">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E62C">
            <w:pPr>
              <w:jc w:val="center"/>
              <w:rPr>
                <w:rFonts w:hint="eastAsia" w:ascii="宋体" w:hAnsi="宋体" w:eastAsia="宋体" w:cs="宋体"/>
                <w:i w:val="0"/>
                <w:iCs w:val="0"/>
                <w:color w:val="000000"/>
                <w:sz w:val="24"/>
                <w:szCs w:val="24"/>
                <w:u w:val="none"/>
              </w:rPr>
            </w:pPr>
          </w:p>
        </w:tc>
      </w:tr>
      <w:tr w14:paraId="5CBD2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D05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DC4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防疲劳激光设备</w:t>
            </w:r>
          </w:p>
        </w:tc>
        <w:tc>
          <w:tcPr>
            <w:tcW w:w="976" w:type="dxa"/>
            <w:vMerge w:val="continue"/>
            <w:tcBorders>
              <w:left w:val="single" w:color="000000" w:sz="4" w:space="0"/>
              <w:right w:val="single" w:color="000000" w:sz="4" w:space="0"/>
            </w:tcBorders>
            <w:shd w:val="clear" w:color="auto" w:fill="auto"/>
            <w:vAlign w:val="center"/>
          </w:tcPr>
          <w:p w14:paraId="78E59F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D2A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0A1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34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DA9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5231D">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C914E">
            <w:pPr>
              <w:jc w:val="center"/>
              <w:rPr>
                <w:rFonts w:hint="eastAsia" w:ascii="宋体" w:hAnsi="宋体" w:eastAsia="宋体" w:cs="宋体"/>
                <w:i w:val="0"/>
                <w:iCs w:val="0"/>
                <w:color w:val="000000"/>
                <w:sz w:val="24"/>
                <w:szCs w:val="24"/>
                <w:u w:val="none"/>
              </w:rPr>
            </w:pPr>
          </w:p>
        </w:tc>
      </w:tr>
      <w:tr w14:paraId="51475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052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688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爆闪警示灯</w:t>
            </w:r>
          </w:p>
        </w:tc>
        <w:tc>
          <w:tcPr>
            <w:tcW w:w="976" w:type="dxa"/>
            <w:vMerge w:val="continue"/>
            <w:tcBorders>
              <w:left w:val="single" w:color="000000" w:sz="4" w:space="0"/>
              <w:right w:val="single" w:color="000000" w:sz="4" w:space="0"/>
            </w:tcBorders>
            <w:shd w:val="clear" w:color="auto" w:fill="auto"/>
            <w:vAlign w:val="center"/>
          </w:tcPr>
          <w:p w14:paraId="02A150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697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9E4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79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52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670D7">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B8BE2">
            <w:pPr>
              <w:jc w:val="center"/>
              <w:rPr>
                <w:rFonts w:hint="eastAsia" w:ascii="宋体" w:hAnsi="宋体" w:eastAsia="宋体" w:cs="宋体"/>
                <w:i w:val="0"/>
                <w:iCs w:val="0"/>
                <w:color w:val="000000"/>
                <w:sz w:val="24"/>
                <w:szCs w:val="24"/>
                <w:u w:val="none"/>
              </w:rPr>
            </w:pPr>
          </w:p>
        </w:tc>
      </w:tr>
      <w:tr w14:paraId="043DC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B17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F31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灯带</w:t>
            </w:r>
          </w:p>
        </w:tc>
        <w:tc>
          <w:tcPr>
            <w:tcW w:w="976" w:type="dxa"/>
            <w:vMerge w:val="continue"/>
            <w:tcBorders>
              <w:left w:val="single" w:color="000000" w:sz="4" w:space="0"/>
              <w:right w:val="single" w:color="000000" w:sz="4" w:space="0"/>
            </w:tcBorders>
            <w:shd w:val="clear" w:color="auto" w:fill="auto"/>
            <w:vAlign w:val="center"/>
          </w:tcPr>
          <w:p w14:paraId="14C618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2B7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379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9D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8C5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B8F96">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D013">
            <w:pPr>
              <w:jc w:val="center"/>
              <w:rPr>
                <w:rFonts w:hint="eastAsia" w:ascii="宋体" w:hAnsi="宋体" w:eastAsia="宋体" w:cs="宋体"/>
                <w:i w:val="0"/>
                <w:iCs w:val="0"/>
                <w:color w:val="000000"/>
                <w:sz w:val="24"/>
                <w:szCs w:val="24"/>
                <w:u w:val="none"/>
              </w:rPr>
            </w:pPr>
          </w:p>
        </w:tc>
      </w:tr>
      <w:tr w14:paraId="2B7E1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E3C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D0F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横向震荡线</w:t>
            </w:r>
          </w:p>
        </w:tc>
        <w:tc>
          <w:tcPr>
            <w:tcW w:w="976" w:type="dxa"/>
            <w:vMerge w:val="continue"/>
            <w:tcBorders>
              <w:left w:val="single" w:color="000000" w:sz="4" w:space="0"/>
              <w:right w:val="single" w:color="000000" w:sz="4" w:space="0"/>
            </w:tcBorders>
            <w:shd w:val="clear" w:color="auto" w:fill="auto"/>
            <w:vAlign w:val="center"/>
          </w:tcPr>
          <w:p w14:paraId="23D919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282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EC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873</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DC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ADA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36827">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7A3F">
            <w:pPr>
              <w:jc w:val="center"/>
              <w:rPr>
                <w:rFonts w:hint="eastAsia" w:ascii="宋体" w:hAnsi="宋体" w:eastAsia="宋体" w:cs="宋体"/>
                <w:i w:val="0"/>
                <w:iCs w:val="0"/>
                <w:color w:val="000000"/>
                <w:sz w:val="24"/>
                <w:szCs w:val="24"/>
                <w:u w:val="none"/>
              </w:rPr>
            </w:pPr>
          </w:p>
        </w:tc>
      </w:tr>
      <w:tr w14:paraId="42DD1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856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964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纵向减速标线</w:t>
            </w:r>
          </w:p>
        </w:tc>
        <w:tc>
          <w:tcPr>
            <w:tcW w:w="976" w:type="dxa"/>
            <w:vMerge w:val="continue"/>
            <w:tcBorders>
              <w:left w:val="single" w:color="000000" w:sz="4" w:space="0"/>
              <w:bottom w:val="single" w:color="000000" w:sz="4" w:space="0"/>
              <w:right w:val="single" w:color="000000" w:sz="4" w:space="0"/>
            </w:tcBorders>
            <w:shd w:val="clear" w:color="auto" w:fill="auto"/>
            <w:vAlign w:val="center"/>
          </w:tcPr>
          <w:p w14:paraId="23F256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A2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7C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684</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4ED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66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FB15">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9E8FA">
            <w:pPr>
              <w:jc w:val="center"/>
              <w:rPr>
                <w:rFonts w:hint="eastAsia" w:ascii="宋体" w:hAnsi="宋体" w:eastAsia="宋体" w:cs="宋体"/>
                <w:i w:val="0"/>
                <w:iCs w:val="0"/>
                <w:color w:val="000000"/>
                <w:sz w:val="24"/>
                <w:szCs w:val="24"/>
                <w:u w:val="none"/>
              </w:rPr>
            </w:pPr>
          </w:p>
        </w:tc>
      </w:tr>
      <w:tr w14:paraId="7C649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676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6D9FE">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t>三、后端存储扩容部分</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10BD">
            <w:pPr>
              <w:jc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EBE19">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4A2F">
            <w:pPr>
              <w:jc w:val="center"/>
              <w:rPr>
                <w:rFonts w:hint="eastAsia" w:ascii="宋体" w:hAnsi="宋体" w:eastAsia="宋体" w:cs="宋体"/>
                <w:i w:val="0"/>
                <w:iCs w:val="0"/>
                <w:color w:val="000000"/>
                <w:sz w:val="24"/>
                <w:szCs w:val="24"/>
                <w:u w:val="none"/>
              </w:rPr>
            </w:pPr>
          </w:p>
        </w:tc>
      </w:tr>
      <w:tr w14:paraId="5B57A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2B4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6F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云存储服务器</w:t>
            </w:r>
          </w:p>
        </w:tc>
        <w:tc>
          <w:tcPr>
            <w:tcW w:w="976" w:type="dxa"/>
            <w:vMerge w:val="restart"/>
            <w:tcBorders>
              <w:top w:val="single" w:color="000000" w:sz="4" w:space="0"/>
              <w:left w:val="single" w:color="000000" w:sz="4" w:space="0"/>
              <w:right w:val="single" w:color="000000" w:sz="4" w:space="0"/>
            </w:tcBorders>
            <w:shd w:val="clear" w:color="auto" w:fill="auto"/>
            <w:vAlign w:val="center"/>
          </w:tcPr>
          <w:p w14:paraId="5E8D92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详见“技术要求响应及偏离表”</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ED7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23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6C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F63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296E">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368F">
            <w:pPr>
              <w:jc w:val="center"/>
              <w:rPr>
                <w:rFonts w:hint="eastAsia" w:ascii="宋体" w:hAnsi="宋体" w:eastAsia="宋体" w:cs="宋体"/>
                <w:i w:val="0"/>
                <w:iCs w:val="0"/>
                <w:color w:val="000000"/>
                <w:sz w:val="24"/>
                <w:szCs w:val="24"/>
                <w:u w:val="none"/>
              </w:rPr>
            </w:pPr>
          </w:p>
        </w:tc>
      </w:tr>
      <w:tr w14:paraId="4D946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2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A9D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硬盘企业级硬盘</w:t>
            </w:r>
          </w:p>
        </w:tc>
        <w:tc>
          <w:tcPr>
            <w:tcW w:w="976" w:type="dxa"/>
            <w:vMerge w:val="continue"/>
            <w:tcBorders>
              <w:left w:val="single" w:color="000000" w:sz="4" w:space="0"/>
              <w:right w:val="single" w:color="000000" w:sz="4" w:space="0"/>
            </w:tcBorders>
            <w:shd w:val="clear" w:color="auto" w:fill="auto"/>
            <w:vAlign w:val="center"/>
          </w:tcPr>
          <w:p w14:paraId="1E710A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A07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E76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6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E9C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16218">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DFCE8">
            <w:pPr>
              <w:jc w:val="center"/>
              <w:rPr>
                <w:rFonts w:hint="eastAsia" w:ascii="宋体" w:hAnsi="宋体" w:eastAsia="宋体" w:cs="宋体"/>
                <w:i w:val="0"/>
                <w:iCs w:val="0"/>
                <w:color w:val="000000"/>
                <w:sz w:val="24"/>
                <w:szCs w:val="24"/>
                <w:u w:val="none"/>
              </w:rPr>
            </w:pPr>
          </w:p>
        </w:tc>
      </w:tr>
      <w:tr w14:paraId="0B965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E35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11F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非现场取证备案</w:t>
            </w:r>
          </w:p>
        </w:tc>
        <w:tc>
          <w:tcPr>
            <w:tcW w:w="976" w:type="dxa"/>
            <w:vMerge w:val="continue"/>
            <w:tcBorders>
              <w:left w:val="single" w:color="000000" w:sz="4" w:space="0"/>
              <w:bottom w:val="single" w:color="000000" w:sz="4" w:space="0"/>
              <w:right w:val="single" w:color="000000" w:sz="4" w:space="0"/>
            </w:tcBorders>
            <w:shd w:val="clear" w:color="auto" w:fill="auto"/>
            <w:vAlign w:val="center"/>
          </w:tcPr>
          <w:p w14:paraId="6A9640E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564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点位</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A9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3A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872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2032B">
            <w:pPr>
              <w:jc w:val="center"/>
              <w:rPr>
                <w:rFonts w:hint="eastAsia" w:ascii="宋体" w:hAnsi="宋体" w:eastAsia="宋体" w:cs="宋体"/>
                <w:i w:val="0"/>
                <w:iCs w:val="0"/>
                <w:color w:val="000000"/>
                <w:sz w:val="24"/>
                <w:szCs w:val="24"/>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E29C">
            <w:pPr>
              <w:jc w:val="center"/>
              <w:rPr>
                <w:rFonts w:hint="eastAsia" w:ascii="宋体" w:hAnsi="宋体" w:eastAsia="宋体" w:cs="宋体"/>
                <w:i w:val="0"/>
                <w:iCs w:val="0"/>
                <w:color w:val="000000"/>
                <w:sz w:val="24"/>
                <w:szCs w:val="24"/>
                <w:u w:val="none"/>
              </w:rPr>
            </w:pPr>
          </w:p>
        </w:tc>
      </w:tr>
      <w:tr w14:paraId="1E415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55"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A88E">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总价</w:t>
            </w:r>
          </w:p>
        </w:tc>
      </w:tr>
      <w:bookmarkEnd w:id="213"/>
    </w:tbl>
    <w:p w14:paraId="2FD522EB">
      <w:pPr>
        <w:pStyle w:val="99"/>
        <w:spacing w:beforeAutospacing="0" w:afterAutospacing="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项目采用全费用综合单价报价，投标人应按规定格式报价，该报价应包括但不限于设备材料价格【含全套设备（包括主设备、配套设备、附件等）、管线、基础、支架及其它安装所需辅材、配件、备品备件、技术资料等】、软件价格（含设计、开发、优化、升级等）、直接和间接成本费、材料损耗费、大型机械进出场及安拆费、劳务费、竣工面的清洁费、垃圾清运费、包装费、运杂费（含运输费）、装卸费、调试（含试运行）费、系统集成费、保修费、保险费、配合费、安装费、检测费、技术（含操作、维护等）培训、维护、升级、保密及售后服务费、管理费、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p>
    <w:p w14:paraId="0005FFA8">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p>
    <w:p w14:paraId="75390AFC">
      <w:pPr>
        <w:pStyle w:val="259"/>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三</w:t>
      </w:r>
      <w:r>
        <w:rPr>
          <w:rFonts w:hint="eastAsia" w:ascii="黑体" w:hAnsi="宋体" w:eastAsia="黑体" w:cs="黑体"/>
          <w:b/>
          <w:i/>
          <w:color w:val="auto"/>
          <w:sz w:val="32"/>
          <w:szCs w:val="32"/>
          <w:highlight w:val="none"/>
          <w:u w:val="single"/>
        </w:rPr>
        <w:t>、</w:t>
      </w:r>
      <w:bookmarkStart w:id="214" w:name="OLE_LINK25"/>
      <w:r>
        <w:rPr>
          <w:rFonts w:hint="eastAsia" w:ascii="黑体" w:hAnsi="宋体" w:eastAsia="黑体" w:cs="黑体"/>
          <w:b/>
          <w:i/>
          <w:color w:val="auto"/>
          <w:sz w:val="32"/>
          <w:szCs w:val="32"/>
          <w:highlight w:val="none"/>
          <w:u w:val="single"/>
        </w:rPr>
        <w:t>技术要求响应及偏离表（分包号：**）</w:t>
      </w:r>
    </w:p>
    <w:tbl>
      <w:tblPr>
        <w:tblStyle w:val="30"/>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2FD9FC7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551D20E">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2096901">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94DF13D">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31F92C0">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E7AF3E3">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证明</w:t>
            </w:r>
          </w:p>
          <w:p w14:paraId="48DA6213">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材料</w:t>
            </w:r>
          </w:p>
        </w:tc>
      </w:tr>
      <w:tr w14:paraId="5E4C022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55227EE">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577CA44">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9A2A993">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ACE0692">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AF47A14">
            <w:pPr>
              <w:pStyle w:val="259"/>
              <w:spacing w:beforeAutospacing="0" w:afterAutospacing="0"/>
              <w:jc w:val="center"/>
              <w:rPr>
                <w:color w:val="auto"/>
                <w:sz w:val="21"/>
                <w:szCs w:val="21"/>
                <w:highlight w:val="none"/>
              </w:rPr>
            </w:pPr>
            <w:r>
              <w:rPr>
                <w:color w:val="auto"/>
                <w:sz w:val="21"/>
                <w:szCs w:val="21"/>
                <w:highlight w:val="none"/>
              </w:rPr>
              <w:t> </w:t>
            </w:r>
          </w:p>
        </w:tc>
      </w:tr>
      <w:tr w14:paraId="75A7D97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1FAB44C">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A873AAD">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1033F1F">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CA0AC89">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99C0D41">
            <w:pPr>
              <w:pStyle w:val="259"/>
              <w:spacing w:beforeAutospacing="0" w:afterAutospacing="0"/>
              <w:jc w:val="center"/>
              <w:rPr>
                <w:color w:val="auto"/>
                <w:sz w:val="21"/>
                <w:szCs w:val="21"/>
                <w:highlight w:val="none"/>
              </w:rPr>
            </w:pPr>
            <w:r>
              <w:rPr>
                <w:color w:val="auto"/>
                <w:sz w:val="21"/>
                <w:szCs w:val="21"/>
                <w:highlight w:val="none"/>
              </w:rPr>
              <w:t> </w:t>
            </w:r>
          </w:p>
        </w:tc>
      </w:tr>
      <w:tr w14:paraId="1B6CD58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91DB726">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3B3A92D">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D1FDBF3">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B00BC37">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B66BEEC">
            <w:pPr>
              <w:pStyle w:val="259"/>
              <w:spacing w:beforeAutospacing="0" w:afterAutospacing="0"/>
              <w:jc w:val="center"/>
              <w:rPr>
                <w:color w:val="auto"/>
                <w:sz w:val="21"/>
                <w:szCs w:val="21"/>
                <w:highlight w:val="none"/>
              </w:rPr>
            </w:pPr>
            <w:r>
              <w:rPr>
                <w:color w:val="auto"/>
                <w:sz w:val="21"/>
                <w:szCs w:val="21"/>
                <w:highlight w:val="none"/>
              </w:rPr>
              <w:t> </w:t>
            </w:r>
          </w:p>
        </w:tc>
      </w:tr>
      <w:tr w14:paraId="695E75B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51C840D">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251FC53">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D925EF2">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CCFB319">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DE7D68C">
            <w:pPr>
              <w:pStyle w:val="259"/>
              <w:spacing w:beforeAutospacing="0" w:afterAutospacing="0"/>
              <w:jc w:val="center"/>
              <w:rPr>
                <w:color w:val="auto"/>
                <w:sz w:val="21"/>
                <w:szCs w:val="21"/>
                <w:highlight w:val="none"/>
              </w:rPr>
            </w:pPr>
            <w:r>
              <w:rPr>
                <w:color w:val="auto"/>
                <w:sz w:val="21"/>
                <w:szCs w:val="21"/>
                <w:highlight w:val="none"/>
              </w:rPr>
              <w:t> </w:t>
            </w:r>
          </w:p>
        </w:tc>
      </w:tr>
      <w:tr w14:paraId="249623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F371430">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4BCFD01">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22286B4">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A355ED4">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8D2DBA9">
            <w:pPr>
              <w:pStyle w:val="259"/>
              <w:spacing w:beforeAutospacing="0" w:afterAutospacing="0"/>
              <w:jc w:val="center"/>
              <w:rPr>
                <w:color w:val="auto"/>
                <w:sz w:val="21"/>
                <w:szCs w:val="21"/>
                <w:highlight w:val="none"/>
              </w:rPr>
            </w:pPr>
            <w:r>
              <w:rPr>
                <w:color w:val="auto"/>
                <w:sz w:val="21"/>
                <w:szCs w:val="21"/>
                <w:highlight w:val="none"/>
              </w:rPr>
              <w:t> </w:t>
            </w:r>
          </w:p>
        </w:tc>
      </w:tr>
      <w:tr w14:paraId="0D58547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5E7791A">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77A2EF5">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D37DE36">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886346F">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C2468EB">
            <w:pPr>
              <w:pStyle w:val="259"/>
              <w:spacing w:beforeAutospacing="0" w:afterAutospacing="0"/>
              <w:jc w:val="center"/>
              <w:rPr>
                <w:color w:val="auto"/>
                <w:sz w:val="21"/>
                <w:szCs w:val="21"/>
                <w:highlight w:val="none"/>
              </w:rPr>
            </w:pPr>
            <w:r>
              <w:rPr>
                <w:color w:val="auto"/>
                <w:sz w:val="21"/>
                <w:szCs w:val="21"/>
                <w:highlight w:val="none"/>
              </w:rPr>
              <w:t> </w:t>
            </w:r>
          </w:p>
        </w:tc>
      </w:tr>
      <w:tr w14:paraId="14F76BF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A3BA7BB">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EA9052A">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BA68BD2">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DCEF230">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1BC3284">
            <w:pPr>
              <w:pStyle w:val="259"/>
              <w:spacing w:beforeAutospacing="0" w:afterAutospacing="0"/>
              <w:jc w:val="center"/>
              <w:rPr>
                <w:color w:val="auto"/>
                <w:sz w:val="21"/>
                <w:szCs w:val="21"/>
                <w:highlight w:val="none"/>
              </w:rPr>
            </w:pPr>
            <w:r>
              <w:rPr>
                <w:color w:val="auto"/>
                <w:sz w:val="21"/>
                <w:szCs w:val="21"/>
                <w:highlight w:val="none"/>
              </w:rPr>
              <w:t> </w:t>
            </w:r>
          </w:p>
        </w:tc>
      </w:tr>
      <w:tr w14:paraId="268A405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18BDD79">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7B2CEFD">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69E9BF4">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E02E0DC">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1EA55BF">
            <w:pPr>
              <w:pStyle w:val="259"/>
              <w:spacing w:beforeAutospacing="0" w:afterAutospacing="0"/>
              <w:jc w:val="center"/>
              <w:rPr>
                <w:color w:val="auto"/>
                <w:sz w:val="21"/>
                <w:szCs w:val="21"/>
                <w:highlight w:val="none"/>
              </w:rPr>
            </w:pPr>
            <w:r>
              <w:rPr>
                <w:color w:val="auto"/>
                <w:sz w:val="21"/>
                <w:szCs w:val="21"/>
                <w:highlight w:val="none"/>
              </w:rPr>
              <w:t> </w:t>
            </w:r>
          </w:p>
        </w:tc>
      </w:tr>
    </w:tbl>
    <w:p w14:paraId="739962E5">
      <w:pPr>
        <w:pStyle w:val="259"/>
        <w:spacing w:beforeAutospacing="0" w:afterAutospacing="0"/>
        <w:jc w:val="both"/>
        <w:rPr>
          <w:color w:val="auto"/>
          <w:highlight w:val="none"/>
        </w:rPr>
      </w:pPr>
      <w:r>
        <w:rPr>
          <w:rFonts w:hint="eastAsia" w:ascii="宋体" w:hAnsi="宋体" w:cs="宋体"/>
          <w:color w:val="auto"/>
          <w:sz w:val="21"/>
          <w:szCs w:val="21"/>
          <w:highlight w:val="none"/>
        </w:rPr>
        <w:t>注： 行数不够，可自行添加。</w:t>
      </w:r>
      <w:bookmarkEnd w:id="214"/>
    </w:p>
    <w:p w14:paraId="4284B0AF">
      <w:pPr>
        <w:pStyle w:val="259"/>
        <w:spacing w:beforeAutospacing="0" w:afterAutospacing="0"/>
        <w:jc w:val="center"/>
        <w:rPr>
          <w:color w:val="auto"/>
          <w:highlight w:val="none"/>
        </w:rPr>
      </w:pPr>
      <w:r>
        <w:rPr>
          <w:color w:val="auto"/>
          <w:highlight w:val="none"/>
        </w:rPr>
        <w:t> </w:t>
      </w:r>
    </w:p>
    <w:p w14:paraId="0E0EE4D1">
      <w:pPr>
        <w:pStyle w:val="259"/>
        <w:spacing w:beforeAutospacing="0" w:afterAutospacing="0"/>
        <w:jc w:val="center"/>
        <w:rPr>
          <w:color w:val="auto"/>
          <w:highlight w:val="none"/>
        </w:rPr>
      </w:pPr>
      <w:r>
        <w:rPr>
          <w:color w:val="auto"/>
          <w:highlight w:val="none"/>
        </w:rPr>
        <w:t> </w:t>
      </w:r>
    </w:p>
    <w:p w14:paraId="5A0AE07C">
      <w:pPr>
        <w:pStyle w:val="259"/>
        <w:spacing w:beforeAutospacing="0" w:afterAutospacing="0"/>
        <w:jc w:val="center"/>
        <w:rPr>
          <w:color w:val="auto"/>
          <w:highlight w:val="none"/>
        </w:rPr>
      </w:pPr>
      <w:r>
        <w:rPr>
          <w:color w:val="auto"/>
          <w:highlight w:val="none"/>
        </w:rPr>
        <w:t> </w:t>
      </w:r>
    </w:p>
    <w:p w14:paraId="0DF0B99D">
      <w:pPr>
        <w:pStyle w:val="259"/>
        <w:spacing w:beforeAutospacing="0" w:afterAutospacing="0"/>
        <w:jc w:val="center"/>
        <w:rPr>
          <w:color w:val="auto"/>
          <w:highlight w:val="none"/>
        </w:rPr>
      </w:pPr>
      <w:r>
        <w:rPr>
          <w:color w:val="auto"/>
          <w:highlight w:val="none"/>
        </w:rPr>
        <w:t> </w:t>
      </w:r>
    </w:p>
    <w:p w14:paraId="63533908">
      <w:pPr>
        <w:pStyle w:val="259"/>
        <w:spacing w:beforeAutospacing="0" w:afterAutospacing="0"/>
        <w:jc w:val="both"/>
        <w:rPr>
          <w:color w:val="auto"/>
          <w:highlight w:val="none"/>
        </w:rPr>
      </w:pPr>
      <w:r>
        <w:rPr>
          <w:color w:val="auto"/>
          <w:highlight w:val="none"/>
        </w:rPr>
        <w:t> </w:t>
      </w:r>
    </w:p>
    <w:p w14:paraId="7EE64D34">
      <w:pPr>
        <w:pStyle w:val="259"/>
        <w:spacing w:beforeAutospacing="0" w:afterAutospacing="0"/>
        <w:jc w:val="both"/>
        <w:rPr>
          <w:color w:val="auto"/>
          <w:highlight w:val="none"/>
        </w:rPr>
      </w:pPr>
      <w:r>
        <w:rPr>
          <w:color w:val="auto"/>
          <w:highlight w:val="none"/>
        </w:rPr>
        <w:t> </w:t>
      </w:r>
    </w:p>
    <w:p w14:paraId="638CAD4D">
      <w:pPr>
        <w:pStyle w:val="259"/>
        <w:spacing w:beforeAutospacing="0" w:afterAutospacing="0"/>
        <w:jc w:val="both"/>
        <w:rPr>
          <w:color w:val="auto"/>
          <w:highlight w:val="none"/>
        </w:rPr>
      </w:pPr>
      <w:r>
        <w:rPr>
          <w:color w:val="auto"/>
          <w:highlight w:val="none"/>
        </w:rPr>
        <w:t> </w:t>
      </w:r>
    </w:p>
    <w:p w14:paraId="7B32ADF8">
      <w:pPr>
        <w:pStyle w:val="259"/>
        <w:spacing w:beforeAutospacing="0" w:afterAutospacing="0"/>
        <w:jc w:val="both"/>
        <w:rPr>
          <w:color w:val="auto"/>
          <w:highlight w:val="none"/>
        </w:rPr>
      </w:pPr>
      <w:r>
        <w:rPr>
          <w:color w:val="auto"/>
          <w:highlight w:val="none"/>
        </w:rPr>
        <w:t> </w:t>
      </w:r>
    </w:p>
    <w:p w14:paraId="0522A7D4">
      <w:pPr>
        <w:pStyle w:val="259"/>
        <w:spacing w:beforeAutospacing="0" w:afterAutospacing="0"/>
        <w:jc w:val="both"/>
        <w:rPr>
          <w:color w:val="auto"/>
          <w:highlight w:val="none"/>
        </w:rPr>
      </w:pPr>
      <w:r>
        <w:rPr>
          <w:color w:val="auto"/>
          <w:highlight w:val="none"/>
        </w:rPr>
        <w:t> </w:t>
      </w:r>
    </w:p>
    <w:p w14:paraId="5B7F0869">
      <w:pPr>
        <w:pStyle w:val="259"/>
        <w:spacing w:beforeAutospacing="0" w:afterAutospacing="0"/>
        <w:jc w:val="both"/>
        <w:rPr>
          <w:color w:val="auto"/>
          <w:highlight w:val="none"/>
        </w:rPr>
      </w:pPr>
    </w:p>
    <w:p w14:paraId="4A6122BC">
      <w:pPr>
        <w:pStyle w:val="259"/>
        <w:spacing w:beforeAutospacing="0" w:afterAutospacing="0"/>
        <w:jc w:val="both"/>
        <w:rPr>
          <w:color w:val="auto"/>
          <w:highlight w:val="none"/>
        </w:rPr>
      </w:pPr>
    </w:p>
    <w:p w14:paraId="1273803E">
      <w:pPr>
        <w:pStyle w:val="259"/>
        <w:spacing w:beforeAutospacing="0" w:afterAutospacing="0"/>
        <w:jc w:val="both"/>
        <w:rPr>
          <w:color w:val="auto"/>
          <w:highlight w:val="none"/>
        </w:rPr>
      </w:pPr>
    </w:p>
    <w:p w14:paraId="5017B3C3">
      <w:pPr>
        <w:pStyle w:val="259"/>
        <w:spacing w:beforeAutospacing="0" w:afterAutospacing="0"/>
        <w:jc w:val="both"/>
        <w:rPr>
          <w:color w:val="auto"/>
          <w:highlight w:val="none"/>
        </w:rPr>
      </w:pPr>
    </w:p>
    <w:p w14:paraId="6A77D305">
      <w:pPr>
        <w:pStyle w:val="259"/>
        <w:spacing w:beforeAutospacing="0" w:afterAutospacing="0"/>
        <w:jc w:val="both"/>
        <w:rPr>
          <w:color w:val="auto"/>
          <w:highlight w:val="none"/>
        </w:rPr>
      </w:pPr>
    </w:p>
    <w:p w14:paraId="12A223A9">
      <w:pPr>
        <w:pStyle w:val="259"/>
        <w:spacing w:beforeAutospacing="0" w:afterAutospacing="0"/>
        <w:jc w:val="both"/>
        <w:rPr>
          <w:color w:val="auto"/>
          <w:highlight w:val="none"/>
        </w:rPr>
      </w:pPr>
    </w:p>
    <w:p w14:paraId="0631B469">
      <w:pPr>
        <w:pStyle w:val="259"/>
        <w:spacing w:beforeAutospacing="0" w:afterAutospacing="0"/>
        <w:jc w:val="both"/>
        <w:rPr>
          <w:color w:val="auto"/>
          <w:highlight w:val="none"/>
        </w:rPr>
      </w:pPr>
    </w:p>
    <w:p w14:paraId="26F8F8B8">
      <w:pPr>
        <w:pStyle w:val="259"/>
        <w:spacing w:beforeAutospacing="0" w:afterAutospacing="0"/>
        <w:jc w:val="both"/>
        <w:rPr>
          <w:color w:val="auto"/>
          <w:highlight w:val="none"/>
        </w:rPr>
      </w:pPr>
    </w:p>
    <w:p w14:paraId="36403E57">
      <w:pPr>
        <w:pStyle w:val="259"/>
        <w:spacing w:beforeAutospacing="0" w:afterAutospacing="0"/>
        <w:jc w:val="both"/>
        <w:rPr>
          <w:color w:val="auto"/>
          <w:highlight w:val="none"/>
        </w:rPr>
      </w:pPr>
    </w:p>
    <w:p w14:paraId="54352C41">
      <w:pPr>
        <w:pStyle w:val="259"/>
        <w:spacing w:beforeAutospacing="0" w:afterAutospacing="0"/>
        <w:jc w:val="both"/>
        <w:rPr>
          <w:color w:val="auto"/>
          <w:highlight w:val="none"/>
        </w:rPr>
      </w:pPr>
    </w:p>
    <w:p w14:paraId="05CC49AA">
      <w:pPr>
        <w:pStyle w:val="259"/>
        <w:spacing w:beforeAutospacing="0" w:afterAutospacing="0"/>
        <w:jc w:val="both"/>
        <w:rPr>
          <w:color w:val="auto"/>
          <w:highlight w:val="none"/>
        </w:rPr>
      </w:pPr>
    </w:p>
    <w:p w14:paraId="039E77C9">
      <w:pPr>
        <w:pStyle w:val="259"/>
        <w:spacing w:beforeAutospacing="0" w:afterAutospacing="0"/>
        <w:jc w:val="both"/>
        <w:rPr>
          <w:color w:val="auto"/>
          <w:highlight w:val="none"/>
        </w:rPr>
      </w:pPr>
    </w:p>
    <w:p w14:paraId="4ED85213">
      <w:pPr>
        <w:pStyle w:val="259"/>
        <w:spacing w:beforeAutospacing="0" w:afterAutospacing="0"/>
        <w:jc w:val="both"/>
        <w:rPr>
          <w:color w:val="auto"/>
          <w:highlight w:val="none"/>
        </w:rPr>
      </w:pPr>
    </w:p>
    <w:p w14:paraId="7E16D8C3">
      <w:pPr>
        <w:pStyle w:val="259"/>
        <w:spacing w:beforeAutospacing="0" w:afterAutospacing="0"/>
        <w:jc w:val="both"/>
        <w:rPr>
          <w:color w:val="auto"/>
          <w:highlight w:val="none"/>
        </w:rPr>
      </w:pPr>
    </w:p>
    <w:p w14:paraId="4C7F83B8">
      <w:pPr>
        <w:pStyle w:val="259"/>
        <w:spacing w:beforeAutospacing="0" w:afterAutospacing="0"/>
        <w:jc w:val="both"/>
        <w:rPr>
          <w:color w:val="auto"/>
          <w:highlight w:val="none"/>
        </w:rPr>
      </w:pPr>
      <w:r>
        <w:rPr>
          <w:color w:val="auto"/>
          <w:highlight w:val="none"/>
        </w:rPr>
        <w:t> </w:t>
      </w:r>
    </w:p>
    <w:p w14:paraId="2C3EBD5B">
      <w:pPr>
        <w:pStyle w:val="259"/>
        <w:spacing w:beforeAutospacing="0" w:afterAutospacing="0"/>
        <w:jc w:val="center"/>
        <w:rPr>
          <w:rFonts w:hint="eastAsia" w:ascii="黑体" w:hAnsi="宋体" w:eastAsia="黑体" w:cs="黑体"/>
          <w:b/>
          <w:color w:val="auto"/>
          <w:sz w:val="32"/>
          <w:szCs w:val="32"/>
          <w:highlight w:val="none"/>
        </w:rPr>
      </w:pPr>
      <w:bookmarkStart w:id="215" w:name="_Hlt26955054"/>
    </w:p>
    <w:p w14:paraId="2223A472">
      <w:pPr>
        <w:pStyle w:val="259"/>
        <w:keepNext/>
        <w:keepLines/>
        <w:spacing w:before="260" w:beforeAutospacing="0" w:after="260" w:afterAutospacing="0" w:line="415" w:lineRule="auto"/>
        <w:jc w:val="cente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w:t>
      </w:r>
      <w:bookmarkStart w:id="216" w:name="OLE_LINK18"/>
      <w:bookmarkStart w:id="217" w:name="OLE_LINK24"/>
      <w:r>
        <w:rPr>
          <w:rFonts w:hint="eastAsia" w:ascii="黑体" w:hAnsi="宋体" w:eastAsia="黑体" w:cs="黑体"/>
          <w:b/>
          <w:i/>
          <w:color w:val="auto"/>
          <w:sz w:val="32"/>
          <w:szCs w:val="32"/>
          <w:highlight w:val="none"/>
          <w:u w:val="single"/>
        </w:rPr>
        <w:t>商务要求响应及偏离表</w:t>
      </w:r>
      <w:bookmarkEnd w:id="216"/>
      <w:r>
        <w:rPr>
          <w:rFonts w:hint="eastAsia" w:ascii="黑体" w:hAnsi="宋体" w:eastAsia="黑体" w:cs="黑体"/>
          <w:b/>
          <w:i/>
          <w:color w:val="auto"/>
          <w:sz w:val="32"/>
          <w:szCs w:val="32"/>
          <w:highlight w:val="none"/>
          <w:u w:val="single"/>
        </w:rPr>
        <w:t>（分包号：**）</w:t>
      </w:r>
    </w:p>
    <w:tbl>
      <w:tblPr>
        <w:tblStyle w:val="30"/>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33F1E64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6858EBC">
            <w:pPr>
              <w:pStyle w:val="259"/>
              <w:spacing w:beforeAutospacing="0" w:afterAutospacing="0"/>
              <w:jc w:val="center"/>
              <w:rPr>
                <w:color w:val="auto"/>
                <w:sz w:val="21"/>
                <w:szCs w:val="21"/>
                <w:highlight w:val="none"/>
              </w:rPr>
            </w:pPr>
            <w:bookmarkStart w:id="218" w:name="_Hlt26609391"/>
            <w:bookmarkStart w:id="219" w:name="_Hlt26955064"/>
            <w:bookmarkStart w:id="220" w:name="_Hlt26782999"/>
            <w:bookmarkStart w:id="221" w:name="_Hlt26955056"/>
            <w:bookmarkStart w:id="222" w:name="_Hlt24879081"/>
            <w:bookmarkStart w:id="223" w:name="_Hlt26671343"/>
            <w:bookmarkStart w:id="224" w:name="_Hlt26580838"/>
            <w:bookmarkStart w:id="225" w:name="_Hlt26671372"/>
            <w:bookmarkStart w:id="226" w:name="OLE_LINK23"/>
            <w:r>
              <w:rPr>
                <w:rFonts w:hint="eastAsia" w:ascii="宋体" w:hAnsi="宋体" w:cs="宋体"/>
                <w:color w:val="auto"/>
                <w:sz w:val="21"/>
                <w:szCs w:val="21"/>
                <w:highlight w:val="none"/>
              </w:rPr>
              <w:t>序号</w:t>
            </w:r>
            <w:bookmarkEnd w:id="218"/>
            <w:bookmarkEnd w:id="219"/>
            <w:bookmarkEnd w:id="220"/>
            <w:bookmarkEnd w:id="221"/>
            <w:bookmarkEnd w:id="222"/>
            <w:bookmarkEnd w:id="223"/>
            <w:bookmarkEnd w:id="224"/>
            <w:bookmarkEnd w:id="225"/>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3FC289C">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4B2ADAE">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C2EC3DF">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170C8FA">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证明</w:t>
            </w:r>
          </w:p>
          <w:p w14:paraId="1CC470FF">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材料</w:t>
            </w:r>
          </w:p>
        </w:tc>
      </w:tr>
      <w:tr w14:paraId="41DC180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0813D94">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2521542">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92DF568">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B65AA86">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543680F">
            <w:pPr>
              <w:pStyle w:val="259"/>
              <w:spacing w:beforeAutospacing="0" w:afterAutospacing="0"/>
              <w:jc w:val="center"/>
              <w:rPr>
                <w:color w:val="auto"/>
                <w:sz w:val="21"/>
                <w:szCs w:val="21"/>
                <w:highlight w:val="none"/>
              </w:rPr>
            </w:pPr>
            <w:r>
              <w:rPr>
                <w:color w:val="auto"/>
                <w:sz w:val="21"/>
                <w:szCs w:val="21"/>
                <w:highlight w:val="none"/>
              </w:rPr>
              <w:t> </w:t>
            </w:r>
          </w:p>
        </w:tc>
      </w:tr>
      <w:tr w14:paraId="5883196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0DB1302">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E6B91B9">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E54E4E7">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F48DE6B">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F027DF7">
            <w:pPr>
              <w:pStyle w:val="259"/>
              <w:spacing w:beforeAutospacing="0" w:afterAutospacing="0"/>
              <w:jc w:val="center"/>
              <w:rPr>
                <w:color w:val="auto"/>
                <w:sz w:val="21"/>
                <w:szCs w:val="21"/>
                <w:highlight w:val="none"/>
              </w:rPr>
            </w:pPr>
            <w:r>
              <w:rPr>
                <w:color w:val="auto"/>
                <w:sz w:val="21"/>
                <w:szCs w:val="21"/>
                <w:highlight w:val="none"/>
              </w:rPr>
              <w:t> </w:t>
            </w:r>
          </w:p>
        </w:tc>
      </w:tr>
      <w:tr w14:paraId="5B68B8A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53BC8E4">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C3A9CB5">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8B5F73D">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6EE9BC5">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FBCBA64">
            <w:pPr>
              <w:pStyle w:val="259"/>
              <w:spacing w:beforeAutospacing="0" w:afterAutospacing="0"/>
              <w:jc w:val="center"/>
              <w:rPr>
                <w:color w:val="auto"/>
                <w:sz w:val="21"/>
                <w:szCs w:val="21"/>
                <w:highlight w:val="none"/>
              </w:rPr>
            </w:pPr>
            <w:r>
              <w:rPr>
                <w:color w:val="auto"/>
                <w:sz w:val="21"/>
                <w:szCs w:val="21"/>
                <w:highlight w:val="none"/>
              </w:rPr>
              <w:t> </w:t>
            </w:r>
          </w:p>
        </w:tc>
      </w:tr>
      <w:tr w14:paraId="23D1EA7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563765E">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83D5FF5">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920F0FF">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36FAC3F">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0A1830">
            <w:pPr>
              <w:pStyle w:val="259"/>
              <w:spacing w:beforeAutospacing="0" w:afterAutospacing="0"/>
              <w:jc w:val="center"/>
              <w:rPr>
                <w:color w:val="auto"/>
                <w:sz w:val="21"/>
                <w:szCs w:val="21"/>
                <w:highlight w:val="none"/>
              </w:rPr>
            </w:pPr>
            <w:r>
              <w:rPr>
                <w:color w:val="auto"/>
                <w:sz w:val="21"/>
                <w:szCs w:val="21"/>
                <w:highlight w:val="none"/>
              </w:rPr>
              <w:t> </w:t>
            </w:r>
          </w:p>
        </w:tc>
      </w:tr>
      <w:tr w14:paraId="0ABDDB8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E623A44">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61EADA7">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FD2F73B">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68A839A">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D93DD4D">
            <w:pPr>
              <w:pStyle w:val="259"/>
              <w:spacing w:beforeAutospacing="0" w:afterAutospacing="0"/>
              <w:jc w:val="center"/>
              <w:rPr>
                <w:color w:val="auto"/>
                <w:sz w:val="21"/>
                <w:szCs w:val="21"/>
                <w:highlight w:val="none"/>
              </w:rPr>
            </w:pPr>
            <w:r>
              <w:rPr>
                <w:color w:val="auto"/>
                <w:sz w:val="21"/>
                <w:szCs w:val="21"/>
                <w:highlight w:val="none"/>
              </w:rPr>
              <w:t> </w:t>
            </w:r>
          </w:p>
        </w:tc>
      </w:tr>
      <w:tr w14:paraId="49F33A3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2946CF3">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D521714">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8EA3CDE">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01731A2">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02171A2">
            <w:pPr>
              <w:pStyle w:val="259"/>
              <w:spacing w:beforeAutospacing="0" w:afterAutospacing="0"/>
              <w:jc w:val="center"/>
              <w:rPr>
                <w:color w:val="auto"/>
                <w:sz w:val="21"/>
                <w:szCs w:val="21"/>
                <w:highlight w:val="none"/>
              </w:rPr>
            </w:pPr>
            <w:r>
              <w:rPr>
                <w:color w:val="auto"/>
                <w:sz w:val="21"/>
                <w:szCs w:val="21"/>
                <w:highlight w:val="none"/>
              </w:rPr>
              <w:t> </w:t>
            </w:r>
          </w:p>
        </w:tc>
      </w:tr>
      <w:tr w14:paraId="7AF99F2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067BE55">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F10B77C">
            <w:pPr>
              <w:pStyle w:val="259"/>
              <w:spacing w:beforeAutospacing="0" w:afterAutospacing="0"/>
              <w:jc w:val="center"/>
              <w:rPr>
                <w:color w:val="auto"/>
                <w:sz w:val="21"/>
                <w:szCs w:val="21"/>
                <w:highlight w:val="none"/>
              </w:rPr>
            </w:pPr>
            <w:r>
              <w:rPr>
                <w:color w:val="auto"/>
                <w:sz w:val="21"/>
                <w:szCs w:val="21"/>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4F33AB7">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6931F90">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176D46">
            <w:pPr>
              <w:pStyle w:val="259"/>
              <w:spacing w:beforeAutospacing="0" w:afterAutospacing="0"/>
              <w:jc w:val="center"/>
              <w:rPr>
                <w:color w:val="auto"/>
                <w:sz w:val="21"/>
                <w:szCs w:val="21"/>
                <w:highlight w:val="none"/>
              </w:rPr>
            </w:pPr>
            <w:r>
              <w:rPr>
                <w:color w:val="auto"/>
                <w:sz w:val="21"/>
                <w:szCs w:val="21"/>
                <w:highlight w:val="none"/>
              </w:rPr>
              <w:t> </w:t>
            </w:r>
          </w:p>
        </w:tc>
      </w:tr>
      <w:tr w14:paraId="6C238DB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174B566">
            <w:pPr>
              <w:pStyle w:val="259"/>
              <w:spacing w:beforeAutospacing="0" w:afterAutospacing="0"/>
              <w:jc w:val="center"/>
              <w:rPr>
                <w:color w:val="auto"/>
                <w:sz w:val="21"/>
                <w:szCs w:val="21"/>
                <w:highlight w:val="none"/>
              </w:rPr>
            </w:pPr>
            <w:r>
              <w:rPr>
                <w:color w:val="auto"/>
                <w:sz w:val="21"/>
                <w:szCs w:val="21"/>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64058F8">
            <w:pPr>
              <w:pStyle w:val="259"/>
              <w:spacing w:beforeAutospacing="0" w:afterAutospacing="0"/>
              <w:jc w:val="center"/>
              <w:rPr>
                <w:color w:val="auto"/>
                <w:sz w:val="21"/>
                <w:szCs w:val="21"/>
                <w:highlight w:val="none"/>
              </w:rPr>
            </w:pPr>
            <w:r>
              <w:rPr>
                <w:rFonts w:hint="eastAsia" w:ascii="宋体" w:hAnsi="宋体" w:cs="宋体"/>
                <w:color w:val="auto"/>
                <w:sz w:val="21"/>
                <w:szCs w:val="21"/>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FB5C5F0">
            <w:pPr>
              <w:pStyle w:val="259"/>
              <w:spacing w:beforeAutospacing="0" w:afterAutospacing="0"/>
              <w:jc w:val="center"/>
              <w:rPr>
                <w:color w:val="auto"/>
                <w:sz w:val="21"/>
                <w:szCs w:val="21"/>
                <w:highlight w:val="none"/>
              </w:rPr>
            </w:pPr>
            <w:r>
              <w:rPr>
                <w:color w:val="auto"/>
                <w:sz w:val="21"/>
                <w:szCs w:val="21"/>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AF5649B">
            <w:pPr>
              <w:pStyle w:val="259"/>
              <w:spacing w:beforeAutospacing="0" w:afterAutospacing="0"/>
              <w:jc w:val="center"/>
              <w:rPr>
                <w:color w:val="auto"/>
                <w:sz w:val="21"/>
                <w:szCs w:val="21"/>
                <w:highlight w:val="none"/>
              </w:rPr>
            </w:pPr>
            <w:r>
              <w:rPr>
                <w:color w:val="auto"/>
                <w:sz w:val="21"/>
                <w:szCs w:val="21"/>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91028B1">
            <w:pPr>
              <w:pStyle w:val="259"/>
              <w:spacing w:beforeAutospacing="0" w:afterAutospacing="0"/>
              <w:jc w:val="center"/>
              <w:rPr>
                <w:color w:val="auto"/>
                <w:sz w:val="21"/>
                <w:szCs w:val="21"/>
                <w:highlight w:val="none"/>
              </w:rPr>
            </w:pPr>
            <w:r>
              <w:rPr>
                <w:color w:val="auto"/>
                <w:sz w:val="21"/>
                <w:szCs w:val="21"/>
                <w:highlight w:val="none"/>
              </w:rPr>
              <w:t> </w:t>
            </w:r>
            <w:bookmarkEnd w:id="226"/>
          </w:p>
        </w:tc>
      </w:tr>
    </w:tbl>
    <w:p w14:paraId="3684F77D">
      <w:pPr>
        <w:pStyle w:val="259"/>
        <w:spacing w:beforeAutospacing="0" w:afterAutospacing="0"/>
        <w:jc w:val="both"/>
        <w:rPr>
          <w:color w:val="auto"/>
          <w:sz w:val="21"/>
          <w:szCs w:val="21"/>
          <w:highlight w:val="none"/>
        </w:rPr>
      </w:pPr>
      <w:r>
        <w:rPr>
          <w:rFonts w:hint="eastAsia" w:ascii="宋体" w:hAnsi="宋体" w:cs="宋体"/>
          <w:color w:val="auto"/>
          <w:sz w:val="21"/>
          <w:szCs w:val="21"/>
          <w:highlight w:val="none"/>
        </w:rPr>
        <w:t>注： 行数不够，可自行添加。</w:t>
      </w:r>
      <w:bookmarkEnd w:id="217"/>
    </w:p>
    <w:p w14:paraId="189F37DC">
      <w:pPr>
        <w:pStyle w:val="259"/>
        <w:spacing w:beforeAutospacing="0" w:afterAutospacing="0" w:line="480" w:lineRule="auto"/>
        <w:jc w:val="both"/>
        <w:rPr>
          <w:color w:val="auto"/>
          <w:highlight w:val="none"/>
        </w:rPr>
      </w:pPr>
      <w:r>
        <w:rPr>
          <w:color w:val="auto"/>
          <w:sz w:val="21"/>
          <w:szCs w:val="21"/>
          <w:highlight w:val="none"/>
        </w:rPr>
        <w:t> </w:t>
      </w:r>
    </w:p>
    <w:p w14:paraId="6ED1CB92">
      <w:pPr>
        <w:pStyle w:val="259"/>
        <w:spacing w:beforeAutospacing="0" w:afterAutospacing="0" w:line="480" w:lineRule="auto"/>
        <w:jc w:val="both"/>
        <w:rPr>
          <w:color w:val="auto"/>
          <w:highlight w:val="none"/>
        </w:rPr>
      </w:pPr>
      <w:r>
        <w:rPr>
          <w:color w:val="auto"/>
          <w:highlight w:val="none"/>
        </w:rPr>
        <w:t> </w:t>
      </w:r>
    </w:p>
    <w:p w14:paraId="79EF27EF">
      <w:pPr>
        <w:pStyle w:val="259"/>
        <w:spacing w:beforeAutospacing="0" w:afterAutospacing="0"/>
        <w:jc w:val="center"/>
        <w:rPr>
          <w:color w:val="auto"/>
          <w:highlight w:val="none"/>
        </w:rPr>
      </w:pPr>
      <w:bookmarkStart w:id="227" w:name="_Toc462564146"/>
      <w:bookmarkStart w:id="228" w:name="_Hlt26609389"/>
      <w:bookmarkStart w:id="229" w:name="_Hlt26671374"/>
      <w:bookmarkStart w:id="230" w:name="_格式2__法定代表人授权书"/>
      <w:bookmarkStart w:id="231" w:name="_Hlt26955066"/>
      <w:r>
        <w:rPr>
          <w:color w:val="auto"/>
          <w:highlight w:val="none"/>
        </w:rPr>
        <w:t> </w:t>
      </w:r>
    </w:p>
    <w:p w14:paraId="7F13F63D">
      <w:pPr>
        <w:pStyle w:val="259"/>
        <w:spacing w:beforeAutospacing="0" w:afterAutospacing="0"/>
        <w:jc w:val="center"/>
        <w:rPr>
          <w:color w:val="auto"/>
          <w:highlight w:val="none"/>
        </w:rPr>
      </w:pPr>
      <w:r>
        <w:rPr>
          <w:color w:val="auto"/>
          <w:highlight w:val="none"/>
        </w:rPr>
        <w:t> </w:t>
      </w:r>
    </w:p>
    <w:p w14:paraId="62F9009F">
      <w:pPr>
        <w:pStyle w:val="259"/>
        <w:spacing w:beforeAutospacing="0" w:afterAutospacing="0"/>
        <w:jc w:val="center"/>
        <w:rPr>
          <w:color w:val="auto"/>
          <w:highlight w:val="none"/>
        </w:rPr>
      </w:pPr>
      <w:r>
        <w:rPr>
          <w:color w:val="auto"/>
          <w:highlight w:val="none"/>
        </w:rPr>
        <w:t> </w:t>
      </w:r>
    </w:p>
    <w:p w14:paraId="7B875DCB">
      <w:pPr>
        <w:pStyle w:val="259"/>
        <w:spacing w:beforeAutospacing="0" w:afterAutospacing="0"/>
        <w:jc w:val="center"/>
        <w:rPr>
          <w:color w:val="auto"/>
          <w:highlight w:val="none"/>
        </w:rPr>
      </w:pPr>
      <w:r>
        <w:rPr>
          <w:color w:val="auto"/>
          <w:highlight w:val="none"/>
        </w:rPr>
        <w:t> </w:t>
      </w:r>
    </w:p>
    <w:p w14:paraId="63CA50DC">
      <w:pPr>
        <w:pStyle w:val="259"/>
        <w:spacing w:beforeAutospacing="0" w:afterAutospacing="0"/>
        <w:jc w:val="center"/>
        <w:rPr>
          <w:color w:val="auto"/>
          <w:highlight w:val="none"/>
        </w:rPr>
      </w:pPr>
      <w:r>
        <w:rPr>
          <w:color w:val="auto"/>
          <w:highlight w:val="none"/>
        </w:rPr>
        <w:t> </w:t>
      </w:r>
    </w:p>
    <w:p w14:paraId="5090957B">
      <w:pPr>
        <w:pStyle w:val="259"/>
        <w:spacing w:beforeAutospacing="0" w:afterAutospacing="0"/>
        <w:jc w:val="center"/>
        <w:rPr>
          <w:color w:val="auto"/>
          <w:highlight w:val="none"/>
        </w:rPr>
      </w:pPr>
      <w:r>
        <w:rPr>
          <w:color w:val="auto"/>
          <w:highlight w:val="none"/>
        </w:rPr>
        <w:t> </w:t>
      </w:r>
    </w:p>
    <w:p w14:paraId="436D98D1">
      <w:pPr>
        <w:pStyle w:val="259"/>
        <w:spacing w:beforeAutospacing="0" w:afterAutospacing="0"/>
        <w:jc w:val="center"/>
        <w:rPr>
          <w:color w:val="auto"/>
          <w:highlight w:val="none"/>
        </w:rPr>
      </w:pPr>
    </w:p>
    <w:p w14:paraId="207C5B24">
      <w:pPr>
        <w:pStyle w:val="259"/>
        <w:spacing w:beforeAutospacing="0" w:afterAutospacing="0"/>
        <w:jc w:val="center"/>
        <w:rPr>
          <w:color w:val="auto"/>
          <w:highlight w:val="none"/>
        </w:rPr>
      </w:pPr>
    </w:p>
    <w:p w14:paraId="77347845">
      <w:pPr>
        <w:pStyle w:val="259"/>
        <w:spacing w:beforeAutospacing="0" w:afterAutospacing="0"/>
        <w:jc w:val="center"/>
        <w:rPr>
          <w:color w:val="auto"/>
          <w:highlight w:val="none"/>
        </w:rPr>
      </w:pPr>
    </w:p>
    <w:p w14:paraId="34A26D45">
      <w:pPr>
        <w:pStyle w:val="259"/>
        <w:spacing w:beforeAutospacing="0" w:afterAutospacing="0"/>
        <w:jc w:val="center"/>
        <w:rPr>
          <w:color w:val="auto"/>
          <w:highlight w:val="none"/>
        </w:rPr>
      </w:pPr>
    </w:p>
    <w:p w14:paraId="18544618">
      <w:pPr>
        <w:pStyle w:val="259"/>
        <w:spacing w:beforeAutospacing="0" w:afterAutospacing="0"/>
        <w:jc w:val="center"/>
        <w:rPr>
          <w:color w:val="auto"/>
          <w:highlight w:val="none"/>
        </w:rPr>
      </w:pPr>
    </w:p>
    <w:p w14:paraId="31FBC97F">
      <w:pPr>
        <w:pStyle w:val="259"/>
        <w:spacing w:beforeAutospacing="0" w:afterAutospacing="0"/>
        <w:jc w:val="center"/>
        <w:rPr>
          <w:color w:val="auto"/>
          <w:highlight w:val="none"/>
        </w:rPr>
      </w:pPr>
    </w:p>
    <w:p w14:paraId="7C2C4517">
      <w:pPr>
        <w:pStyle w:val="259"/>
        <w:spacing w:beforeAutospacing="0" w:afterAutospacing="0"/>
        <w:jc w:val="center"/>
        <w:rPr>
          <w:color w:val="auto"/>
          <w:highlight w:val="none"/>
        </w:rPr>
      </w:pPr>
    </w:p>
    <w:p w14:paraId="07E050A7">
      <w:pPr>
        <w:pStyle w:val="259"/>
        <w:spacing w:beforeAutospacing="0" w:afterAutospacing="0"/>
        <w:jc w:val="center"/>
        <w:rPr>
          <w:color w:val="auto"/>
          <w:highlight w:val="none"/>
        </w:rPr>
      </w:pPr>
    </w:p>
    <w:p w14:paraId="2000A621">
      <w:pPr>
        <w:pStyle w:val="259"/>
        <w:spacing w:beforeAutospacing="0" w:afterAutospacing="0"/>
        <w:jc w:val="center"/>
        <w:rPr>
          <w:color w:val="auto"/>
          <w:highlight w:val="none"/>
        </w:rPr>
      </w:pPr>
    </w:p>
    <w:p w14:paraId="13947BD4">
      <w:pPr>
        <w:pStyle w:val="259"/>
        <w:spacing w:beforeAutospacing="0" w:afterAutospacing="0"/>
        <w:jc w:val="center"/>
        <w:rPr>
          <w:color w:val="auto"/>
          <w:highlight w:val="none"/>
        </w:rPr>
      </w:pPr>
      <w:r>
        <w:rPr>
          <w:color w:val="auto"/>
          <w:highlight w:val="none"/>
        </w:rPr>
        <w:t> </w:t>
      </w:r>
    </w:p>
    <w:p w14:paraId="791A0E40">
      <w:pPr>
        <w:pStyle w:val="259"/>
        <w:spacing w:beforeAutospacing="0" w:afterAutospacing="0"/>
        <w:jc w:val="center"/>
        <w:rPr>
          <w:color w:val="auto"/>
          <w:highlight w:val="none"/>
        </w:rPr>
      </w:pPr>
      <w:r>
        <w:rPr>
          <w:color w:val="auto"/>
          <w:highlight w:val="none"/>
        </w:rPr>
        <w:t> </w:t>
      </w:r>
    </w:p>
    <w:p w14:paraId="219639EC">
      <w:pPr>
        <w:pStyle w:val="259"/>
        <w:spacing w:beforeAutospacing="0" w:afterAutospacing="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w:t>
      </w:r>
    </w:p>
    <w:p w14:paraId="1C219CD7">
      <w:pPr>
        <w:pBdr>
          <w:top w:val="none" w:color="000000" w:sz="0" w:space="0"/>
          <w:left w:val="none" w:color="000000" w:sz="0" w:space="0"/>
          <w:bottom w:val="none" w:color="000000" w:sz="0" w:space="0"/>
          <w:right w:val="none" w:color="000000" w:sz="0" w:space="0"/>
        </w:pBdr>
        <w:spacing w:before="240" w:after="240"/>
        <w:ind w:left="0" w:right="0" w:firstLine="0"/>
        <w:jc w:val="center"/>
        <w:rPr>
          <w:color w:val="auto"/>
          <w:sz w:val="24"/>
          <w:szCs w:val="24"/>
          <w:highlight w:val="none"/>
        </w:rPr>
      </w:pPr>
    </w:p>
    <w:p w14:paraId="7679E744">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b/>
          <w:bCs/>
          <w:i/>
          <w:color w:val="auto"/>
          <w:sz w:val="32"/>
          <w:szCs w:val="32"/>
          <w:highlight w:val="none"/>
          <w:u w:val="single"/>
        </w:rPr>
      </w:pPr>
      <w:r>
        <w:rPr>
          <w:rFonts w:ascii="黑体" w:hAnsi="黑体" w:eastAsia="黑体" w:cs="黑体"/>
          <w:b/>
          <w:i/>
          <w:color w:val="auto"/>
          <w:sz w:val="32"/>
          <w:highlight w:val="none"/>
          <w:u w:val="single"/>
        </w:rPr>
        <w:br w:type="page" w:clear="all"/>
      </w:r>
      <w:r>
        <w:rPr>
          <w:rFonts w:ascii="黑体" w:hAnsi="黑体" w:eastAsia="黑体" w:cs="黑体"/>
          <w:b/>
          <w:i/>
          <w:color w:val="auto"/>
          <w:sz w:val="32"/>
          <w:highlight w:val="none"/>
          <w:u w:val="single"/>
        </w:rPr>
        <w:t>十</w:t>
      </w:r>
      <w:r>
        <w:rPr>
          <w:rFonts w:hint="eastAsia" w:ascii="黑体" w:hAnsi="黑体" w:eastAsia="黑体" w:cs="黑体"/>
          <w:b/>
          <w:i/>
          <w:color w:val="auto"/>
          <w:sz w:val="32"/>
          <w:highlight w:val="none"/>
          <w:u w:val="single"/>
          <w:lang w:val="en-US" w:eastAsia="zh-CN"/>
        </w:rPr>
        <w:t>五</w:t>
      </w:r>
      <w:r>
        <w:rPr>
          <w:rFonts w:ascii="黑体" w:hAnsi="黑体" w:eastAsia="黑体" w:cs="黑体"/>
          <w:b/>
          <w:i/>
          <w:color w:val="auto"/>
          <w:sz w:val="32"/>
          <w:highlight w:val="none"/>
          <w:u w:val="single"/>
        </w:rPr>
        <w:t>、开标一览表</w:t>
      </w:r>
      <w:r>
        <w:rPr>
          <w:rFonts w:hint="eastAsia" w:ascii="黑体" w:hAnsi="黑体" w:eastAsia="黑体" w:cs="黑体"/>
          <w:b/>
          <w:i/>
          <w:color w:val="auto"/>
          <w:sz w:val="32"/>
          <w:highlight w:val="none"/>
          <w:u w:val="single"/>
        </w:rPr>
        <w:t>（总价）</w:t>
      </w:r>
    </w:p>
    <w:p w14:paraId="5AF1CC72">
      <w:pPr>
        <w:pStyle w:val="259"/>
        <w:spacing w:beforeAutospacing="0" w:afterAutospacing="0"/>
        <w:ind w:firstLine="480"/>
        <w:jc w:val="both"/>
        <w:rPr>
          <w:rFonts w:hint="eastAsia" w:ascii="宋体" w:hAnsi="宋体" w:cs="宋体"/>
          <w:color w:val="auto"/>
          <w:sz w:val="21"/>
          <w:szCs w:val="21"/>
          <w:highlight w:val="none"/>
        </w:rPr>
      </w:pPr>
    </w:p>
    <w:p w14:paraId="60D46501">
      <w:pPr>
        <w:pStyle w:val="99"/>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投标人全称（加盖CA电子签章）：</w:t>
      </w:r>
    </w:p>
    <w:p w14:paraId="177E045C">
      <w:pPr>
        <w:pStyle w:val="99"/>
        <w:spacing w:beforeAutospacing="0" w:afterAutospacing="0"/>
        <w:ind w:firstLine="480"/>
        <w:jc w:val="both"/>
        <w:rPr>
          <w:rFonts w:hint="eastAsia" w:eastAsia="宋体"/>
          <w:color w:val="auto"/>
          <w:highlight w:val="none"/>
          <w:lang w:eastAsia="zh-CN"/>
        </w:rPr>
      </w:pPr>
      <w:r>
        <w:rPr>
          <w:rFonts w:hint="eastAsia" w:ascii="宋体" w:hAnsi="宋体" w:eastAsia="宋体" w:cs="宋体"/>
          <w:color w:val="auto"/>
          <w:highlight w:val="none"/>
        </w:rPr>
        <w:t>项目名称：</w:t>
      </w:r>
      <w:r>
        <w:rPr>
          <w:rFonts w:hint="eastAsia" w:ascii="宋体" w:hAnsi="宋体" w:cs="宋体"/>
          <w:color w:val="auto"/>
          <w:highlight w:val="none"/>
          <w:lang w:eastAsia="zh-CN"/>
        </w:rPr>
        <w:t>盐城市公安局盐都分局交管力量数字化提升项目</w:t>
      </w:r>
    </w:p>
    <w:p w14:paraId="560CCF48">
      <w:pPr>
        <w:pStyle w:val="99"/>
        <w:spacing w:beforeAutospacing="0" w:afterAutospacing="0"/>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编号：JSZC-320903-JCJS-G2026-0007</w:t>
      </w:r>
    </w:p>
    <w:p w14:paraId="13D2D68E">
      <w:pPr>
        <w:pStyle w:val="99"/>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31"/>
        <w:tblW w:w="0" w:type="auto"/>
        <w:tblInd w:w="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693"/>
        <w:gridCol w:w="5820"/>
      </w:tblGrid>
      <w:tr w14:paraId="660BD6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92" w:hRule="atLeast"/>
        </w:trPr>
        <w:tc>
          <w:tcPr>
            <w:tcW w:w="26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DA9B12">
            <w:pPr>
              <w:pBdr>
                <w:top w:val="none" w:color="000000" w:sz="0" w:space="0"/>
                <w:left w:val="none" w:color="000000" w:sz="0" w:space="0"/>
                <w:bottom w:val="none" w:color="000000" w:sz="0" w:space="0"/>
                <w:right w:val="none" w:color="000000" w:sz="0" w:space="0"/>
              </w:pBdr>
              <w:spacing w:before="240" w:after="240" w:line="240" w:lineRule="auto"/>
              <w:jc w:val="center"/>
              <w:rPr>
                <w:color w:val="auto"/>
                <w:highlight w:val="none"/>
              </w:rPr>
            </w:pPr>
            <w:r>
              <w:rPr>
                <w:rFonts w:ascii="宋体" w:hAnsi="宋体" w:eastAsia="宋体" w:cs="宋体"/>
                <w:color w:val="auto"/>
                <w:sz w:val="24"/>
                <w:highlight w:val="none"/>
              </w:rPr>
              <w:t>投标货物名称</w:t>
            </w:r>
          </w:p>
        </w:tc>
        <w:tc>
          <w:tcPr>
            <w:tcW w:w="58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DA1CA1">
            <w:pPr>
              <w:pBdr>
                <w:top w:val="none" w:color="000000" w:sz="0" w:space="0"/>
                <w:left w:val="none" w:color="000000" w:sz="0" w:space="0"/>
                <w:bottom w:val="none" w:color="000000" w:sz="0" w:space="0"/>
                <w:right w:val="none" w:color="000000" w:sz="0" w:space="0"/>
              </w:pBdr>
              <w:spacing w:before="240" w:after="240" w:line="240" w:lineRule="auto"/>
              <w:jc w:val="center"/>
              <w:rPr>
                <w:rFonts w:ascii="宋体" w:hAnsi="宋体" w:eastAsia="宋体" w:cs="宋体"/>
                <w:color w:val="auto"/>
                <w:sz w:val="24"/>
                <w:highlight w:val="none"/>
              </w:rPr>
            </w:pPr>
            <w:r>
              <w:rPr>
                <w:rFonts w:ascii="宋体" w:hAnsi="宋体" w:eastAsia="宋体" w:cs="宋体"/>
                <w:color w:val="auto"/>
                <w:sz w:val="24"/>
                <w:highlight w:val="none"/>
              </w:rPr>
              <w:t>总价（小写）</w:t>
            </w:r>
          </w:p>
        </w:tc>
      </w:tr>
      <w:tr w14:paraId="091467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26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A498AF">
            <w:pPr>
              <w:pBdr>
                <w:top w:val="none" w:color="000000" w:sz="0" w:space="0"/>
                <w:left w:val="none" w:color="000000" w:sz="0" w:space="0"/>
                <w:bottom w:val="none" w:color="000000" w:sz="0" w:space="0"/>
                <w:right w:val="none" w:color="000000" w:sz="0" w:space="0"/>
              </w:pBdr>
              <w:spacing w:before="240" w:after="240" w:line="240" w:lineRule="auto"/>
              <w:jc w:val="center"/>
              <w:rPr>
                <w:rFonts w:ascii="宋体" w:hAnsi="宋体" w:eastAsia="宋体" w:cs="宋体"/>
                <w:color w:val="auto"/>
                <w:sz w:val="24"/>
                <w:highlight w:val="none"/>
              </w:rPr>
            </w:pPr>
            <w:r>
              <w:rPr>
                <w:rFonts w:ascii="宋体" w:hAnsi="宋体" w:eastAsia="宋体" w:cs="宋体"/>
                <w:color w:val="auto"/>
                <w:sz w:val="24"/>
                <w:highlight w:val="none"/>
              </w:rPr>
              <w:t>投标产品名称</w:t>
            </w:r>
          </w:p>
        </w:tc>
        <w:tc>
          <w:tcPr>
            <w:tcW w:w="58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339B0F">
            <w:pPr>
              <w:spacing w:after="0"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元</w:t>
            </w:r>
          </w:p>
        </w:tc>
      </w:tr>
      <w:tr w14:paraId="605790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26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38AAC1">
            <w:pPr>
              <w:pBdr>
                <w:top w:val="none" w:color="000000" w:sz="0" w:space="0"/>
                <w:left w:val="none" w:color="000000" w:sz="0" w:space="0"/>
                <w:bottom w:val="none" w:color="000000" w:sz="0" w:space="0"/>
                <w:right w:val="none" w:color="000000" w:sz="0" w:space="0"/>
              </w:pBdr>
              <w:spacing w:before="240" w:after="240"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核心产品品牌</w:t>
            </w:r>
          </w:p>
        </w:tc>
        <w:tc>
          <w:tcPr>
            <w:tcW w:w="58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49541B">
            <w:pPr>
              <w:spacing w:after="0" w:line="240" w:lineRule="auto"/>
              <w:jc w:val="center"/>
              <w:rPr>
                <w:rFonts w:hint="eastAsia" w:ascii="宋体" w:hAnsi="宋体" w:eastAsia="宋体" w:cs="宋体"/>
                <w:color w:val="auto"/>
                <w:sz w:val="24"/>
                <w:szCs w:val="24"/>
                <w:highlight w:val="none"/>
                <w:lang w:val="en-US" w:eastAsia="zh-CN"/>
              </w:rPr>
            </w:pPr>
          </w:p>
        </w:tc>
      </w:tr>
    </w:tbl>
    <w:p w14:paraId="34177FA1">
      <w:pPr>
        <w:pStyle w:val="99"/>
        <w:spacing w:beforeAutospacing="0" w:afterAutospacing="0"/>
        <w:jc w:val="both"/>
        <w:rPr>
          <w:color w:val="auto"/>
          <w:highlight w:val="none"/>
        </w:rPr>
      </w:pPr>
    </w:p>
    <w:p w14:paraId="242B9B94">
      <w:pPr>
        <w:pStyle w:val="99"/>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3AD380E3">
      <w:pPr>
        <w:pStyle w:val="259"/>
        <w:spacing w:beforeAutospacing="0" w:afterAutospacing="0"/>
        <w:ind w:firstLine="480"/>
        <w:jc w:val="both"/>
        <w:rPr>
          <w:color w:val="auto"/>
          <w:highlight w:val="none"/>
        </w:rPr>
      </w:pPr>
    </w:p>
    <w:p w14:paraId="3FEB38A4">
      <w:pPr>
        <w:pStyle w:val="259"/>
        <w:spacing w:beforeAutospacing="0" w:afterAutospacing="0"/>
        <w:ind w:firstLine="480"/>
        <w:jc w:val="both"/>
        <w:rPr>
          <w:color w:val="auto"/>
          <w:highlight w:val="none"/>
        </w:rPr>
      </w:pPr>
    </w:p>
    <w:p w14:paraId="31B5240A">
      <w:pPr>
        <w:pStyle w:val="259"/>
        <w:spacing w:beforeAutospacing="0" w:afterAutospacing="0"/>
        <w:ind w:firstLine="480"/>
        <w:jc w:val="both"/>
        <w:rPr>
          <w:color w:val="auto"/>
          <w:highlight w:val="none"/>
        </w:rPr>
      </w:pPr>
    </w:p>
    <w:p w14:paraId="017FFCCB">
      <w:pPr>
        <w:pStyle w:val="259"/>
        <w:spacing w:beforeAutospacing="0" w:afterAutospacing="0"/>
        <w:ind w:firstLine="480"/>
        <w:jc w:val="both"/>
        <w:rPr>
          <w:color w:val="auto"/>
          <w:highlight w:val="none"/>
        </w:rPr>
      </w:pPr>
      <w:r>
        <w:rPr>
          <w:color w:val="auto"/>
          <w:highlight w:val="none"/>
        </w:rPr>
        <w:t> </w:t>
      </w:r>
    </w:p>
    <w:p w14:paraId="147E38C4">
      <w:pPr>
        <w:pStyle w:val="259"/>
        <w:spacing w:beforeAutospacing="0" w:afterAutospacing="0"/>
        <w:ind w:firstLine="480"/>
        <w:jc w:val="both"/>
        <w:rPr>
          <w:color w:val="auto"/>
          <w:highlight w:val="none"/>
        </w:rPr>
      </w:pPr>
      <w:r>
        <w:rPr>
          <w:color w:val="auto"/>
          <w:highlight w:val="none"/>
        </w:rPr>
        <w:t> </w:t>
      </w:r>
    </w:p>
    <w:p w14:paraId="5D1573CB">
      <w:pPr>
        <w:pStyle w:val="259"/>
        <w:spacing w:beforeAutospacing="0" w:afterAutospacing="0"/>
        <w:jc w:val="both"/>
        <w:rPr>
          <w:color w:val="auto"/>
          <w:highlight w:val="none"/>
        </w:rPr>
      </w:pPr>
      <w:r>
        <w:rPr>
          <w:color w:val="auto"/>
          <w:highlight w:val="none"/>
        </w:rPr>
        <w:t> </w:t>
      </w:r>
    </w:p>
    <w:p w14:paraId="3B735B95">
      <w:pPr>
        <w:pStyle w:val="259"/>
        <w:spacing w:beforeAutospacing="0" w:afterAutospacing="0"/>
        <w:jc w:val="both"/>
        <w:rPr>
          <w:rFonts w:hint="eastAsia" w:ascii="宋体" w:hAnsi="宋体" w:cs="宋体"/>
          <w:color w:val="auto"/>
          <w:highlight w:val="none"/>
        </w:rPr>
      </w:pPr>
      <w:r>
        <w:rPr>
          <w:rFonts w:hint="eastAsia" w:ascii="宋体" w:hAnsi="宋体" w:cs="宋体"/>
          <w:color w:val="auto"/>
          <w:highlight w:val="none"/>
        </w:rPr>
        <w:t>             </w:t>
      </w:r>
    </w:p>
    <w:p w14:paraId="79E4F568">
      <w:pPr>
        <w:pStyle w:val="259"/>
        <w:spacing w:beforeAutospacing="0" w:afterAutospacing="0"/>
        <w:jc w:val="both"/>
        <w:rPr>
          <w:rFonts w:hint="eastAsia" w:ascii="宋体" w:hAnsi="宋体" w:cs="宋体"/>
          <w:color w:val="auto"/>
          <w:highlight w:val="none"/>
        </w:rPr>
      </w:pPr>
    </w:p>
    <w:p w14:paraId="0ECECAF0">
      <w:pPr>
        <w:pStyle w:val="259"/>
        <w:spacing w:beforeAutospacing="0" w:afterAutospacing="0"/>
        <w:jc w:val="both"/>
        <w:rPr>
          <w:color w:val="auto"/>
          <w:highlight w:val="none"/>
        </w:rPr>
      </w:pPr>
      <w:r>
        <w:rPr>
          <w:rFonts w:hint="eastAsia" w:ascii="宋体" w:hAnsi="宋体" w:cs="宋体"/>
          <w:color w:val="auto"/>
          <w:highlight w:val="none"/>
        </w:rPr>
        <w:t>                        </w:t>
      </w:r>
    </w:p>
    <w:p w14:paraId="605C00C7">
      <w:pPr>
        <w:pStyle w:val="259"/>
        <w:spacing w:beforeAutospacing="0" w:afterAutospacing="0"/>
        <w:jc w:val="center"/>
        <w:rPr>
          <w:rFonts w:hint="eastAsia" w:ascii="宋体" w:hAnsi="宋体" w:cs="宋体"/>
          <w:b/>
          <w:color w:val="auto"/>
          <w:sz w:val="32"/>
          <w:szCs w:val="32"/>
          <w:highlight w:val="none"/>
        </w:rPr>
      </w:pPr>
    </w:p>
    <w:p w14:paraId="1636C513">
      <w:pPr>
        <w:pStyle w:val="259"/>
        <w:spacing w:beforeAutospacing="0" w:afterAutospacing="0"/>
        <w:rPr>
          <w:rFonts w:hint="eastAsia" w:ascii="宋体" w:hAnsi="宋体" w:cs="宋体"/>
          <w:b/>
          <w:color w:val="auto"/>
          <w:sz w:val="32"/>
          <w:szCs w:val="32"/>
          <w:highlight w:val="none"/>
        </w:rPr>
      </w:pPr>
    </w:p>
    <w:p w14:paraId="3D500EA6">
      <w:pPr>
        <w:pStyle w:val="259"/>
        <w:spacing w:beforeAutospacing="0" w:afterAutospacing="0"/>
        <w:rPr>
          <w:rFonts w:hint="eastAsia" w:ascii="宋体" w:hAnsi="宋体" w:cs="宋体"/>
          <w:b/>
          <w:color w:val="auto"/>
          <w:sz w:val="32"/>
          <w:szCs w:val="32"/>
          <w:highlight w:val="none"/>
        </w:rPr>
      </w:pPr>
    </w:p>
    <w:p w14:paraId="7A485590">
      <w:pPr>
        <w:pStyle w:val="259"/>
        <w:spacing w:beforeAutospacing="0" w:afterAutospacing="0"/>
        <w:rPr>
          <w:rFonts w:hint="eastAsia" w:ascii="宋体" w:hAnsi="宋体" w:cs="宋体"/>
          <w:b/>
          <w:color w:val="auto"/>
          <w:sz w:val="32"/>
          <w:szCs w:val="32"/>
          <w:highlight w:val="none"/>
        </w:rPr>
      </w:pPr>
    </w:p>
    <w:p w14:paraId="646836F7">
      <w:pPr>
        <w:pStyle w:val="259"/>
        <w:spacing w:beforeAutospacing="0" w:afterAutospacing="0"/>
        <w:rPr>
          <w:rFonts w:hint="eastAsia" w:ascii="宋体" w:hAnsi="宋体" w:cs="宋体"/>
          <w:b/>
          <w:color w:val="auto"/>
          <w:sz w:val="32"/>
          <w:szCs w:val="32"/>
          <w:highlight w:val="none"/>
        </w:rPr>
      </w:pPr>
    </w:p>
    <w:p w14:paraId="31EE0DAC">
      <w:pPr>
        <w:pStyle w:val="259"/>
        <w:spacing w:beforeAutospacing="0" w:afterAutospacing="0"/>
        <w:rPr>
          <w:rFonts w:hint="eastAsia" w:ascii="宋体" w:hAnsi="宋体" w:cs="宋体"/>
          <w:b/>
          <w:color w:val="auto"/>
          <w:sz w:val="32"/>
          <w:szCs w:val="32"/>
          <w:highlight w:val="none"/>
        </w:rPr>
      </w:pPr>
    </w:p>
    <w:p w14:paraId="072FBE3D">
      <w:pPr>
        <w:pStyle w:val="259"/>
        <w:spacing w:beforeAutospacing="0" w:afterAutospacing="0"/>
        <w:rPr>
          <w:rFonts w:hint="eastAsia" w:ascii="宋体" w:hAnsi="宋体" w:cs="宋体"/>
          <w:b/>
          <w:color w:val="auto"/>
          <w:sz w:val="32"/>
          <w:szCs w:val="32"/>
          <w:highlight w:val="none"/>
        </w:rPr>
      </w:pPr>
    </w:p>
    <w:p w14:paraId="4ADD00AF">
      <w:pPr>
        <w:pStyle w:val="259"/>
        <w:spacing w:beforeAutospacing="0" w:afterAutospacing="0"/>
        <w:rPr>
          <w:rFonts w:hint="eastAsia" w:ascii="宋体" w:hAnsi="宋体" w:cs="宋体"/>
          <w:b/>
          <w:color w:val="auto"/>
          <w:sz w:val="32"/>
          <w:szCs w:val="32"/>
          <w:highlight w:val="none"/>
        </w:rPr>
      </w:pPr>
    </w:p>
    <w:p w14:paraId="1C0BCCE5">
      <w:pPr>
        <w:widowControl/>
        <w:spacing w:before="50" w:after="50"/>
        <w:jc w:val="center"/>
        <w:rPr>
          <w:color w:val="auto"/>
          <w:highlight w:val="none"/>
        </w:rPr>
      </w:pPr>
      <w:r>
        <w:rPr>
          <w:color w:val="auto"/>
          <w:highlight w:val="none"/>
        </w:rPr>
        <w:tab/>
      </w:r>
    </w:p>
    <w:p w14:paraId="2D4ED3B3">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p>
    <w:p w14:paraId="08144B89">
      <w:pPr>
        <w:widowControl/>
        <w:spacing w:line="499" w:lineRule="atLeast"/>
        <w:jc w:val="center"/>
        <w:rPr>
          <w:rFonts w:hint="eastAsia" w:ascii="黑体" w:hAnsi="宋体" w:eastAsia="黑体" w:cs="黑体"/>
          <w:b/>
          <w:i/>
          <w:color w:val="auto"/>
          <w:sz w:val="32"/>
          <w:szCs w:val="32"/>
          <w:highlight w:val="none"/>
          <w:u w:val="single"/>
          <w:lang w:val="en-US" w:eastAsia="zh-CN" w:bidi="ar-SA"/>
        </w:rPr>
      </w:pPr>
      <w:r>
        <w:rPr>
          <w:rFonts w:hint="eastAsia" w:ascii="黑体" w:hAnsi="宋体" w:eastAsia="黑体" w:cs="黑体"/>
          <w:b/>
          <w:i/>
          <w:color w:val="auto"/>
          <w:sz w:val="32"/>
          <w:szCs w:val="32"/>
          <w:highlight w:val="none"/>
          <w:u w:val="single"/>
          <w:lang w:val="en-US" w:eastAsia="zh-CN" w:bidi="ar-SA"/>
        </w:rPr>
        <w:t>十六、承诺函</w:t>
      </w:r>
    </w:p>
    <w:p w14:paraId="5BF8313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p>
    <w:p w14:paraId="2E295171">
      <w:pPr>
        <w:keepNext w:val="0"/>
        <w:keepLines w:val="0"/>
        <w:widowControl/>
        <w:suppressLineNumbers w:val="0"/>
        <w:spacing w:before="0" w:beforeAutospacing="0" w:after="0" w:afterAutospacing="0"/>
        <w:ind w:left="0" w:right="0"/>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盐城市公安局盐都分局： </w:t>
      </w:r>
    </w:p>
    <w:p w14:paraId="1395071A">
      <w:pPr>
        <w:widowControl/>
        <w:spacing w:line="499" w:lineRule="atLeast"/>
        <w:ind w:firstLine="480" w:firstLineChars="200"/>
        <w:jc w:val="left"/>
        <w:rPr>
          <w:rFonts w:hint="eastAsia" w:ascii="宋体" w:hAnsi="宋体" w:eastAsia="宋体" w:cs="宋体"/>
          <w:i w:val="0"/>
          <w:iCs w:val="0"/>
          <w:color w:val="auto"/>
          <w:sz w:val="24"/>
          <w:highlight w:val="none"/>
          <w:u w:val="none"/>
          <w:shd w:val="clear" w:color="auto" w:fill="auto"/>
          <w:lang w:val="en-US" w:eastAsia="zh-CN"/>
        </w:rPr>
      </w:pPr>
      <w:r>
        <w:rPr>
          <w:rFonts w:hint="eastAsia" w:ascii="宋体" w:hAnsi="宋体" w:eastAsia="宋体" w:cs="宋体"/>
          <w:i w:val="0"/>
          <w:iCs w:val="0"/>
          <w:color w:val="auto"/>
          <w:sz w:val="24"/>
          <w:highlight w:val="none"/>
          <w:u w:val="none"/>
          <w:shd w:val="clear" w:color="auto" w:fill="auto"/>
          <w:lang w:val="en-US" w:eastAsia="zh-CN"/>
        </w:rPr>
        <w:t>1、我方使用于本工程的所有产品的技术参数完全满足招标文件“技术参数要求”，且自行完成与盐都交管大队现有平台无缝对接实现全部功能。如我方不能按招标要求或投标承诺完成约定的平台的无缝对接实现全部功能的，采购人有权解除合同，一切责任由我方承担。用于本项目的产品设备在安装前须报送采购人审查，审查通过后方可用于本项目的施工。否则，采购人将不予以验收，由此产生的一切责任和损失由我方承担。</w:t>
      </w:r>
    </w:p>
    <w:p w14:paraId="6656B7E5">
      <w:pPr>
        <w:widowControl/>
        <w:spacing w:line="499" w:lineRule="atLeast"/>
        <w:ind w:firstLine="480" w:firstLineChars="200"/>
        <w:jc w:val="left"/>
        <w:rPr>
          <w:rFonts w:hint="default" w:ascii="宋体" w:hAnsi="宋体" w:eastAsia="宋体" w:cs="宋体"/>
          <w:i w:val="0"/>
          <w:iCs w:val="0"/>
          <w:color w:val="auto"/>
          <w:sz w:val="24"/>
          <w:highlight w:val="none"/>
          <w:u w:val="none"/>
          <w:shd w:val="clear" w:color="auto" w:fill="auto"/>
          <w:lang w:val="en-US" w:eastAsia="zh-CN"/>
        </w:rPr>
      </w:pPr>
      <w:r>
        <w:rPr>
          <w:rFonts w:hint="eastAsia" w:ascii="宋体" w:hAnsi="宋体" w:cs="宋体"/>
          <w:i w:val="0"/>
          <w:iCs w:val="0"/>
          <w:color w:val="auto"/>
          <w:sz w:val="24"/>
          <w:highlight w:val="none"/>
          <w:u w:val="none"/>
          <w:shd w:val="clear" w:color="auto" w:fill="auto"/>
          <w:lang w:val="en-US" w:eastAsia="zh-CN"/>
        </w:rPr>
        <w:t>2、</w:t>
      </w:r>
      <w:r>
        <w:rPr>
          <w:rFonts w:hint="eastAsia" w:ascii="宋体" w:hAnsi="宋体" w:eastAsia="宋体" w:cs="宋体"/>
          <w:color w:val="auto"/>
          <w:sz w:val="24"/>
          <w:highlight w:val="none"/>
          <w:shd w:val="clear" w:color="auto" w:fill="auto"/>
          <w:lang w:val="en-US" w:eastAsia="zh-CN"/>
        </w:rPr>
        <w:t>我方承诺</w:t>
      </w:r>
      <w:r>
        <w:rPr>
          <w:rFonts w:hint="eastAsia" w:ascii="宋体" w:hAnsi="宋体" w:cs="宋体"/>
          <w:color w:val="auto"/>
          <w:sz w:val="24"/>
          <w:highlight w:val="none"/>
          <w:shd w:val="clear" w:color="auto" w:fill="auto"/>
          <w:lang w:val="en-US" w:eastAsia="zh-CN"/>
        </w:rPr>
        <w:t>，</w:t>
      </w:r>
      <w:r>
        <w:rPr>
          <w:rFonts w:hint="eastAsia" w:ascii="宋体" w:hAnsi="宋体" w:cs="宋体"/>
          <w:i w:val="0"/>
          <w:iCs w:val="0"/>
          <w:color w:val="auto"/>
          <w:sz w:val="24"/>
          <w:highlight w:val="none"/>
          <w:u w:val="none"/>
          <w:shd w:val="clear" w:color="auto" w:fill="auto"/>
          <w:lang w:val="en-US" w:eastAsia="zh-CN"/>
        </w:rPr>
        <w:t>如我方中标，中标后、合同签订前，我方向采购人提供本项目明确使用的高空监控规划点位产权方授权函原件，授权函加盖产权方公章。否则我方自愿放弃中标资格，并接受采购人对我方的处罚。</w:t>
      </w:r>
      <w:r>
        <w:rPr>
          <w:rFonts w:hint="eastAsia" w:ascii="宋体" w:hAnsi="宋体" w:cs="宋体"/>
          <w:i w:val="0"/>
          <w:iCs w:val="0"/>
          <w:color w:val="auto"/>
          <w:sz w:val="24"/>
          <w:highlight w:val="none"/>
          <w:u w:val="none"/>
          <w:shd w:val="clear" w:color="auto" w:fill="auto"/>
          <w:lang w:val="en-US" w:eastAsia="zh-CN"/>
        </w:rPr>
        <w:tab/>
      </w:r>
    </w:p>
    <w:p w14:paraId="50DECE84">
      <w:pPr>
        <w:widowControl/>
        <w:spacing w:line="499" w:lineRule="atLeast"/>
        <w:ind w:firstLine="480" w:firstLineChars="200"/>
        <w:jc w:val="left"/>
        <w:rPr>
          <w:rFonts w:hint="eastAsia" w:ascii="宋体" w:hAnsi="宋体" w:eastAsia="宋体" w:cs="宋体"/>
          <w:i w:val="0"/>
          <w:iCs w:val="0"/>
          <w:color w:val="auto"/>
          <w:sz w:val="24"/>
          <w:highlight w:val="none"/>
          <w:u w:val="none"/>
          <w:shd w:val="clear" w:color="auto" w:fill="auto"/>
          <w:lang w:val="en-US" w:eastAsia="zh-CN"/>
        </w:rPr>
      </w:pPr>
      <w:r>
        <w:rPr>
          <w:rFonts w:hint="eastAsia" w:ascii="宋体" w:hAnsi="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lang w:val="en-US" w:eastAsia="zh-CN"/>
        </w:rPr>
        <w:t>、我方承诺质保期为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lang w:val="en-US" w:eastAsia="zh-CN"/>
        </w:rPr>
        <w:t>年。（“投标报价清单”内中标人承担“</w:t>
      </w:r>
      <w:r>
        <w:rPr>
          <w:rFonts w:hint="eastAsia" w:ascii="宋体" w:hAnsi="宋体" w:cs="宋体"/>
          <w:color w:val="auto"/>
          <w:sz w:val="24"/>
          <w:highlight w:val="none"/>
          <w:shd w:val="clear" w:color="auto" w:fill="auto"/>
          <w:lang w:val="en-US" w:eastAsia="zh-CN"/>
        </w:rPr>
        <w:t>质保期间电费、光纤链路租赁费、铁塔租赁费</w:t>
      </w:r>
      <w:r>
        <w:rPr>
          <w:rFonts w:hint="eastAsia" w:ascii="宋体" w:hAnsi="宋体" w:eastAsia="宋体" w:cs="宋体"/>
          <w:color w:val="auto"/>
          <w:sz w:val="24"/>
          <w:highlight w:val="none"/>
          <w:shd w:val="clear" w:color="auto" w:fill="auto"/>
          <w:lang w:val="en-US" w:eastAsia="zh-CN"/>
        </w:rPr>
        <w:t>”年限也同步为该年限</w:t>
      </w:r>
      <w:r>
        <w:rPr>
          <w:rFonts w:hint="eastAsia" w:ascii="宋体" w:hAnsi="宋体" w:cs="宋体"/>
          <w:color w:val="auto"/>
          <w:sz w:val="24"/>
          <w:highlight w:val="none"/>
          <w:shd w:val="clear" w:color="auto" w:fill="auto"/>
          <w:lang w:val="en-US" w:eastAsia="zh-CN"/>
        </w:rPr>
        <w:t>。</w:t>
      </w:r>
      <w:r>
        <w:rPr>
          <w:rFonts w:hint="eastAsia" w:ascii="宋体" w:hAnsi="宋体" w:eastAsia="宋体" w:cs="宋体"/>
          <w:color w:val="auto"/>
          <w:sz w:val="24"/>
          <w:highlight w:val="none"/>
          <w:shd w:val="clear" w:color="auto" w:fill="auto"/>
          <w:lang w:val="en-US" w:eastAsia="zh-CN"/>
        </w:rPr>
        <w:t>）</w:t>
      </w:r>
    </w:p>
    <w:p w14:paraId="60D7AA6C">
      <w:pPr>
        <w:widowControl/>
        <w:spacing w:line="499" w:lineRule="atLeast"/>
        <w:ind w:firstLine="480" w:firstLineChars="200"/>
        <w:jc w:val="left"/>
        <w:rPr>
          <w:rFonts w:hint="eastAsia" w:ascii="宋体" w:hAnsi="宋体" w:eastAsia="宋体" w:cs="宋体"/>
          <w:i w:val="0"/>
          <w:iCs w:val="0"/>
          <w:color w:val="auto"/>
          <w:sz w:val="24"/>
          <w:highlight w:val="none"/>
          <w:u w:val="none"/>
          <w:shd w:val="clear" w:color="auto" w:fill="auto"/>
          <w:lang w:val="en-US" w:eastAsia="zh-CN"/>
        </w:rPr>
      </w:pPr>
      <w:r>
        <w:rPr>
          <w:rFonts w:hint="eastAsia" w:ascii="宋体" w:hAnsi="宋体" w:cs="宋体"/>
          <w:i w:val="0"/>
          <w:iCs w:val="0"/>
          <w:color w:val="auto"/>
          <w:sz w:val="24"/>
          <w:highlight w:val="none"/>
          <w:u w:val="none"/>
          <w:shd w:val="clear" w:color="auto" w:fill="auto"/>
          <w:lang w:val="en-US" w:eastAsia="zh-CN"/>
        </w:rPr>
        <w:t>4</w:t>
      </w:r>
      <w:r>
        <w:rPr>
          <w:rFonts w:hint="eastAsia" w:ascii="宋体" w:hAnsi="宋体" w:eastAsia="宋体" w:cs="宋体"/>
          <w:i w:val="0"/>
          <w:iCs w:val="0"/>
          <w:color w:val="auto"/>
          <w:sz w:val="24"/>
          <w:highlight w:val="none"/>
          <w:u w:val="none"/>
          <w:shd w:val="clear" w:color="auto" w:fill="auto"/>
          <w:lang w:val="en-US" w:eastAsia="zh-CN"/>
        </w:rPr>
        <w:t>、</w:t>
      </w:r>
      <w:r>
        <w:rPr>
          <w:rFonts w:hint="eastAsia" w:ascii="宋体" w:hAnsi="宋体" w:eastAsia="宋体" w:cs="宋体"/>
          <w:color w:val="auto"/>
          <w:sz w:val="24"/>
          <w:highlight w:val="none"/>
          <w:shd w:val="clear" w:color="auto" w:fill="auto"/>
          <w:lang w:val="en-US" w:eastAsia="zh-CN"/>
        </w:rPr>
        <w:t>我方</w:t>
      </w:r>
      <w:r>
        <w:rPr>
          <w:rFonts w:hint="eastAsia" w:ascii="宋体" w:hAnsi="宋体" w:eastAsia="宋体" w:cs="宋体"/>
          <w:i w:val="0"/>
          <w:iCs w:val="0"/>
          <w:color w:val="auto"/>
          <w:sz w:val="24"/>
          <w:highlight w:val="none"/>
          <w:u w:val="none"/>
          <w:shd w:val="clear" w:color="auto" w:fill="auto"/>
          <w:lang w:val="en-US" w:eastAsia="zh-CN"/>
        </w:rPr>
        <w:t>承诺在招标文件基本要求的质保期（3年）内安排一名运维人员（本科及以上学历，具有</w:t>
      </w:r>
      <w:r>
        <w:rPr>
          <w:rFonts w:hint="eastAsia" w:ascii="宋体" w:hAnsi="宋体" w:cs="宋体"/>
          <w:i w:val="0"/>
          <w:iCs w:val="0"/>
          <w:color w:val="auto"/>
          <w:sz w:val="24"/>
          <w:highlight w:val="none"/>
          <w:u w:val="none"/>
          <w:shd w:val="clear" w:color="auto" w:fill="auto"/>
          <w:lang w:val="en-US" w:eastAsia="zh-CN"/>
        </w:rPr>
        <w:t>智能化或信息工程</w:t>
      </w:r>
      <w:r>
        <w:rPr>
          <w:rFonts w:hint="eastAsia" w:ascii="宋体" w:hAnsi="宋体" w:eastAsia="宋体" w:cs="宋体"/>
          <w:i w:val="0"/>
          <w:iCs w:val="0"/>
          <w:color w:val="auto"/>
          <w:sz w:val="24"/>
          <w:highlight w:val="none"/>
          <w:u w:val="none"/>
          <w:shd w:val="clear" w:color="auto" w:fill="auto"/>
          <w:lang w:val="en-US" w:eastAsia="zh-CN"/>
        </w:rPr>
        <w:t>工作经验）提供驻场服务，该服务人员接受交管部门的工作安排，与区公安交管部门同步上班考勤。</w:t>
      </w:r>
    </w:p>
    <w:p w14:paraId="6A40EA82">
      <w:pPr>
        <w:pStyle w:val="2"/>
        <w:rPr>
          <w:rFonts w:hint="eastAsia"/>
          <w:lang w:val="en-US" w:eastAsia="zh-CN"/>
        </w:rPr>
      </w:pPr>
    </w:p>
    <w:p w14:paraId="06EBF43F">
      <w:pPr>
        <w:widowControl/>
        <w:spacing w:line="499" w:lineRule="atLeast"/>
        <w:ind w:firstLine="482" w:firstLineChars="200"/>
        <w:jc w:val="left"/>
        <w:rPr>
          <w:rFonts w:hint="default"/>
          <w:color w:val="auto"/>
          <w:highlight w:val="none"/>
          <w:lang w:val="en-US"/>
        </w:rPr>
      </w:pPr>
      <w:r>
        <w:rPr>
          <w:rFonts w:hint="eastAsia" w:ascii="宋体" w:hAnsi="宋体" w:eastAsia="宋体" w:cs="宋体"/>
          <w:b/>
          <w:bCs/>
          <w:i/>
          <w:iCs/>
          <w:color w:val="auto"/>
          <w:sz w:val="24"/>
          <w:highlight w:val="none"/>
          <w:u w:val="single"/>
          <w:shd w:val="clear" w:color="auto" w:fill="auto"/>
          <w:lang w:val="en-US" w:eastAsia="zh-CN"/>
        </w:rPr>
        <w:t>注</w:t>
      </w:r>
      <w:r>
        <w:rPr>
          <w:rFonts w:hint="eastAsia" w:ascii="宋体" w:hAnsi="宋体" w:cs="宋体"/>
          <w:b/>
          <w:bCs/>
          <w:i/>
          <w:iCs/>
          <w:color w:val="auto"/>
          <w:sz w:val="24"/>
          <w:highlight w:val="none"/>
          <w:u w:val="single"/>
          <w:shd w:val="clear" w:color="auto" w:fill="auto"/>
          <w:lang w:val="en-US" w:eastAsia="zh-CN"/>
        </w:rPr>
        <w:t>1</w:t>
      </w:r>
      <w:r>
        <w:rPr>
          <w:rFonts w:hint="eastAsia" w:ascii="宋体" w:hAnsi="宋体" w:eastAsia="宋体" w:cs="宋体"/>
          <w:b/>
          <w:bCs/>
          <w:i/>
          <w:iCs/>
          <w:color w:val="auto"/>
          <w:sz w:val="24"/>
          <w:highlight w:val="none"/>
          <w:u w:val="single"/>
          <w:shd w:val="clear" w:color="auto" w:fill="auto"/>
          <w:lang w:val="en-US" w:eastAsia="zh-CN"/>
        </w:rPr>
        <w:t>：本承诺函第1、2条须必须响应项</w:t>
      </w:r>
      <w:r>
        <w:rPr>
          <w:rFonts w:hint="eastAsia" w:ascii="宋体" w:hAnsi="宋体" w:cs="宋体"/>
          <w:b/>
          <w:bCs/>
          <w:i/>
          <w:iCs/>
          <w:color w:val="auto"/>
          <w:sz w:val="24"/>
          <w:highlight w:val="none"/>
          <w:u w:val="single"/>
          <w:shd w:val="clear" w:color="auto" w:fill="auto"/>
          <w:lang w:val="en-US" w:eastAsia="zh-CN"/>
        </w:rPr>
        <w:t>；</w:t>
      </w:r>
      <w:r>
        <w:rPr>
          <w:rFonts w:hint="eastAsia" w:ascii="宋体" w:hAnsi="宋体" w:eastAsia="宋体" w:cs="宋体"/>
          <w:b/>
          <w:bCs/>
          <w:i/>
          <w:iCs/>
          <w:color w:val="auto"/>
          <w:sz w:val="24"/>
          <w:highlight w:val="none"/>
          <w:u w:val="single"/>
          <w:shd w:val="clear" w:color="auto" w:fill="auto"/>
          <w:lang w:val="en-US" w:eastAsia="zh-CN"/>
        </w:rPr>
        <w:t>本承诺函第3条投标人须按不低于3年进行承诺</w:t>
      </w:r>
      <w:r>
        <w:rPr>
          <w:rFonts w:hint="eastAsia" w:ascii="宋体" w:hAnsi="宋体" w:cs="宋体"/>
          <w:b/>
          <w:bCs/>
          <w:i/>
          <w:iCs/>
          <w:color w:val="auto"/>
          <w:sz w:val="24"/>
          <w:highlight w:val="none"/>
          <w:u w:val="single"/>
          <w:shd w:val="clear" w:color="auto" w:fill="auto"/>
          <w:lang w:val="en-US" w:eastAsia="zh-CN"/>
        </w:rPr>
        <w:t>；未按上述要求承诺的，按</w:t>
      </w:r>
      <w:r>
        <w:rPr>
          <w:rFonts w:hint="eastAsia" w:ascii="宋体" w:hAnsi="宋体" w:eastAsia="宋体" w:cs="宋体"/>
          <w:b/>
          <w:bCs/>
          <w:i/>
          <w:iCs/>
          <w:color w:val="auto"/>
          <w:sz w:val="24"/>
          <w:highlight w:val="none"/>
          <w:u w:val="single"/>
          <w:shd w:val="clear" w:color="auto" w:fill="auto"/>
          <w:lang w:val="en-US" w:eastAsia="zh-CN"/>
        </w:rPr>
        <w:t>无效投标处理。</w:t>
      </w:r>
    </w:p>
    <w:p w14:paraId="2FDA205C">
      <w:pPr>
        <w:widowControl/>
        <w:spacing w:line="499" w:lineRule="atLeast"/>
        <w:ind w:firstLine="482" w:firstLineChars="200"/>
        <w:jc w:val="left"/>
        <w:rPr>
          <w:rFonts w:hint="eastAsia" w:ascii="宋体" w:hAnsi="宋体" w:eastAsia="宋体" w:cs="宋体"/>
          <w:b/>
          <w:bCs/>
          <w:i w:val="0"/>
          <w:iCs w:val="0"/>
          <w:color w:val="auto"/>
          <w:sz w:val="24"/>
          <w:highlight w:val="none"/>
          <w:u w:val="none"/>
          <w:shd w:val="clear" w:color="auto" w:fill="auto"/>
          <w:lang w:val="en-US" w:eastAsia="zh-CN"/>
        </w:rPr>
      </w:pPr>
      <w:r>
        <w:rPr>
          <w:rFonts w:hint="eastAsia" w:ascii="宋体" w:hAnsi="宋体" w:cs="宋体"/>
          <w:b/>
          <w:bCs/>
          <w:i w:val="0"/>
          <w:iCs w:val="0"/>
          <w:color w:val="auto"/>
          <w:sz w:val="24"/>
          <w:highlight w:val="none"/>
          <w:u w:val="none"/>
          <w:shd w:val="clear" w:color="auto" w:fill="auto"/>
          <w:lang w:val="en-US" w:eastAsia="zh-CN"/>
        </w:rPr>
        <w:t>注2：</w:t>
      </w:r>
      <w:r>
        <w:rPr>
          <w:rFonts w:hint="eastAsia" w:ascii="宋体" w:hAnsi="宋体" w:eastAsia="宋体" w:cs="宋体"/>
          <w:b/>
          <w:bCs/>
          <w:i w:val="0"/>
          <w:iCs w:val="0"/>
          <w:color w:val="auto"/>
          <w:sz w:val="24"/>
          <w:highlight w:val="none"/>
          <w:u w:val="none"/>
          <w:shd w:val="clear" w:color="auto" w:fill="auto"/>
          <w:lang w:val="en-US" w:eastAsia="zh-CN"/>
        </w:rPr>
        <w:t>本承诺函第</w:t>
      </w:r>
      <w:r>
        <w:rPr>
          <w:rFonts w:hint="eastAsia" w:ascii="宋体" w:hAnsi="宋体" w:cs="宋体"/>
          <w:b/>
          <w:bCs/>
          <w:i w:val="0"/>
          <w:iCs w:val="0"/>
          <w:color w:val="auto"/>
          <w:sz w:val="24"/>
          <w:highlight w:val="none"/>
          <w:u w:val="none"/>
          <w:shd w:val="clear" w:color="auto" w:fill="auto"/>
          <w:lang w:val="en-US" w:eastAsia="zh-CN"/>
        </w:rPr>
        <w:t>4</w:t>
      </w:r>
      <w:r>
        <w:rPr>
          <w:rFonts w:hint="eastAsia" w:ascii="宋体" w:hAnsi="宋体" w:eastAsia="宋体" w:cs="宋体"/>
          <w:b/>
          <w:bCs/>
          <w:i w:val="0"/>
          <w:iCs w:val="0"/>
          <w:color w:val="auto"/>
          <w:sz w:val="24"/>
          <w:highlight w:val="none"/>
          <w:u w:val="none"/>
          <w:shd w:val="clear" w:color="auto" w:fill="auto"/>
          <w:lang w:val="en-US" w:eastAsia="zh-CN"/>
        </w:rPr>
        <w:t>条不作强制要求，</w:t>
      </w:r>
      <w:r>
        <w:rPr>
          <w:rFonts w:hint="eastAsia" w:ascii="宋体" w:hAnsi="宋体" w:cs="宋体"/>
          <w:b/>
          <w:bCs/>
          <w:i w:val="0"/>
          <w:iCs w:val="0"/>
          <w:color w:val="auto"/>
          <w:sz w:val="24"/>
          <w:highlight w:val="none"/>
          <w:u w:val="none"/>
          <w:shd w:val="clear" w:color="auto" w:fill="auto"/>
          <w:lang w:val="en-US" w:eastAsia="zh-CN"/>
        </w:rPr>
        <w:t>如不作承诺则</w:t>
      </w:r>
      <w:r>
        <w:rPr>
          <w:rFonts w:hint="eastAsia" w:ascii="宋体" w:hAnsi="宋体" w:eastAsia="宋体" w:cs="宋体"/>
          <w:b/>
          <w:bCs/>
          <w:i w:val="0"/>
          <w:iCs w:val="0"/>
          <w:color w:val="auto"/>
          <w:sz w:val="24"/>
          <w:highlight w:val="none"/>
          <w:u w:val="none"/>
          <w:shd w:val="clear" w:color="auto" w:fill="auto"/>
          <w:lang w:val="en-US" w:eastAsia="zh-CN"/>
        </w:rPr>
        <w:t>可自行删除。</w:t>
      </w:r>
    </w:p>
    <w:p w14:paraId="739EE34D">
      <w:pPr>
        <w:widowControl/>
        <w:spacing w:line="499" w:lineRule="atLeast"/>
        <w:ind w:firstLine="482" w:firstLineChars="200"/>
        <w:jc w:val="left"/>
        <w:rPr>
          <w:rFonts w:hint="default" w:ascii="宋体" w:hAnsi="宋体" w:eastAsia="宋体" w:cs="宋体"/>
          <w:b/>
          <w:bCs/>
          <w:i w:val="0"/>
          <w:iCs w:val="0"/>
          <w:color w:val="auto"/>
          <w:sz w:val="24"/>
          <w:highlight w:val="none"/>
          <w:u w:val="none"/>
          <w:shd w:val="clear" w:color="auto" w:fill="auto"/>
          <w:lang w:val="en-US" w:eastAsia="zh-CN"/>
        </w:rPr>
      </w:pPr>
    </w:p>
    <w:p w14:paraId="4EEAB98F">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p>
    <w:p w14:paraId="733099EF">
      <w:pPr>
        <w:pStyle w:val="289"/>
        <w:keepNext w:val="0"/>
        <w:keepLines w:val="0"/>
        <w:pageBreakBefore w:val="0"/>
        <w:widowControl w:val="0"/>
        <w:kinsoku/>
        <w:wordWrap/>
        <w:overflowPunct/>
        <w:topLinePunct w:val="0"/>
        <w:autoSpaceDE/>
        <w:autoSpaceDN/>
        <w:bidi w:val="0"/>
        <w:adjustRightInd/>
        <w:snapToGrid/>
        <w:spacing w:line="300" w:lineRule="exact"/>
        <w:ind w:firstLine="480" w:firstLineChars="200"/>
        <w:jc w:val="both"/>
        <w:textAlignment w:val="auto"/>
        <w:rPr>
          <w:rFonts w:hint="eastAsia" w:ascii="宋体" w:hAnsi="宋体" w:eastAsia="宋体" w:cs="宋体"/>
          <w:color w:val="auto"/>
          <w:sz w:val="24"/>
          <w:szCs w:val="24"/>
          <w:highlight w:val="none"/>
          <w:lang w:val="en-US" w:eastAsia="zh-CN"/>
        </w:rPr>
      </w:pPr>
    </w:p>
    <w:p w14:paraId="089451DA">
      <w:pPr>
        <w:pStyle w:val="289"/>
        <w:keepNext w:val="0"/>
        <w:keepLines w:val="0"/>
        <w:pageBreakBefore w:val="0"/>
        <w:widowControl w:val="0"/>
        <w:kinsoku/>
        <w:wordWrap/>
        <w:overflowPunct/>
        <w:topLinePunct w:val="0"/>
        <w:autoSpaceDE/>
        <w:autoSpaceDN/>
        <w:bidi w:val="0"/>
        <w:adjustRightInd/>
        <w:snapToGrid/>
        <w:spacing w:line="300" w:lineRule="exact"/>
        <w:ind w:firstLine="480"/>
        <w:jc w:val="right"/>
        <w:textAlignment w:val="auto"/>
        <w:rPr>
          <w:rFonts w:hint="eastAsia" w:ascii="宋体" w:hAnsi="宋体" w:eastAsia="宋体" w:cs="宋体"/>
          <w:color w:val="auto"/>
          <w:sz w:val="24"/>
          <w:szCs w:val="24"/>
          <w:highlight w:val="none"/>
        </w:rPr>
      </w:pPr>
    </w:p>
    <w:p w14:paraId="0ACB683B">
      <w:pPr>
        <w:spacing w:line="348" w:lineRule="auto"/>
        <w:ind w:left="4309" w:leftChars="2052" w:firstLine="120" w:firstLineChars="5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供应商（单位公章）：</w:t>
      </w:r>
      <w:r>
        <w:rPr>
          <w:rFonts w:hint="eastAsia" w:ascii="宋体" w:hAnsi="宋体" w:eastAsia="宋体" w:cs="宋体"/>
          <w:color w:val="auto"/>
          <w:highlight w:val="none"/>
        </w:rPr>
        <w:t>_______________</w:t>
      </w:r>
    </w:p>
    <w:p w14:paraId="3D52740B">
      <w:pPr>
        <w:spacing w:line="348" w:lineRule="auto"/>
        <w:ind w:firstLine="2280" w:firstLineChars="9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r>
        <w:rPr>
          <w:rFonts w:hint="eastAsia" w:ascii="宋体" w:hAnsi="宋体" w:eastAsia="宋体" w:cs="宋体"/>
          <w:color w:val="auto"/>
          <w:highlight w:val="none"/>
        </w:rPr>
        <w:t xml:space="preserve">______________________   </w:t>
      </w:r>
      <w:r>
        <w:rPr>
          <w:rFonts w:hint="eastAsia" w:ascii="宋体" w:hAnsi="宋体" w:eastAsia="宋体" w:cs="宋体"/>
          <w:color w:val="auto"/>
          <w:sz w:val="24"/>
          <w:szCs w:val="24"/>
          <w:highlight w:val="none"/>
        </w:rPr>
        <w:t xml:space="preserve">                          </w:t>
      </w:r>
    </w:p>
    <w:p w14:paraId="0D6EE5F1">
      <w:pPr>
        <w:widowControl/>
        <w:spacing w:before="50" w:after="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43EF80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E56511F">
      <w:pPr>
        <w:widowControl/>
        <w:spacing w:before="50" w:after="50"/>
        <w:jc w:val="center"/>
        <w:rPr>
          <w:rFonts w:hint="eastAsia" w:ascii="宋体" w:hAnsi="宋体" w:cs="宋体"/>
          <w:color w:val="auto"/>
          <w:sz w:val="32"/>
          <w:szCs w:val="32"/>
          <w:highlight w:val="none"/>
        </w:rPr>
      </w:pPr>
      <w:r>
        <w:rPr>
          <w:rFonts w:hint="eastAsia" w:ascii="宋体" w:hAnsi="宋体" w:cs="宋体"/>
          <w:color w:val="auto"/>
          <w:sz w:val="32"/>
          <w:szCs w:val="32"/>
          <w:highlight w:val="none"/>
          <w:lang w:val="en-US" w:eastAsia="zh-CN"/>
        </w:rPr>
        <w:t>十七</w:t>
      </w:r>
      <w:r>
        <w:rPr>
          <w:rFonts w:hint="eastAsia" w:ascii="宋体" w:hAnsi="宋体" w:cs="宋体"/>
          <w:color w:val="auto"/>
          <w:sz w:val="32"/>
          <w:szCs w:val="32"/>
          <w:highlight w:val="none"/>
        </w:rPr>
        <w:t>、技术方案、服务承诺、培训承诺等</w:t>
      </w:r>
    </w:p>
    <w:p w14:paraId="6701248E">
      <w:pPr>
        <w:pStyle w:val="259"/>
        <w:spacing w:beforeAutospacing="0" w:afterAutospacing="0"/>
        <w:jc w:val="center"/>
        <w:rPr>
          <w:rFonts w:hint="eastAsia" w:ascii="宋体" w:hAnsi="宋体" w:cs="宋体"/>
          <w:b/>
          <w:color w:val="auto"/>
          <w:sz w:val="32"/>
          <w:szCs w:val="32"/>
          <w:highlight w:val="none"/>
        </w:rPr>
      </w:pPr>
    </w:p>
    <w:p w14:paraId="2C7F21C1">
      <w:pPr>
        <w:pStyle w:val="259"/>
        <w:spacing w:beforeAutospacing="0" w:afterAutospacing="0"/>
        <w:jc w:val="center"/>
        <w:rPr>
          <w:rFonts w:hint="eastAsia" w:ascii="宋体" w:hAnsi="宋体" w:cs="宋体"/>
          <w:b/>
          <w:color w:val="auto"/>
          <w:sz w:val="32"/>
          <w:szCs w:val="32"/>
          <w:highlight w:val="none"/>
        </w:rPr>
      </w:pPr>
    </w:p>
    <w:p w14:paraId="228C1B88">
      <w:pPr>
        <w:pStyle w:val="259"/>
        <w:spacing w:beforeAutospacing="0" w:afterAutospacing="0"/>
        <w:jc w:val="center"/>
        <w:rPr>
          <w:rFonts w:hint="eastAsia" w:ascii="宋体" w:hAnsi="宋体" w:cs="宋体"/>
          <w:b/>
          <w:color w:val="auto"/>
          <w:sz w:val="32"/>
          <w:szCs w:val="32"/>
          <w:highlight w:val="none"/>
        </w:rPr>
      </w:pPr>
    </w:p>
    <w:p w14:paraId="7C854C1D">
      <w:pPr>
        <w:pStyle w:val="259"/>
        <w:spacing w:beforeAutospacing="0" w:afterAutospacing="0"/>
        <w:jc w:val="center"/>
        <w:rPr>
          <w:rFonts w:hint="eastAsia" w:ascii="宋体" w:hAnsi="宋体" w:cs="宋体"/>
          <w:b/>
          <w:color w:val="auto"/>
          <w:sz w:val="32"/>
          <w:szCs w:val="32"/>
          <w:highlight w:val="none"/>
        </w:rPr>
      </w:pPr>
    </w:p>
    <w:p w14:paraId="4E26D39B">
      <w:pPr>
        <w:pStyle w:val="259"/>
        <w:spacing w:beforeAutospacing="0" w:afterAutospacing="0"/>
        <w:jc w:val="center"/>
        <w:rPr>
          <w:rFonts w:hint="eastAsia" w:ascii="宋体" w:hAnsi="宋体" w:cs="宋体"/>
          <w:b/>
          <w:color w:val="auto"/>
          <w:sz w:val="32"/>
          <w:szCs w:val="32"/>
          <w:highlight w:val="none"/>
        </w:rPr>
      </w:pPr>
    </w:p>
    <w:p w14:paraId="6C921DB5">
      <w:pPr>
        <w:pStyle w:val="259"/>
        <w:spacing w:beforeAutospacing="0" w:afterAutospacing="0"/>
        <w:jc w:val="center"/>
        <w:rPr>
          <w:rFonts w:hint="eastAsia" w:ascii="宋体" w:hAnsi="宋体" w:cs="宋体"/>
          <w:b/>
          <w:color w:val="auto"/>
          <w:sz w:val="32"/>
          <w:szCs w:val="32"/>
          <w:highlight w:val="none"/>
        </w:rPr>
      </w:pPr>
    </w:p>
    <w:p w14:paraId="024E7313">
      <w:pPr>
        <w:pStyle w:val="259"/>
        <w:spacing w:beforeAutospacing="0" w:afterAutospacing="0"/>
        <w:jc w:val="center"/>
        <w:rPr>
          <w:rFonts w:hint="eastAsia" w:ascii="宋体" w:hAnsi="宋体" w:cs="宋体"/>
          <w:b/>
          <w:color w:val="auto"/>
          <w:sz w:val="32"/>
          <w:szCs w:val="32"/>
          <w:highlight w:val="none"/>
        </w:rPr>
      </w:pPr>
    </w:p>
    <w:p w14:paraId="28300F2B">
      <w:pPr>
        <w:pStyle w:val="259"/>
        <w:spacing w:beforeAutospacing="0" w:afterAutospacing="0"/>
        <w:jc w:val="center"/>
        <w:rPr>
          <w:rFonts w:hint="eastAsia" w:ascii="宋体" w:hAnsi="宋体" w:cs="宋体"/>
          <w:b/>
          <w:color w:val="auto"/>
          <w:sz w:val="32"/>
          <w:szCs w:val="32"/>
          <w:highlight w:val="none"/>
        </w:rPr>
      </w:pPr>
    </w:p>
    <w:p w14:paraId="5293AFCA">
      <w:pPr>
        <w:pStyle w:val="259"/>
        <w:spacing w:beforeAutospacing="0" w:afterAutospacing="0"/>
        <w:jc w:val="center"/>
        <w:rPr>
          <w:rFonts w:hint="eastAsia" w:ascii="宋体" w:hAnsi="宋体" w:cs="宋体"/>
          <w:b/>
          <w:color w:val="auto"/>
          <w:sz w:val="32"/>
          <w:szCs w:val="32"/>
          <w:highlight w:val="none"/>
        </w:rPr>
      </w:pPr>
    </w:p>
    <w:p w14:paraId="49AC4380">
      <w:pPr>
        <w:pStyle w:val="259"/>
        <w:spacing w:beforeAutospacing="0" w:afterAutospacing="0"/>
        <w:jc w:val="center"/>
        <w:rPr>
          <w:rFonts w:hint="eastAsia" w:ascii="宋体" w:hAnsi="宋体" w:cs="宋体"/>
          <w:b/>
          <w:color w:val="auto"/>
          <w:sz w:val="32"/>
          <w:szCs w:val="32"/>
          <w:highlight w:val="none"/>
        </w:rPr>
      </w:pPr>
    </w:p>
    <w:p w14:paraId="1FDB70D9">
      <w:pPr>
        <w:pStyle w:val="259"/>
        <w:spacing w:beforeAutospacing="0" w:afterAutospacing="0"/>
        <w:jc w:val="center"/>
        <w:rPr>
          <w:rFonts w:hint="eastAsia" w:ascii="宋体" w:hAnsi="宋体" w:cs="宋体"/>
          <w:b/>
          <w:color w:val="auto"/>
          <w:sz w:val="32"/>
          <w:szCs w:val="32"/>
          <w:highlight w:val="none"/>
        </w:rPr>
      </w:pPr>
    </w:p>
    <w:p w14:paraId="6A5BB2BA">
      <w:pPr>
        <w:pStyle w:val="259"/>
        <w:spacing w:beforeAutospacing="0" w:afterAutospacing="0"/>
        <w:jc w:val="center"/>
        <w:rPr>
          <w:rFonts w:hint="eastAsia" w:ascii="宋体" w:hAnsi="宋体" w:cs="宋体"/>
          <w:b/>
          <w:color w:val="auto"/>
          <w:sz w:val="32"/>
          <w:szCs w:val="32"/>
          <w:highlight w:val="none"/>
        </w:rPr>
      </w:pPr>
    </w:p>
    <w:p w14:paraId="11372A67">
      <w:pPr>
        <w:pStyle w:val="259"/>
        <w:spacing w:beforeAutospacing="0" w:afterAutospacing="0"/>
        <w:jc w:val="center"/>
        <w:rPr>
          <w:rFonts w:hint="eastAsia" w:ascii="宋体" w:hAnsi="宋体" w:cs="宋体"/>
          <w:b/>
          <w:color w:val="auto"/>
          <w:sz w:val="32"/>
          <w:szCs w:val="32"/>
          <w:highlight w:val="none"/>
        </w:rPr>
      </w:pPr>
    </w:p>
    <w:p w14:paraId="375C1BB6">
      <w:pPr>
        <w:pStyle w:val="259"/>
        <w:spacing w:beforeAutospacing="0" w:afterAutospacing="0"/>
        <w:jc w:val="center"/>
        <w:rPr>
          <w:rFonts w:hint="eastAsia" w:ascii="宋体" w:hAnsi="宋体" w:cs="宋体"/>
          <w:b/>
          <w:color w:val="auto"/>
          <w:sz w:val="32"/>
          <w:szCs w:val="32"/>
          <w:highlight w:val="none"/>
        </w:rPr>
      </w:pPr>
    </w:p>
    <w:p w14:paraId="47E69E09">
      <w:pPr>
        <w:pStyle w:val="259"/>
        <w:spacing w:beforeAutospacing="0" w:afterAutospacing="0"/>
        <w:jc w:val="center"/>
        <w:rPr>
          <w:rFonts w:hint="eastAsia" w:ascii="宋体" w:hAnsi="宋体" w:cs="宋体"/>
          <w:b/>
          <w:color w:val="auto"/>
          <w:sz w:val="32"/>
          <w:szCs w:val="32"/>
          <w:highlight w:val="none"/>
        </w:rPr>
      </w:pPr>
    </w:p>
    <w:p w14:paraId="5FAB0FB4">
      <w:pPr>
        <w:pStyle w:val="259"/>
        <w:spacing w:beforeAutospacing="0" w:afterAutospacing="0"/>
        <w:jc w:val="center"/>
        <w:rPr>
          <w:rFonts w:hint="eastAsia" w:ascii="宋体" w:hAnsi="宋体" w:cs="宋体"/>
          <w:b/>
          <w:color w:val="auto"/>
          <w:sz w:val="32"/>
          <w:szCs w:val="32"/>
          <w:highlight w:val="none"/>
        </w:rPr>
      </w:pPr>
    </w:p>
    <w:p w14:paraId="10937B97">
      <w:pPr>
        <w:pStyle w:val="259"/>
        <w:spacing w:beforeAutospacing="0" w:afterAutospacing="0"/>
        <w:jc w:val="center"/>
        <w:rPr>
          <w:rFonts w:hint="eastAsia" w:ascii="宋体" w:hAnsi="宋体" w:cs="宋体"/>
          <w:b/>
          <w:color w:val="auto"/>
          <w:sz w:val="32"/>
          <w:szCs w:val="32"/>
          <w:highlight w:val="none"/>
        </w:rPr>
      </w:pPr>
    </w:p>
    <w:p w14:paraId="7E051B48">
      <w:pPr>
        <w:pStyle w:val="259"/>
        <w:spacing w:beforeAutospacing="0" w:afterAutospacing="0"/>
        <w:jc w:val="center"/>
        <w:rPr>
          <w:rFonts w:hint="eastAsia" w:ascii="宋体" w:hAnsi="宋体" w:cs="宋体"/>
          <w:b/>
          <w:color w:val="auto"/>
          <w:sz w:val="32"/>
          <w:szCs w:val="32"/>
          <w:highlight w:val="none"/>
        </w:rPr>
      </w:pPr>
    </w:p>
    <w:p w14:paraId="30FFBC5F">
      <w:pPr>
        <w:pStyle w:val="259"/>
        <w:spacing w:beforeAutospacing="0" w:afterAutospacing="0"/>
        <w:jc w:val="center"/>
        <w:rPr>
          <w:rFonts w:hint="eastAsia" w:ascii="宋体" w:hAnsi="宋体" w:cs="宋体"/>
          <w:b/>
          <w:color w:val="auto"/>
          <w:sz w:val="32"/>
          <w:szCs w:val="32"/>
          <w:highlight w:val="none"/>
        </w:rPr>
      </w:pPr>
    </w:p>
    <w:p w14:paraId="2F9ECB18">
      <w:pPr>
        <w:pStyle w:val="259"/>
        <w:spacing w:beforeAutospacing="0" w:afterAutospacing="0"/>
        <w:jc w:val="center"/>
        <w:rPr>
          <w:rFonts w:hint="eastAsia" w:ascii="宋体" w:hAnsi="宋体" w:cs="宋体"/>
          <w:b/>
          <w:color w:val="auto"/>
          <w:sz w:val="32"/>
          <w:szCs w:val="32"/>
          <w:highlight w:val="none"/>
        </w:rPr>
      </w:pPr>
    </w:p>
    <w:p w14:paraId="0BCC9776">
      <w:pPr>
        <w:pStyle w:val="259"/>
        <w:spacing w:beforeAutospacing="0" w:afterAutospacing="0"/>
        <w:jc w:val="center"/>
        <w:rPr>
          <w:rFonts w:hint="eastAsia" w:ascii="宋体" w:hAnsi="宋体" w:cs="宋体"/>
          <w:b/>
          <w:color w:val="auto"/>
          <w:sz w:val="32"/>
          <w:szCs w:val="32"/>
          <w:highlight w:val="none"/>
        </w:rPr>
      </w:pPr>
    </w:p>
    <w:p w14:paraId="09F9AFDE">
      <w:pPr>
        <w:pStyle w:val="259"/>
        <w:spacing w:beforeAutospacing="0" w:afterAutospacing="0"/>
        <w:jc w:val="center"/>
        <w:rPr>
          <w:rFonts w:hint="eastAsia" w:ascii="宋体" w:hAnsi="宋体" w:cs="宋体"/>
          <w:b/>
          <w:color w:val="auto"/>
          <w:sz w:val="32"/>
          <w:szCs w:val="32"/>
          <w:highlight w:val="none"/>
        </w:rPr>
      </w:pPr>
    </w:p>
    <w:p w14:paraId="0B258766">
      <w:pPr>
        <w:pStyle w:val="259"/>
        <w:spacing w:beforeAutospacing="0" w:afterAutospacing="0"/>
        <w:jc w:val="center"/>
        <w:rPr>
          <w:rFonts w:hint="eastAsia" w:ascii="宋体" w:hAnsi="宋体" w:cs="宋体"/>
          <w:b/>
          <w:color w:val="auto"/>
          <w:sz w:val="32"/>
          <w:szCs w:val="32"/>
          <w:highlight w:val="none"/>
        </w:rPr>
      </w:pPr>
    </w:p>
    <w:p w14:paraId="10686AC3">
      <w:pPr>
        <w:pStyle w:val="259"/>
        <w:spacing w:beforeAutospacing="0" w:afterAutospacing="0"/>
        <w:jc w:val="center"/>
        <w:rPr>
          <w:rFonts w:hint="eastAsia" w:ascii="宋体" w:hAnsi="宋体" w:cs="宋体"/>
          <w:b/>
          <w:color w:val="auto"/>
          <w:sz w:val="32"/>
          <w:szCs w:val="32"/>
          <w:highlight w:val="none"/>
        </w:rPr>
      </w:pPr>
    </w:p>
    <w:p w14:paraId="6A39EB1D">
      <w:pPr>
        <w:pStyle w:val="259"/>
        <w:spacing w:beforeAutospacing="0" w:afterAutospacing="0"/>
        <w:jc w:val="center"/>
        <w:rPr>
          <w:rFonts w:hint="eastAsia" w:ascii="宋体" w:hAnsi="宋体" w:cs="宋体"/>
          <w:b/>
          <w:color w:val="auto"/>
          <w:sz w:val="32"/>
          <w:szCs w:val="32"/>
          <w:highlight w:val="none"/>
        </w:rPr>
      </w:pPr>
    </w:p>
    <w:p w14:paraId="0A7C9499">
      <w:pPr>
        <w:pStyle w:val="259"/>
        <w:spacing w:beforeAutospacing="0" w:afterAutospacing="0"/>
        <w:jc w:val="center"/>
        <w:rPr>
          <w:rFonts w:hint="eastAsia" w:ascii="宋体" w:hAnsi="宋体" w:cs="宋体"/>
          <w:b/>
          <w:color w:val="auto"/>
          <w:sz w:val="32"/>
          <w:szCs w:val="32"/>
          <w:highlight w:val="none"/>
        </w:rPr>
      </w:pPr>
    </w:p>
    <w:p w14:paraId="0DD416C4">
      <w:pPr>
        <w:pStyle w:val="259"/>
        <w:spacing w:beforeAutospacing="0" w:afterAutospacing="0"/>
        <w:jc w:val="center"/>
        <w:rPr>
          <w:rFonts w:hint="eastAsia" w:ascii="宋体" w:hAnsi="宋体" w:cs="宋体"/>
          <w:b/>
          <w:color w:val="auto"/>
          <w:sz w:val="32"/>
          <w:szCs w:val="32"/>
          <w:highlight w:val="none"/>
        </w:rPr>
      </w:pPr>
    </w:p>
    <w:p w14:paraId="52ECAB6E">
      <w:pPr>
        <w:pStyle w:val="259"/>
        <w:spacing w:beforeAutospacing="0" w:afterAutospacing="0"/>
        <w:jc w:val="center"/>
        <w:rPr>
          <w:rFonts w:hint="eastAsia" w:ascii="宋体" w:hAnsi="宋体" w:cs="宋体"/>
          <w:b/>
          <w:color w:val="auto"/>
          <w:sz w:val="32"/>
          <w:szCs w:val="32"/>
          <w:highlight w:val="none"/>
        </w:rPr>
      </w:pPr>
    </w:p>
    <w:p w14:paraId="46515A5B">
      <w:pPr>
        <w:pStyle w:val="259"/>
        <w:spacing w:beforeAutospacing="0" w:afterAutospacing="0"/>
        <w:jc w:val="center"/>
        <w:rPr>
          <w:rFonts w:hint="eastAsia" w:ascii="宋体" w:hAnsi="宋体" w:cs="宋体"/>
          <w:b/>
          <w:color w:val="auto"/>
          <w:sz w:val="32"/>
          <w:szCs w:val="32"/>
          <w:highlight w:val="none"/>
        </w:rPr>
      </w:pPr>
    </w:p>
    <w:p w14:paraId="02D4868B">
      <w:pPr>
        <w:pStyle w:val="259"/>
        <w:spacing w:beforeAutospacing="0" w:afterAutospacing="0"/>
        <w:jc w:val="center"/>
        <w:rPr>
          <w:rFonts w:hint="eastAsia" w:ascii="宋体" w:hAnsi="宋体" w:cs="宋体"/>
          <w:b/>
          <w:color w:val="auto"/>
          <w:sz w:val="32"/>
          <w:szCs w:val="32"/>
          <w:highlight w:val="none"/>
        </w:rPr>
      </w:pPr>
    </w:p>
    <w:p w14:paraId="51186825">
      <w:pPr>
        <w:pStyle w:val="259"/>
        <w:spacing w:beforeAutospacing="0" w:afterAutospacing="0"/>
        <w:jc w:val="center"/>
        <w:rPr>
          <w:rFonts w:hint="eastAsia" w:ascii="宋体" w:hAnsi="宋体" w:cs="宋体"/>
          <w:b/>
          <w:color w:val="auto"/>
          <w:sz w:val="32"/>
          <w:szCs w:val="32"/>
          <w:highlight w:val="none"/>
        </w:rPr>
      </w:pPr>
    </w:p>
    <w:p w14:paraId="421389C9">
      <w:pPr>
        <w:widowControl/>
        <w:spacing w:line="499" w:lineRule="atLeast"/>
        <w:ind w:firstLine="1600"/>
        <w:rPr>
          <w:rFonts w:hint="eastAsia" w:ascii="宋体" w:hAnsi="宋体" w:cs="宋体"/>
          <w:color w:val="auto"/>
          <w:sz w:val="24"/>
          <w:szCs w:val="24"/>
          <w:highlight w:val="none"/>
        </w:rPr>
      </w:pPr>
    </w:p>
    <w:p w14:paraId="31D0B418">
      <w:pPr>
        <w:widowControl/>
        <w:spacing w:line="499" w:lineRule="atLeast"/>
        <w:ind w:firstLine="1600"/>
        <w:rPr>
          <w:rFonts w:hint="eastAsia" w:ascii="黑体" w:hAnsi="宋体" w:eastAsia="黑体" w:cs="黑体"/>
          <w:b/>
          <w:i/>
          <w:color w:val="auto"/>
          <w:sz w:val="32"/>
          <w:szCs w:val="32"/>
          <w:highlight w:val="none"/>
          <w:u w:val="single"/>
          <w:lang w:val="en-US" w:eastAsia="zh-CN" w:bidi="ar-SA"/>
        </w:rPr>
      </w:pPr>
      <w:r>
        <w:rPr>
          <w:rFonts w:hint="eastAsia" w:ascii="黑体" w:hAnsi="宋体" w:eastAsia="黑体" w:cs="黑体"/>
          <w:b/>
          <w:i/>
          <w:color w:val="auto"/>
          <w:sz w:val="32"/>
          <w:szCs w:val="32"/>
          <w:highlight w:val="none"/>
          <w:u w:val="single"/>
          <w:lang w:val="en-US" w:eastAsia="zh-CN" w:bidi="ar-SA"/>
        </w:rPr>
        <w:t>十八、盐城市政府采购事前信用承诺书 </w:t>
      </w:r>
    </w:p>
    <w:p w14:paraId="41D7B1F7">
      <w:pPr>
        <w:widowControl/>
        <w:spacing w:line="499" w:lineRule="atLeast"/>
        <w:ind w:firstLine="480"/>
        <w:jc w:val="left"/>
        <w:rPr>
          <w:rFonts w:hint="eastAsia" w:ascii="宋体" w:hAnsi="宋体" w:cs="宋体"/>
          <w:color w:val="auto"/>
          <w:szCs w:val="21"/>
          <w:highlight w:val="none"/>
        </w:rPr>
      </w:pPr>
      <w:r>
        <w:rPr>
          <w:rFonts w:hint="eastAsia" w:ascii="宋体" w:hAnsi="宋体" w:cs="宋体"/>
          <w:color w:val="auto"/>
          <w:szCs w:val="21"/>
          <w:highlight w:val="none"/>
        </w:rPr>
        <w:t>为营造我市公开、公平、公正、诚实守信的政府采购交易环境，树立诚信守法的投标人形象，本人代表本单位作出以下承诺：</w:t>
      </w:r>
    </w:p>
    <w:p w14:paraId="24919B5F">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13A02F61">
      <w:pPr>
        <w:widowControl/>
        <w:spacing w:line="499" w:lineRule="atLeast"/>
        <w:ind w:firstLine="480"/>
        <w:jc w:val="left"/>
        <w:rPr>
          <w:rFonts w:hint="eastAsia" w:ascii="宋体" w:hAnsi="宋体" w:cs="宋体"/>
          <w:color w:val="auto"/>
          <w:szCs w:val="21"/>
          <w:highlight w:val="none"/>
        </w:rPr>
      </w:pPr>
      <w:r>
        <w:rPr>
          <w:rFonts w:hint="eastAsia" w:ascii="宋体" w:hAnsi="宋体" w:cs="宋体"/>
          <w:color w:val="auto"/>
          <w:szCs w:val="21"/>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9F6E379">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xml:space="preserve">   （三）严格依照国家和省、市关于政府采购的法律、法规、规章、规范性文件，参加政府采购投标活动；积极履行社会责任，促进廉政建设； </w:t>
      </w:r>
    </w:p>
    <w:p w14:paraId="257E6F36">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（四）严格遵守即时信息公示规定，及时维护和更新盐城市政府采购网中与本单位相关的信息；</w:t>
      </w:r>
    </w:p>
    <w:p w14:paraId="6613F950">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5010EBA">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（六）自觉接受政府、行业组织、社会公众、新闻舆论的监督；</w:t>
      </w:r>
    </w:p>
    <w:p w14:paraId="5C897556">
      <w:pPr>
        <w:widowControl/>
        <w:spacing w:line="499" w:lineRule="atLeast"/>
        <w:ind w:firstLine="480"/>
        <w:jc w:val="left"/>
        <w:rPr>
          <w:rFonts w:hint="eastAsia" w:ascii="宋体" w:hAnsi="宋体" w:cs="宋体"/>
          <w:color w:val="auto"/>
          <w:szCs w:val="21"/>
          <w:highlight w:val="none"/>
        </w:rPr>
      </w:pPr>
      <w:r>
        <w:rPr>
          <w:rFonts w:hint="eastAsia" w:ascii="宋体" w:hAnsi="宋体" w:cs="宋体"/>
          <w:color w:val="auto"/>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0CC080C">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（八）本人已认真阅读了上述承诺，并向本单位员工作了宣传教育。</w:t>
      </w:r>
    </w:p>
    <w:p w14:paraId="2AA5AEBA">
      <w:pPr>
        <w:widowControl/>
        <w:spacing w:line="499" w:lineRule="atLeast"/>
        <w:jc w:val="left"/>
        <w:rPr>
          <w:rFonts w:hint="eastAsia" w:ascii="宋体" w:hAnsi="宋体" w:cs="宋体"/>
          <w:color w:val="auto"/>
          <w:szCs w:val="21"/>
          <w:highlight w:val="none"/>
        </w:rPr>
      </w:pPr>
      <w:r>
        <w:rPr>
          <w:rFonts w:hint="eastAsia" w:ascii="宋体" w:hAnsi="宋体" w:cs="宋体"/>
          <w:color w:val="auto"/>
          <w:szCs w:val="21"/>
          <w:highlight w:val="none"/>
        </w:rPr>
        <w:t>                  法定代表人签名：</w:t>
      </w:r>
    </w:p>
    <w:p w14:paraId="75C27CE2">
      <w:pPr>
        <w:widowControl/>
        <w:spacing w:line="499" w:lineRule="atLeast"/>
        <w:jc w:val="center"/>
        <w:rPr>
          <w:rFonts w:hint="eastAsia" w:ascii="宋体" w:hAnsi="宋体" w:cs="宋体"/>
          <w:color w:val="auto"/>
          <w:szCs w:val="21"/>
          <w:highlight w:val="none"/>
        </w:rPr>
      </w:pPr>
      <w:r>
        <w:rPr>
          <w:rFonts w:hint="eastAsia" w:ascii="宋体" w:hAnsi="宋体" w:cs="宋体"/>
          <w:color w:val="auto"/>
          <w:szCs w:val="21"/>
          <w:highlight w:val="none"/>
        </w:rPr>
        <w:t>                   单位名称（盖章）：</w:t>
      </w:r>
    </w:p>
    <w:p w14:paraId="33201CDE">
      <w:pPr>
        <w:widowControl/>
        <w:spacing w:line="499" w:lineRule="atLeast"/>
        <w:jc w:val="center"/>
        <w:rPr>
          <w:rFonts w:hint="eastAsia" w:ascii="宋体" w:hAnsi="宋体" w:cs="宋体"/>
          <w:color w:val="auto"/>
          <w:szCs w:val="21"/>
          <w:highlight w:val="none"/>
        </w:rPr>
      </w:pPr>
      <w:r>
        <w:rPr>
          <w:rFonts w:hint="eastAsia" w:ascii="宋体" w:hAnsi="宋体" w:cs="宋体"/>
          <w:color w:val="auto"/>
          <w:szCs w:val="21"/>
          <w:highlight w:val="none"/>
        </w:rPr>
        <w:t>                      年月日</w:t>
      </w:r>
      <w:bookmarkEnd w:id="6"/>
      <w:bookmarkEnd w:id="50"/>
      <w:bookmarkEnd w:id="97"/>
      <w:bookmarkEnd w:id="98"/>
      <w:bookmarkEnd w:id="99"/>
      <w:bookmarkEnd w:id="100"/>
      <w:bookmarkEnd w:id="101"/>
      <w:bookmarkEnd w:id="102"/>
      <w:bookmarkEnd w:id="103"/>
      <w:bookmarkEnd w:id="104"/>
      <w:bookmarkEnd w:id="113"/>
      <w:bookmarkEnd w:id="114"/>
      <w:bookmarkEnd w:id="121"/>
      <w:bookmarkEnd w:id="168"/>
      <w:bookmarkEnd w:id="197"/>
      <w:bookmarkEnd w:id="206"/>
      <w:bookmarkEnd w:id="207"/>
      <w:bookmarkEnd w:id="208"/>
      <w:bookmarkEnd w:id="209"/>
      <w:bookmarkEnd w:id="210"/>
      <w:bookmarkEnd w:id="211"/>
      <w:bookmarkEnd w:id="212"/>
      <w:bookmarkEnd w:id="215"/>
      <w:bookmarkEnd w:id="227"/>
      <w:bookmarkEnd w:id="228"/>
      <w:bookmarkEnd w:id="229"/>
      <w:bookmarkEnd w:id="230"/>
      <w:bookmarkEnd w:id="231"/>
    </w:p>
    <w:p w14:paraId="4A2F6AE3">
      <w:pPr>
        <w:pStyle w:val="259"/>
        <w:spacing w:beforeAutospacing="0" w:afterAutospacing="0"/>
        <w:jc w:val="center"/>
        <w:rPr>
          <w:color w:val="auto"/>
          <w:sz w:val="21"/>
          <w:szCs w:val="21"/>
          <w:highlight w:val="none"/>
        </w:rPr>
      </w:pPr>
    </w:p>
    <w:p w14:paraId="6E34BBB8">
      <w:pPr>
        <w:widowControl/>
        <w:spacing w:line="499" w:lineRule="atLeast"/>
        <w:jc w:val="center"/>
        <w:rPr>
          <w:rFonts w:hint="eastAsia" w:ascii="宋体" w:hAnsi="宋体" w:cs="宋体"/>
          <w:color w:val="auto"/>
          <w:sz w:val="32"/>
          <w:szCs w:val="32"/>
          <w:highlight w:val="none"/>
        </w:rPr>
      </w:pPr>
    </w:p>
    <w:p w14:paraId="7AEDB259">
      <w:pPr>
        <w:widowControl/>
        <w:spacing w:line="499" w:lineRule="atLeast"/>
        <w:jc w:val="center"/>
        <w:rPr>
          <w:rFonts w:hint="eastAsia" w:ascii="宋体" w:hAnsi="宋体" w:cs="宋体"/>
          <w:color w:val="auto"/>
          <w:sz w:val="32"/>
          <w:szCs w:val="32"/>
          <w:highlight w:val="none"/>
        </w:rPr>
      </w:pPr>
    </w:p>
    <w:p w14:paraId="0389543D">
      <w:pPr>
        <w:widowControl/>
        <w:spacing w:line="499" w:lineRule="atLeast"/>
        <w:jc w:val="center"/>
        <w:rPr>
          <w:rFonts w:hint="eastAsia" w:ascii="宋体" w:hAnsi="宋体" w:cs="宋体"/>
          <w:color w:val="auto"/>
          <w:sz w:val="32"/>
          <w:szCs w:val="32"/>
          <w:highlight w:val="none"/>
        </w:rPr>
      </w:pPr>
    </w:p>
    <w:p w14:paraId="713B09E5">
      <w:pPr>
        <w:pStyle w:val="259"/>
        <w:spacing w:beforeAutospacing="0" w:afterAutospacing="0"/>
        <w:jc w:val="center"/>
        <w:rPr>
          <w:rFonts w:hint="eastAsia" w:ascii="宋体" w:hAnsi="宋体" w:cs="宋体"/>
          <w:b/>
          <w:color w:val="auto"/>
          <w:sz w:val="32"/>
          <w:szCs w:val="32"/>
          <w:highlight w:val="none"/>
        </w:rPr>
      </w:pPr>
    </w:p>
    <w:p w14:paraId="5A7A4CBB">
      <w:pPr>
        <w:pStyle w:val="259"/>
        <w:spacing w:beforeAutospacing="0" w:afterAutospacing="0"/>
        <w:jc w:val="center"/>
        <w:rPr>
          <w:rFonts w:hint="eastAsia" w:ascii="宋体" w:hAnsi="宋体" w:cs="宋体"/>
          <w:b/>
          <w:color w:val="auto"/>
          <w:sz w:val="32"/>
          <w:szCs w:val="32"/>
          <w:highlight w:val="none"/>
        </w:rPr>
      </w:pPr>
    </w:p>
    <w:p w14:paraId="625177F6">
      <w:pPr>
        <w:pStyle w:val="259"/>
        <w:spacing w:beforeAutospacing="0" w:afterAutospacing="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质疑函范本</w:t>
      </w:r>
    </w:p>
    <w:p w14:paraId="7B77FEA5">
      <w:pPr>
        <w:pStyle w:val="259"/>
        <w:spacing w:before="290"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一、质疑供应商基本信息</w:t>
      </w:r>
    </w:p>
    <w:p w14:paraId="63254A76">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质疑供应商：</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105914AD">
      <w:pPr>
        <w:pStyle w:val="259"/>
        <w:spacing w:beforeAutospacing="0" w:afterAutospacing="0" w:line="360" w:lineRule="auto"/>
        <w:jc w:val="both"/>
        <w:rPr>
          <w:rFonts w:hint="eastAsia" w:ascii="宋体" w:hAnsi="宋体" w:cs="宋体"/>
          <w:color w:val="auto"/>
          <w:highlight w:val="none"/>
          <w:u w:val="single"/>
        </w:rPr>
      </w:pPr>
      <w:r>
        <w:rPr>
          <w:rFonts w:hint="eastAsia" w:ascii="宋体" w:hAnsi="宋体" w:cs="宋体"/>
          <w:color w:val="auto"/>
          <w:highlight w:val="none"/>
        </w:rPr>
        <w:t>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w:t>
      </w:r>
    </w:p>
    <w:p w14:paraId="49637C89">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221AF3D0">
      <w:pPr>
        <w:pStyle w:val="259"/>
        <w:spacing w:beforeAutospacing="0" w:afterAutospacing="0" w:line="360" w:lineRule="auto"/>
        <w:jc w:val="both"/>
        <w:rPr>
          <w:rFonts w:hint="eastAsia" w:ascii="宋体" w:hAnsi="宋体" w:cs="宋体"/>
          <w:color w:val="auto"/>
          <w:highlight w:val="none"/>
          <w:u w:val="single"/>
        </w:rPr>
      </w:pPr>
      <w:r>
        <w:rPr>
          <w:rFonts w:hint="eastAsia" w:ascii="宋体" w:hAnsi="宋体" w:cs="宋体"/>
          <w:color w:val="auto"/>
          <w:highlight w:val="none"/>
        </w:rPr>
        <w:t>联系人：</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37ACBA81">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p>
    <w:p w14:paraId="10E01998">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授权代表：</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2F214856">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24F7B364">
      <w:pPr>
        <w:pStyle w:val="259"/>
        <w:spacing w:beforeAutospacing="0" w:afterAutospacing="0" w:line="360" w:lineRule="auto"/>
        <w:jc w:val="both"/>
        <w:rPr>
          <w:rFonts w:hint="eastAsia" w:ascii="宋体" w:hAnsi="宋体" w:cs="宋体"/>
          <w:color w:val="auto"/>
          <w:highlight w:val="none"/>
          <w:u w:val="single"/>
        </w:rPr>
      </w:pPr>
      <w:r>
        <w:rPr>
          <w:rFonts w:hint="eastAsia" w:ascii="宋体" w:hAnsi="宋体" w:cs="宋体"/>
          <w:color w:val="auto"/>
          <w:highlight w:val="none"/>
        </w:rPr>
        <w:t>地址： </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1B27FE61">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xml:space="preserve">                                </w:t>
      </w:r>
    </w:p>
    <w:p w14:paraId="58355831">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二、质疑项目基本情况</w:t>
      </w:r>
    </w:p>
    <w:p w14:paraId="4535FD0C">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质疑项目的名称：</w:t>
      </w:r>
      <w:r>
        <w:rPr>
          <w:rFonts w:hint="eastAsia" w:ascii="宋体" w:hAnsi="宋体" w:cs="宋体"/>
          <w:color w:val="auto"/>
          <w:highlight w:val="none"/>
          <w:u w:val="single"/>
        </w:rPr>
        <w:t xml:space="preserve">                            </w:t>
      </w:r>
    </w:p>
    <w:p w14:paraId="3978AFE6">
      <w:pPr>
        <w:pStyle w:val="259"/>
        <w:spacing w:beforeAutospacing="0" w:afterAutospacing="0" w:line="360" w:lineRule="auto"/>
        <w:jc w:val="both"/>
        <w:rPr>
          <w:rFonts w:hint="eastAsia" w:ascii="宋体" w:hAnsi="宋体" w:cs="宋体"/>
          <w:color w:val="auto"/>
          <w:highlight w:val="none"/>
          <w:u w:val="single"/>
        </w:rPr>
      </w:pPr>
      <w:r>
        <w:rPr>
          <w:rFonts w:hint="eastAsia" w:ascii="宋体" w:hAnsi="宋体" w:cs="宋体"/>
          <w:color w:val="auto"/>
          <w:highlight w:val="none"/>
        </w:rPr>
        <w:t>质疑项目的编号：</w:t>
      </w:r>
      <w:r>
        <w:rPr>
          <w:rFonts w:hint="eastAsia" w:ascii="宋体" w:hAnsi="宋体" w:cs="宋体"/>
          <w:color w:val="auto"/>
          <w:highlight w:val="none"/>
          <w:u w:val="single"/>
        </w:rPr>
        <w:t xml:space="preserve">                          </w:t>
      </w:r>
    </w:p>
    <w:p w14:paraId="638589F4">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196402C2">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采购人名称：</w:t>
      </w:r>
      <w:r>
        <w:rPr>
          <w:rFonts w:hint="eastAsia" w:ascii="宋体" w:hAnsi="宋体" w:cs="宋体"/>
          <w:color w:val="auto"/>
          <w:highlight w:val="none"/>
          <w:u w:val="single"/>
        </w:rPr>
        <w:t xml:space="preserve">                            </w:t>
      </w:r>
    </w:p>
    <w:p w14:paraId="1D17E481">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采购文件获取日期：</w:t>
      </w:r>
      <w:r>
        <w:rPr>
          <w:rFonts w:hint="eastAsia" w:ascii="宋体" w:hAnsi="宋体" w:cs="宋体"/>
          <w:color w:val="auto"/>
          <w:highlight w:val="none"/>
          <w:u w:val="single"/>
        </w:rPr>
        <w:t xml:space="preserve">                             </w:t>
      </w:r>
    </w:p>
    <w:p w14:paraId="2B9AC360">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三、质疑事项具体内容</w:t>
      </w:r>
    </w:p>
    <w:p w14:paraId="483564AC">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质疑事项1：</w:t>
      </w:r>
      <w:r>
        <w:rPr>
          <w:rFonts w:hint="eastAsia" w:ascii="宋体" w:hAnsi="宋体" w:cs="宋体"/>
          <w:color w:val="auto"/>
          <w:highlight w:val="none"/>
          <w:u w:val="single"/>
        </w:rPr>
        <w:t xml:space="preserve">                             </w:t>
      </w:r>
    </w:p>
    <w:p w14:paraId="11FF2851">
      <w:pPr>
        <w:pStyle w:val="259"/>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事实依据：</w:t>
      </w:r>
      <w:r>
        <w:rPr>
          <w:rFonts w:hint="eastAsia" w:ascii="宋体" w:hAnsi="宋体" w:cs="宋体"/>
          <w:color w:val="auto"/>
          <w:highlight w:val="none"/>
          <w:u w:val="single"/>
        </w:rPr>
        <w:t xml:space="preserve">                                                   </w:t>
      </w:r>
    </w:p>
    <w:p w14:paraId="11F9B3C5">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法律依据：</w:t>
      </w:r>
      <w:r>
        <w:rPr>
          <w:rFonts w:hint="eastAsia" w:ascii="宋体" w:hAnsi="宋体" w:cs="宋体"/>
          <w:color w:val="auto"/>
          <w:highlight w:val="none"/>
          <w:u w:val="single"/>
        </w:rPr>
        <w:t xml:space="preserve">                                                    </w:t>
      </w:r>
    </w:p>
    <w:p w14:paraId="3B080CF4">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质疑事项2</w:t>
      </w:r>
    </w:p>
    <w:p w14:paraId="433B747C">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w:t>
      </w:r>
    </w:p>
    <w:p w14:paraId="0BF32447">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四、与质疑事项相关的质疑请求</w:t>
      </w:r>
    </w:p>
    <w:p w14:paraId="019C55BA">
      <w:pPr>
        <w:pStyle w:val="259"/>
        <w:spacing w:beforeAutospacing="0" w:afterAutospacing="0" w:line="360" w:lineRule="auto"/>
        <w:jc w:val="both"/>
        <w:rPr>
          <w:rFonts w:hint="eastAsia" w:ascii="宋体" w:hAnsi="宋体" w:cs="宋体"/>
          <w:color w:val="auto"/>
          <w:highlight w:val="none"/>
        </w:rPr>
      </w:pPr>
      <w:r>
        <w:rPr>
          <w:rFonts w:hint="eastAsia" w:ascii="宋体" w:hAnsi="宋体" w:cs="宋体"/>
          <w:color w:val="auto"/>
          <w:highlight w:val="none"/>
        </w:rPr>
        <w:t>请求：</w:t>
      </w:r>
      <w:r>
        <w:rPr>
          <w:rFonts w:hint="eastAsia" w:ascii="宋体" w:hAnsi="宋体" w:cs="宋体"/>
          <w:color w:val="auto"/>
          <w:highlight w:val="none"/>
          <w:u w:val="single"/>
        </w:rPr>
        <w:t xml:space="preserve">                                                          </w:t>
      </w:r>
    </w:p>
    <w:p w14:paraId="28764A87">
      <w:pPr>
        <w:pStyle w:val="259"/>
        <w:spacing w:beforeAutospacing="0" w:afterAutospacing="0"/>
        <w:jc w:val="both"/>
        <w:rPr>
          <w:rFonts w:hint="eastAsia" w:ascii="宋体" w:hAnsi="宋体" w:cs="宋体"/>
          <w:color w:val="auto"/>
          <w:highlight w:val="none"/>
        </w:rPr>
      </w:pPr>
      <w:r>
        <w:rPr>
          <w:rFonts w:hint="eastAsia" w:ascii="宋体" w:hAnsi="宋体" w:cs="宋体"/>
          <w:color w:val="auto"/>
          <w:highlight w:val="none"/>
        </w:rPr>
        <w:t xml:space="preserve">签字(签章)：                 公章：               日期：    </w:t>
      </w:r>
    </w:p>
    <w:p w14:paraId="41F9AF1A">
      <w:pPr>
        <w:pStyle w:val="259"/>
        <w:spacing w:beforeAutospacing="0" w:afterAutospacing="0" w:line="0" w:lineRule="atLeast"/>
        <w:jc w:val="both"/>
        <w:rPr>
          <w:rFonts w:hint="eastAsia" w:ascii="宋体" w:hAnsi="宋体" w:cs="宋体"/>
          <w:color w:val="auto"/>
          <w:highlight w:val="none"/>
        </w:rPr>
      </w:pPr>
      <w:r>
        <w:rPr>
          <w:rFonts w:hint="eastAsia" w:ascii="宋体" w:hAnsi="宋体" w:cs="宋体"/>
          <w:b/>
          <w:color w:val="auto"/>
          <w:highlight w:val="none"/>
        </w:rPr>
        <w:t>质疑函制作说明：</w:t>
      </w:r>
    </w:p>
    <w:p w14:paraId="30398441">
      <w:pPr>
        <w:pStyle w:val="259"/>
        <w:widowControl/>
        <w:spacing w:beforeAutospacing="0" w:afterAutospacing="0" w:line="0" w:lineRule="atLeast"/>
        <w:ind w:firstLine="480"/>
        <w:rPr>
          <w:rFonts w:hint="eastAsia" w:ascii="宋体" w:hAnsi="宋体" w:cs="宋体"/>
          <w:color w:val="auto"/>
          <w:highlight w:val="none"/>
        </w:rPr>
      </w:pPr>
      <w:r>
        <w:rPr>
          <w:rFonts w:hint="eastAsia" w:ascii="宋体" w:hAnsi="宋体" w:cs="宋体"/>
          <w:color w:val="auto"/>
          <w:highlight w:val="none"/>
        </w:rPr>
        <w:t>1.供应商提出质疑时，应提交质疑函和必要的证明材料。</w:t>
      </w:r>
    </w:p>
    <w:p w14:paraId="4B7E5BE5">
      <w:pPr>
        <w:pStyle w:val="259"/>
        <w:widowControl/>
        <w:spacing w:beforeAutospacing="0" w:afterAutospacing="0" w:line="0" w:lineRule="atLeast"/>
        <w:ind w:firstLine="480"/>
        <w:rPr>
          <w:rFonts w:hint="eastAsia" w:ascii="宋体" w:hAnsi="宋体" w:cs="宋体"/>
          <w:color w:val="auto"/>
          <w:highlight w:val="none"/>
        </w:rPr>
      </w:pPr>
      <w:r>
        <w:rPr>
          <w:rFonts w:hint="eastAsia" w:ascii="宋体" w:hAnsi="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0F36D4E">
      <w:pPr>
        <w:pStyle w:val="259"/>
        <w:widowControl/>
        <w:spacing w:beforeAutospacing="0" w:afterAutospacing="0" w:line="0" w:lineRule="atLeast"/>
        <w:ind w:firstLine="480"/>
        <w:rPr>
          <w:rFonts w:hint="eastAsia" w:ascii="宋体" w:hAnsi="宋体" w:cs="宋体"/>
          <w:color w:val="auto"/>
          <w:highlight w:val="none"/>
        </w:rPr>
      </w:pPr>
      <w:r>
        <w:rPr>
          <w:rFonts w:hint="eastAsia" w:ascii="宋体" w:hAnsi="宋体" w:cs="宋体"/>
          <w:color w:val="auto"/>
          <w:highlight w:val="none"/>
        </w:rPr>
        <w:t>3.质疑供应商若对项目的某一分包进行质疑，质疑函中应列明具体分包号。</w:t>
      </w:r>
    </w:p>
    <w:p w14:paraId="12D48363">
      <w:pPr>
        <w:pStyle w:val="259"/>
        <w:widowControl/>
        <w:spacing w:beforeAutospacing="0" w:afterAutospacing="0" w:line="0" w:lineRule="atLeast"/>
        <w:ind w:firstLine="480"/>
        <w:rPr>
          <w:rFonts w:hint="eastAsia" w:ascii="宋体" w:hAnsi="宋体" w:cs="宋体"/>
          <w:color w:val="auto"/>
          <w:highlight w:val="none"/>
        </w:rPr>
      </w:pPr>
      <w:r>
        <w:rPr>
          <w:rFonts w:hint="eastAsia" w:ascii="宋体" w:hAnsi="宋体" w:cs="宋体"/>
          <w:color w:val="auto"/>
          <w:highlight w:val="none"/>
        </w:rPr>
        <w:t>4.质疑函的质疑事项应具体、明确，并有必要的事实依据和法律依据。</w:t>
      </w:r>
    </w:p>
    <w:p w14:paraId="42808079">
      <w:pPr>
        <w:pStyle w:val="259"/>
        <w:widowControl/>
        <w:spacing w:beforeAutospacing="0" w:afterAutospacing="0" w:line="0" w:lineRule="atLeast"/>
        <w:ind w:firstLine="480"/>
        <w:rPr>
          <w:rFonts w:hint="eastAsia" w:ascii="宋体" w:hAnsi="宋体" w:cs="宋体"/>
          <w:color w:val="auto"/>
          <w:highlight w:val="none"/>
        </w:rPr>
      </w:pPr>
      <w:r>
        <w:rPr>
          <w:rFonts w:hint="eastAsia" w:ascii="宋体" w:hAnsi="宋体" w:cs="宋体"/>
          <w:color w:val="auto"/>
          <w:highlight w:val="none"/>
        </w:rPr>
        <w:t>5.质疑函的质疑请求应与质疑事项相关。</w:t>
      </w:r>
    </w:p>
    <w:p w14:paraId="26DD3C24">
      <w:pPr>
        <w:pStyle w:val="259"/>
        <w:widowControl/>
        <w:spacing w:beforeAutospacing="0" w:afterAutospacing="0" w:line="0" w:lineRule="atLeast"/>
        <w:ind w:firstLine="480"/>
        <w:rPr>
          <w:rFonts w:hint="eastAsia" w:ascii="宋体" w:hAnsi="宋体" w:cs="宋体"/>
          <w:color w:val="auto"/>
          <w:highlight w:val="none"/>
        </w:rPr>
      </w:pPr>
      <w:r>
        <w:rPr>
          <w:rFonts w:hint="eastAsia" w:ascii="宋体" w:hAnsi="宋体" w:cs="宋体"/>
          <w:color w:val="auto"/>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方正仿宋_GBK">
    <w:altName w:val="微软雅黑"/>
    <w:panose1 w:val="02000000000000000000"/>
    <w:charset w:val="86"/>
    <w:family w:val="auto"/>
    <w:pitch w:val="default"/>
    <w:sig w:usb0="00000000" w:usb1="00000000" w:usb2="00082016" w:usb3="00000000" w:csb0="00040001" w:csb1="00000000"/>
  </w:font>
  <w:font w:name="方正书宋_GBK">
    <w:altName w:val="微软雅黑"/>
    <w:panose1 w:val="020B0503020202020204"/>
    <w:charset w:val="00"/>
    <w:family w:val="auto"/>
    <w:pitch w:val="default"/>
    <w:sig w:usb0="00000000" w:usb1="00000000" w:usb2="00000000" w:usb3="00000000" w:csb0="00000000" w:csb1="00000000"/>
  </w:font>
  <w:font w:name="Microsoft Himalaya">
    <w:panose1 w:val="01010100010101010101"/>
    <w:charset w:val="00"/>
    <w:family w:val="auto"/>
    <w:pitch w:val="default"/>
    <w:sig w:usb0="80000003" w:usb1="00010000" w:usb2="00000040" w:usb3="00000000" w:csb0="00000001"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E3B77">
    <w:pPr>
      <w:pStyle w:val="85"/>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16DB97E">
                          <w:pPr>
                            <w:pStyle w:val="85"/>
                            <w:tabs>
                              <w:tab w:val="clear" w:pos="7143"/>
                              <w:tab w:val="clear" w:pos="14287"/>
                            </w:tabs>
                          </w:pPr>
                          <w:r>
                            <w:fldChar w:fldCharType="begin"/>
                          </w:r>
                          <w:r>
                            <w:instrText xml:space="preserve"> PAGE  \* MERGEFORMAT </w:instrText>
                          </w:r>
                          <w:r>
                            <w:fldChar w:fldCharType="separate"/>
                          </w:r>
                          <w:r>
                            <w:t>1</w:t>
                          </w:r>
                          <w:r>
                            <w:fldChar w:fldCharType="end"/>
                          </w:r>
                        </w:p>
                        <w:p w14:paraId="5F50960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16DB97E">
                    <w:pPr>
                      <w:pStyle w:val="85"/>
                      <w:tabs>
                        <w:tab w:val="clear" w:pos="7143"/>
                        <w:tab w:val="clear" w:pos="14287"/>
                      </w:tabs>
                    </w:pPr>
                    <w:r>
                      <w:fldChar w:fldCharType="begin"/>
                    </w:r>
                    <w:r>
                      <w:instrText xml:space="preserve"> PAGE  \* MERGEFORMAT </w:instrText>
                    </w:r>
                    <w:r>
                      <w:fldChar w:fldCharType="separate"/>
                    </w:r>
                    <w:r>
                      <w:t>1</w:t>
                    </w:r>
                    <w:r>
                      <w:fldChar w:fldCharType="end"/>
                    </w:r>
                  </w:p>
                  <w:p w14:paraId="5F509608"/>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64158">
    <w:pPr>
      <w:pStyle w:val="26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0E2E76A">
                          <w:pPr>
                            <w:pStyle w:val="85"/>
                            <w:tabs>
                              <w:tab w:val="clear" w:pos="7143"/>
                              <w:tab w:val="clear" w:pos="14287"/>
                            </w:tabs>
                          </w:pPr>
                          <w:r>
                            <w:fldChar w:fldCharType="begin"/>
                          </w:r>
                          <w:r>
                            <w:instrText xml:space="preserve"> PAGE  \* MERGEFORMAT </w:instrText>
                          </w:r>
                          <w:r>
                            <w:fldChar w:fldCharType="separate"/>
                          </w:r>
                          <w:r>
                            <w:t>2</w:t>
                          </w:r>
                          <w:r>
                            <w:fldChar w:fldCharType="end"/>
                          </w:r>
                        </w:p>
                        <w:p w14:paraId="3AADFBC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0E2E76A">
                    <w:pPr>
                      <w:pStyle w:val="85"/>
                      <w:tabs>
                        <w:tab w:val="clear" w:pos="7143"/>
                        <w:tab w:val="clear" w:pos="14287"/>
                      </w:tabs>
                    </w:pPr>
                    <w:r>
                      <w:fldChar w:fldCharType="begin"/>
                    </w:r>
                    <w:r>
                      <w:instrText xml:space="preserve"> PAGE  \* MERGEFORMAT </w:instrText>
                    </w:r>
                    <w:r>
                      <w:fldChar w:fldCharType="separate"/>
                    </w:r>
                    <w:r>
                      <w:t>2</w:t>
                    </w:r>
                    <w:r>
                      <w:fldChar w:fldCharType="end"/>
                    </w:r>
                  </w:p>
                  <w:p w14:paraId="3AADFBCD"/>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8F3A65"/>
    <w:rsid w:val="04AB6518"/>
    <w:rsid w:val="04D86E16"/>
    <w:rsid w:val="05F041C0"/>
    <w:rsid w:val="06D1190A"/>
    <w:rsid w:val="076D0A91"/>
    <w:rsid w:val="097E3F67"/>
    <w:rsid w:val="0A2649D7"/>
    <w:rsid w:val="0A8E2DE3"/>
    <w:rsid w:val="0B095AB3"/>
    <w:rsid w:val="0B5C2086"/>
    <w:rsid w:val="0BB60EC9"/>
    <w:rsid w:val="0C4F5BAD"/>
    <w:rsid w:val="0C9F4364"/>
    <w:rsid w:val="0E975183"/>
    <w:rsid w:val="10316966"/>
    <w:rsid w:val="105D445E"/>
    <w:rsid w:val="10AB4287"/>
    <w:rsid w:val="110A3DFB"/>
    <w:rsid w:val="12C31AA5"/>
    <w:rsid w:val="12E91D22"/>
    <w:rsid w:val="135457C0"/>
    <w:rsid w:val="13B179BB"/>
    <w:rsid w:val="143E6934"/>
    <w:rsid w:val="15567B46"/>
    <w:rsid w:val="1582093B"/>
    <w:rsid w:val="163D6FBE"/>
    <w:rsid w:val="16805733"/>
    <w:rsid w:val="16B441CD"/>
    <w:rsid w:val="17AC7AAE"/>
    <w:rsid w:val="18F179C4"/>
    <w:rsid w:val="1BD30053"/>
    <w:rsid w:val="1C3050E0"/>
    <w:rsid w:val="1C3675C5"/>
    <w:rsid w:val="1CB72089"/>
    <w:rsid w:val="1EEC3B18"/>
    <w:rsid w:val="20580F04"/>
    <w:rsid w:val="20BD1B70"/>
    <w:rsid w:val="217F08B0"/>
    <w:rsid w:val="24805803"/>
    <w:rsid w:val="26136E77"/>
    <w:rsid w:val="262C709E"/>
    <w:rsid w:val="266656E3"/>
    <w:rsid w:val="285E6FE6"/>
    <w:rsid w:val="28CE7CEF"/>
    <w:rsid w:val="29A00997"/>
    <w:rsid w:val="2AE37C17"/>
    <w:rsid w:val="2AEF232A"/>
    <w:rsid w:val="2B0A3F7A"/>
    <w:rsid w:val="2B13436F"/>
    <w:rsid w:val="2B6D587C"/>
    <w:rsid w:val="2B856BA8"/>
    <w:rsid w:val="2C2B3683"/>
    <w:rsid w:val="2C432615"/>
    <w:rsid w:val="2CE04CCC"/>
    <w:rsid w:val="2DB46F9A"/>
    <w:rsid w:val="2DB92430"/>
    <w:rsid w:val="2DE04DA9"/>
    <w:rsid w:val="2E531DBF"/>
    <w:rsid w:val="3084306C"/>
    <w:rsid w:val="31702EF2"/>
    <w:rsid w:val="32383344"/>
    <w:rsid w:val="35671EB4"/>
    <w:rsid w:val="36320523"/>
    <w:rsid w:val="366B78A2"/>
    <w:rsid w:val="36F82479"/>
    <w:rsid w:val="38930294"/>
    <w:rsid w:val="394168EE"/>
    <w:rsid w:val="3E4846B4"/>
    <w:rsid w:val="3FDC698D"/>
    <w:rsid w:val="43731562"/>
    <w:rsid w:val="43B2121A"/>
    <w:rsid w:val="44D9203D"/>
    <w:rsid w:val="451B4C5E"/>
    <w:rsid w:val="472F1B28"/>
    <w:rsid w:val="47AD5E81"/>
    <w:rsid w:val="47FE5C9E"/>
    <w:rsid w:val="48EB2919"/>
    <w:rsid w:val="4B206A46"/>
    <w:rsid w:val="4B386DCB"/>
    <w:rsid w:val="4B3E5F75"/>
    <w:rsid w:val="4B942491"/>
    <w:rsid w:val="4B9F509C"/>
    <w:rsid w:val="4BEC1DE9"/>
    <w:rsid w:val="4C336B95"/>
    <w:rsid w:val="4DAF797F"/>
    <w:rsid w:val="4FC7696F"/>
    <w:rsid w:val="50CB1929"/>
    <w:rsid w:val="51BE31A4"/>
    <w:rsid w:val="537F7C8D"/>
    <w:rsid w:val="544A3D2A"/>
    <w:rsid w:val="54B74B11"/>
    <w:rsid w:val="551B1C37"/>
    <w:rsid w:val="55776611"/>
    <w:rsid w:val="56E23ACD"/>
    <w:rsid w:val="58825ACC"/>
    <w:rsid w:val="5884416D"/>
    <w:rsid w:val="58B3330D"/>
    <w:rsid w:val="59232E69"/>
    <w:rsid w:val="594A0E70"/>
    <w:rsid w:val="59A22565"/>
    <w:rsid w:val="5B7E6C38"/>
    <w:rsid w:val="5BA364E3"/>
    <w:rsid w:val="5C9A1A6A"/>
    <w:rsid w:val="5F2150E3"/>
    <w:rsid w:val="6069653C"/>
    <w:rsid w:val="606E1410"/>
    <w:rsid w:val="61412A26"/>
    <w:rsid w:val="637F1488"/>
    <w:rsid w:val="64211B9D"/>
    <w:rsid w:val="644246CB"/>
    <w:rsid w:val="64B72E5B"/>
    <w:rsid w:val="65640AB2"/>
    <w:rsid w:val="66372649"/>
    <w:rsid w:val="66D944D9"/>
    <w:rsid w:val="69470582"/>
    <w:rsid w:val="69B276F3"/>
    <w:rsid w:val="6B411343"/>
    <w:rsid w:val="6B655563"/>
    <w:rsid w:val="6C976054"/>
    <w:rsid w:val="6E5024FA"/>
    <w:rsid w:val="6FCB25CC"/>
    <w:rsid w:val="70073CCC"/>
    <w:rsid w:val="704E027D"/>
    <w:rsid w:val="708D2EE3"/>
    <w:rsid w:val="71642A9E"/>
    <w:rsid w:val="737C169B"/>
    <w:rsid w:val="76E26322"/>
    <w:rsid w:val="7849788F"/>
    <w:rsid w:val="79231B0D"/>
    <w:rsid w:val="79643277"/>
    <w:rsid w:val="79CC49FF"/>
    <w:rsid w:val="7AC2652D"/>
    <w:rsid w:val="7B0D590A"/>
    <w:rsid w:val="7B8C08E9"/>
    <w:rsid w:val="7BE44282"/>
    <w:rsid w:val="7C13233C"/>
    <w:rsid w:val="7C7B38C5"/>
    <w:rsid w:val="7CBD4FF3"/>
    <w:rsid w:val="7D44147C"/>
    <w:rsid w:val="7E01736D"/>
    <w:rsid w:val="7EF84FD8"/>
    <w:rsid w:val="7F673D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5"/>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next w:val="1"/>
    <w:qFormat/>
    <w:uiPriority w:val="0"/>
    <w:pPr>
      <w:spacing w:after="120" w:afterLines="0"/>
      <w:ind w:firstLine="420" w:firstLineChars="100"/>
    </w:pPr>
    <w:rPr>
      <w:sz w:val="21"/>
      <w:szCs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0"/>
    <w:pPr>
      <w:spacing w:beforeLines="0" w:beforeAutospacing="1" w:afterLines="0" w:afterAutospacing="1"/>
      <w:jc w:val="left"/>
    </w:pPr>
    <w:rPr>
      <w:rFonts w:hint="default"/>
      <w:sz w:val="24"/>
      <w:szCs w:val="24"/>
    </w:r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目录 1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7">
    <w:name w:val="正文文本缩进111"/>
    <w:basedOn w:val="1"/>
    <w:next w:val="1"/>
    <w:qFormat/>
    <w:uiPriority w:val="0"/>
    <w:pPr>
      <w:ind w:left="-105" w:firstLine="742"/>
    </w:pPr>
    <w:rPr>
      <w:rFonts w:ascii="Times New Roman" w:hAnsi="Times New Roman" w:eastAsia="仿宋_GB2312" w:cs="Times New Roman"/>
      <w:sz w:val="32"/>
      <w:szCs w:val="24"/>
    </w:rPr>
  </w:style>
  <w:style w:type="character" w:customStyle="1" w:styleId="38">
    <w:name w:val="Heading 1 Char"/>
    <w:link w:val="3"/>
    <w:qFormat/>
    <w:uiPriority w:val="9"/>
    <w:rPr>
      <w:rFonts w:ascii="Arial" w:hAnsi="Arial" w:eastAsia="Arial" w:cs="Arial"/>
      <w:sz w:val="40"/>
      <w:szCs w:val="40"/>
    </w:rPr>
  </w:style>
  <w:style w:type="character" w:customStyle="1" w:styleId="39">
    <w:name w:val="Heading 2 Char"/>
    <w:link w:val="4"/>
    <w:qFormat/>
    <w:uiPriority w:val="9"/>
    <w:rPr>
      <w:rFonts w:ascii="Arial" w:hAnsi="Arial" w:eastAsia="Arial" w:cs="Arial"/>
      <w:sz w:val="34"/>
    </w:rPr>
  </w:style>
  <w:style w:type="character" w:customStyle="1" w:styleId="40">
    <w:name w:val="Heading 3 Char"/>
    <w:link w:val="5"/>
    <w:qFormat/>
    <w:uiPriority w:val="9"/>
    <w:rPr>
      <w:rFonts w:ascii="Arial" w:hAnsi="Arial" w:eastAsia="Arial" w:cs="Arial"/>
      <w:sz w:val="30"/>
      <w:szCs w:val="30"/>
    </w:rPr>
  </w:style>
  <w:style w:type="character" w:customStyle="1" w:styleId="41">
    <w:name w:val="Heading 4 Char"/>
    <w:link w:val="6"/>
    <w:qFormat/>
    <w:uiPriority w:val="9"/>
    <w:rPr>
      <w:rFonts w:ascii="Arial" w:hAnsi="Arial" w:eastAsia="Arial" w:cs="Arial"/>
      <w:b/>
      <w:bCs/>
      <w:sz w:val="26"/>
      <w:szCs w:val="26"/>
    </w:rPr>
  </w:style>
  <w:style w:type="character" w:customStyle="1" w:styleId="42">
    <w:name w:val="Heading 5 Char"/>
    <w:link w:val="7"/>
    <w:qFormat/>
    <w:uiPriority w:val="9"/>
    <w:rPr>
      <w:rFonts w:ascii="Arial" w:hAnsi="Arial" w:eastAsia="Arial" w:cs="Arial"/>
      <w:b/>
      <w:bCs/>
      <w:sz w:val="24"/>
      <w:szCs w:val="24"/>
    </w:rPr>
  </w:style>
  <w:style w:type="character" w:customStyle="1" w:styleId="43">
    <w:name w:val="Heading 6 Char"/>
    <w:link w:val="8"/>
    <w:qFormat/>
    <w:uiPriority w:val="9"/>
    <w:rPr>
      <w:rFonts w:ascii="Arial" w:hAnsi="Arial" w:eastAsia="Arial" w:cs="Arial"/>
      <w:b/>
      <w:bCs/>
      <w:sz w:val="22"/>
      <w:szCs w:val="22"/>
    </w:rPr>
  </w:style>
  <w:style w:type="character" w:customStyle="1" w:styleId="44">
    <w:name w:val="Heading 7 Char"/>
    <w:link w:val="9"/>
    <w:qFormat/>
    <w:uiPriority w:val="9"/>
    <w:rPr>
      <w:rFonts w:ascii="Arial" w:hAnsi="Arial" w:eastAsia="Arial" w:cs="Arial"/>
      <w:b/>
      <w:bCs/>
      <w:i/>
      <w:iCs/>
      <w:sz w:val="22"/>
      <w:szCs w:val="22"/>
    </w:rPr>
  </w:style>
  <w:style w:type="character" w:customStyle="1" w:styleId="45">
    <w:name w:val="Heading 8 Char"/>
    <w:link w:val="10"/>
    <w:qFormat/>
    <w:uiPriority w:val="9"/>
    <w:rPr>
      <w:rFonts w:ascii="Arial" w:hAnsi="Arial" w:eastAsia="Arial" w:cs="Arial"/>
      <w:i/>
      <w:iCs/>
      <w:sz w:val="22"/>
      <w:szCs w:val="22"/>
    </w:rPr>
  </w:style>
  <w:style w:type="character" w:customStyle="1" w:styleId="46">
    <w:name w:val="Heading 9 Char"/>
    <w:link w:val="11"/>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character" w:customStyle="1" w:styleId="48">
    <w:name w:val="Title Char"/>
    <w:link w:val="29"/>
    <w:qFormat/>
    <w:uiPriority w:val="10"/>
    <w:rPr>
      <w:sz w:val="48"/>
      <w:szCs w:val="48"/>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paragraph" w:customStyle="1" w:styleId="55">
    <w:name w:val="TOC Heading"/>
    <w:unhideWhenUsed/>
    <w:qFormat/>
    <w:uiPriority w:val="39"/>
    <w:rPr>
      <w:rFonts w:hint="default" w:ascii="Times New Roman" w:hAnsi="Times New Roman" w:eastAsia="宋体" w:cs="Times New Roman"/>
    </w:rPr>
  </w:style>
  <w:style w:type="paragraph" w:customStyle="1" w:styleId="56">
    <w:name w:val="标题 11"/>
    <w:basedOn w:val="1"/>
    <w:next w:val="1"/>
    <w:link w:val="67"/>
    <w:qFormat/>
    <w:uiPriority w:val="0"/>
    <w:pPr>
      <w:keepNext/>
      <w:keepLines/>
      <w:spacing w:before="480" w:after="200"/>
      <w:outlineLvl w:val="0"/>
    </w:pPr>
    <w:rPr>
      <w:rFonts w:ascii="Arial" w:hAnsi="Arial" w:eastAsia="Arial" w:cs="Arial"/>
      <w:sz w:val="40"/>
      <w:szCs w:val="40"/>
    </w:rPr>
  </w:style>
  <w:style w:type="paragraph" w:customStyle="1" w:styleId="57">
    <w:name w:val="标题 211"/>
    <w:basedOn w:val="1"/>
    <w:next w:val="1"/>
    <w:link w:val="68"/>
    <w:qFormat/>
    <w:uiPriority w:val="0"/>
    <w:pPr>
      <w:keepNext/>
      <w:keepLines/>
      <w:spacing w:before="360" w:after="200"/>
      <w:outlineLvl w:val="1"/>
    </w:pPr>
    <w:rPr>
      <w:rFonts w:ascii="Arial" w:hAnsi="Arial" w:eastAsia="Arial" w:cs="Arial"/>
      <w:sz w:val="34"/>
    </w:rPr>
  </w:style>
  <w:style w:type="paragraph" w:customStyle="1" w:styleId="58">
    <w:name w:val="标题 31"/>
    <w:basedOn w:val="1"/>
    <w:next w:val="1"/>
    <w:link w:val="69"/>
    <w:qFormat/>
    <w:uiPriority w:val="0"/>
    <w:pPr>
      <w:keepNext/>
      <w:keepLines/>
      <w:spacing w:before="320" w:after="200"/>
      <w:outlineLvl w:val="2"/>
    </w:pPr>
    <w:rPr>
      <w:rFonts w:ascii="Arial" w:hAnsi="Arial" w:eastAsia="Arial" w:cs="Arial"/>
      <w:sz w:val="30"/>
      <w:szCs w:val="30"/>
    </w:rPr>
  </w:style>
  <w:style w:type="paragraph" w:customStyle="1" w:styleId="59">
    <w:name w:val="标题 41"/>
    <w:basedOn w:val="1"/>
    <w:next w:val="1"/>
    <w:link w:val="70"/>
    <w:qFormat/>
    <w:uiPriority w:val="0"/>
    <w:pPr>
      <w:keepNext/>
      <w:keepLines/>
      <w:spacing w:before="320" w:after="200"/>
      <w:outlineLvl w:val="3"/>
    </w:pPr>
    <w:rPr>
      <w:rFonts w:ascii="Arial" w:hAnsi="Arial" w:eastAsia="Arial" w:cs="Arial"/>
      <w:b/>
      <w:bCs/>
      <w:sz w:val="26"/>
      <w:szCs w:val="26"/>
    </w:rPr>
  </w:style>
  <w:style w:type="paragraph" w:customStyle="1" w:styleId="60">
    <w:name w:val="标题 51"/>
    <w:basedOn w:val="1"/>
    <w:next w:val="1"/>
    <w:link w:val="71"/>
    <w:qFormat/>
    <w:uiPriority w:val="0"/>
    <w:pPr>
      <w:keepNext/>
      <w:keepLines/>
      <w:spacing w:before="320" w:after="200"/>
      <w:outlineLvl w:val="4"/>
    </w:pPr>
    <w:rPr>
      <w:rFonts w:ascii="Arial" w:hAnsi="Arial" w:eastAsia="Arial" w:cs="Arial"/>
      <w:b/>
      <w:bCs/>
      <w:sz w:val="24"/>
      <w:szCs w:val="24"/>
    </w:rPr>
  </w:style>
  <w:style w:type="paragraph" w:customStyle="1" w:styleId="61">
    <w:name w:val="标题 61"/>
    <w:basedOn w:val="1"/>
    <w:next w:val="1"/>
    <w:link w:val="72"/>
    <w:qFormat/>
    <w:uiPriority w:val="0"/>
    <w:pPr>
      <w:keepNext/>
      <w:keepLines/>
      <w:spacing w:before="320" w:after="200"/>
      <w:outlineLvl w:val="5"/>
    </w:pPr>
    <w:rPr>
      <w:rFonts w:ascii="Arial" w:hAnsi="Arial" w:eastAsia="Arial" w:cs="Arial"/>
      <w:b/>
      <w:bCs/>
      <w:sz w:val="22"/>
      <w:szCs w:val="22"/>
    </w:rPr>
  </w:style>
  <w:style w:type="paragraph" w:customStyle="1" w:styleId="62">
    <w:name w:val="标题 71"/>
    <w:basedOn w:val="1"/>
    <w:next w:val="1"/>
    <w:link w:val="73"/>
    <w:qFormat/>
    <w:uiPriority w:val="0"/>
    <w:pPr>
      <w:keepNext/>
      <w:keepLines/>
      <w:spacing w:before="320" w:after="200"/>
      <w:outlineLvl w:val="6"/>
    </w:pPr>
    <w:rPr>
      <w:rFonts w:ascii="Arial" w:hAnsi="Arial" w:eastAsia="Arial" w:cs="Arial"/>
      <w:b/>
      <w:bCs/>
      <w:i/>
      <w:iCs/>
      <w:sz w:val="22"/>
      <w:szCs w:val="22"/>
    </w:rPr>
  </w:style>
  <w:style w:type="paragraph" w:customStyle="1" w:styleId="63">
    <w:name w:val="标题 81"/>
    <w:basedOn w:val="1"/>
    <w:next w:val="1"/>
    <w:link w:val="74"/>
    <w:qFormat/>
    <w:uiPriority w:val="0"/>
    <w:pPr>
      <w:keepNext/>
      <w:keepLines/>
      <w:spacing w:before="320" w:after="200"/>
      <w:outlineLvl w:val="7"/>
    </w:pPr>
    <w:rPr>
      <w:rFonts w:ascii="Arial" w:hAnsi="Arial" w:eastAsia="Arial" w:cs="Arial"/>
      <w:i/>
      <w:iCs/>
      <w:sz w:val="22"/>
      <w:szCs w:val="22"/>
    </w:rPr>
  </w:style>
  <w:style w:type="paragraph" w:customStyle="1" w:styleId="64">
    <w:name w:val="标题 91"/>
    <w:basedOn w:val="1"/>
    <w:next w:val="1"/>
    <w:link w:val="75"/>
    <w:qFormat/>
    <w:uiPriority w:val="0"/>
    <w:pPr>
      <w:keepNext/>
      <w:keepLines/>
      <w:spacing w:before="320" w:after="200"/>
      <w:outlineLvl w:val="8"/>
    </w:pPr>
    <w:rPr>
      <w:rFonts w:ascii="Arial" w:hAnsi="Arial" w:eastAsia="Arial" w:cs="Arial"/>
      <w:i/>
      <w:iCs/>
      <w:sz w:val="21"/>
      <w:szCs w:val="21"/>
    </w:rPr>
  </w:style>
  <w:style w:type="character" w:customStyle="1" w:styleId="65">
    <w:name w:val="默认段落字体11"/>
    <w:link w:val="1"/>
    <w:qFormat/>
    <w:uiPriority w:val="0"/>
    <w:rPr>
      <w:rFonts w:ascii="Times New Roman" w:hAnsi="Times New Roman" w:eastAsia="宋体" w:cs="Times New Roman"/>
    </w:rPr>
  </w:style>
  <w:style w:type="table" w:customStyle="1" w:styleId="66">
    <w:name w:val="普通表格11"/>
    <w:qFormat/>
    <w:uiPriority w:val="0"/>
    <w:rPr>
      <w:rFonts w:ascii="Times New Roman" w:hAnsi="Times New Roman" w:eastAsia="宋体" w:cs="Times New Roman"/>
    </w:rPr>
  </w:style>
  <w:style w:type="character" w:customStyle="1" w:styleId="67">
    <w:name w:val="Heading 1 Char_41c2a450-5611-414d-9b35-2c248325036c"/>
    <w:link w:val="56"/>
    <w:qFormat/>
    <w:uiPriority w:val="0"/>
    <w:rPr>
      <w:rFonts w:ascii="Arial" w:hAnsi="Arial" w:eastAsia="Arial" w:cs="Arial"/>
      <w:sz w:val="40"/>
      <w:szCs w:val="40"/>
    </w:rPr>
  </w:style>
  <w:style w:type="character" w:customStyle="1" w:styleId="68">
    <w:name w:val="Heading 2 Char_9c0f001f-f9df-4998-8020-a15119216ede"/>
    <w:link w:val="57"/>
    <w:qFormat/>
    <w:uiPriority w:val="0"/>
    <w:rPr>
      <w:rFonts w:ascii="Arial" w:hAnsi="Arial" w:eastAsia="Arial" w:cs="Arial"/>
      <w:sz w:val="34"/>
    </w:rPr>
  </w:style>
  <w:style w:type="character" w:customStyle="1" w:styleId="69">
    <w:name w:val="Heading 3 Char_9253cc41-a9e0-4424-b9d2-d08614ee51f6"/>
    <w:link w:val="58"/>
    <w:qFormat/>
    <w:uiPriority w:val="0"/>
    <w:rPr>
      <w:rFonts w:ascii="Arial" w:hAnsi="Arial" w:eastAsia="Arial" w:cs="Arial"/>
      <w:sz w:val="30"/>
      <w:szCs w:val="30"/>
    </w:rPr>
  </w:style>
  <w:style w:type="character" w:customStyle="1" w:styleId="70">
    <w:name w:val="Heading 4 Char_1e3924a3-4cb5-491b-a7b7-e8193cda9050"/>
    <w:link w:val="59"/>
    <w:qFormat/>
    <w:uiPriority w:val="0"/>
    <w:rPr>
      <w:rFonts w:ascii="Arial" w:hAnsi="Arial" w:eastAsia="Arial" w:cs="Arial"/>
      <w:b/>
      <w:bCs/>
      <w:sz w:val="26"/>
      <w:szCs w:val="26"/>
    </w:rPr>
  </w:style>
  <w:style w:type="character" w:customStyle="1" w:styleId="71">
    <w:name w:val="Heading 5 Char_59393c25-3ceb-4fd8-b8f4-64b7ca00df46"/>
    <w:link w:val="60"/>
    <w:qFormat/>
    <w:uiPriority w:val="0"/>
    <w:rPr>
      <w:rFonts w:ascii="Arial" w:hAnsi="Arial" w:eastAsia="Arial" w:cs="Arial"/>
      <w:b/>
      <w:bCs/>
      <w:sz w:val="24"/>
      <w:szCs w:val="24"/>
    </w:rPr>
  </w:style>
  <w:style w:type="character" w:customStyle="1" w:styleId="72">
    <w:name w:val="Heading 6 Char_f9ba954c-ec1f-4d4f-a599-1941c282b8a4"/>
    <w:link w:val="61"/>
    <w:qFormat/>
    <w:uiPriority w:val="0"/>
    <w:rPr>
      <w:rFonts w:ascii="Arial" w:hAnsi="Arial" w:eastAsia="Arial" w:cs="Arial"/>
      <w:b/>
      <w:bCs/>
      <w:sz w:val="22"/>
      <w:szCs w:val="22"/>
    </w:rPr>
  </w:style>
  <w:style w:type="character" w:customStyle="1" w:styleId="73">
    <w:name w:val="Heading 7 Char_cb1cb0f9-e411-4189-903e-f5a6411d4c11"/>
    <w:link w:val="62"/>
    <w:qFormat/>
    <w:uiPriority w:val="0"/>
    <w:rPr>
      <w:rFonts w:ascii="Arial" w:hAnsi="Arial" w:eastAsia="Arial" w:cs="Arial"/>
      <w:b/>
      <w:bCs/>
      <w:i/>
      <w:iCs/>
      <w:sz w:val="22"/>
      <w:szCs w:val="22"/>
    </w:rPr>
  </w:style>
  <w:style w:type="character" w:customStyle="1" w:styleId="74">
    <w:name w:val="Heading 8 Char_75e85dab-d3f6-4c23-b92f-972dc2873c55"/>
    <w:link w:val="63"/>
    <w:qFormat/>
    <w:uiPriority w:val="0"/>
    <w:rPr>
      <w:rFonts w:ascii="Arial" w:hAnsi="Arial" w:eastAsia="Arial" w:cs="Arial"/>
      <w:i/>
      <w:iCs/>
      <w:sz w:val="22"/>
      <w:szCs w:val="22"/>
    </w:rPr>
  </w:style>
  <w:style w:type="character" w:customStyle="1" w:styleId="75">
    <w:name w:val="Heading 9 Char_98525975-d548-4599-b7b3-155d8ddca411"/>
    <w:link w:val="64"/>
    <w:qFormat/>
    <w:uiPriority w:val="0"/>
    <w:rPr>
      <w:rFonts w:ascii="Arial" w:hAnsi="Arial" w:eastAsia="Arial" w:cs="Arial"/>
      <w:i/>
      <w:iCs/>
      <w:sz w:val="21"/>
      <w:szCs w:val="21"/>
    </w:rPr>
  </w:style>
  <w:style w:type="paragraph" w:customStyle="1" w:styleId="76">
    <w:name w:val="目录 71"/>
    <w:basedOn w:val="1"/>
    <w:next w:val="1"/>
    <w:qFormat/>
    <w:uiPriority w:val="0"/>
    <w:pPr>
      <w:spacing w:after="57"/>
      <w:ind w:left="1701" w:right="0" w:firstLine="0"/>
    </w:pPr>
    <w:rPr>
      <w:rFonts w:ascii="Times New Roman" w:hAnsi="Times New Roman" w:eastAsia="宋体" w:cs="Times New Roman"/>
    </w:rPr>
  </w:style>
  <w:style w:type="paragraph" w:customStyle="1" w:styleId="77">
    <w:name w:val="题注1"/>
    <w:basedOn w:val="1"/>
    <w:next w:val="1"/>
    <w:qFormat/>
    <w:uiPriority w:val="0"/>
    <w:pPr>
      <w:spacing w:line="276" w:lineRule="auto"/>
    </w:pPr>
    <w:rPr>
      <w:rFonts w:ascii="Times New Roman" w:hAnsi="Times New Roman" w:eastAsia="宋体" w:cs="Times New Roman"/>
      <w:b/>
      <w:bCs/>
      <w:color w:val="4F81BD"/>
      <w:sz w:val="18"/>
      <w:szCs w:val="18"/>
    </w:rPr>
  </w:style>
  <w:style w:type="paragraph" w:customStyle="1" w:styleId="78">
    <w:name w:val="批注文字11"/>
    <w:basedOn w:val="1"/>
    <w:qFormat/>
    <w:uiPriority w:val="0"/>
    <w:pPr>
      <w:jc w:val="left"/>
    </w:pPr>
  </w:style>
  <w:style w:type="paragraph" w:customStyle="1" w:styleId="79">
    <w:name w:val="正文文本111"/>
    <w:basedOn w:val="1"/>
    <w:next w:val="1"/>
    <w:qFormat/>
    <w:uiPriority w:val="0"/>
    <w:rPr>
      <w:rFonts w:ascii="楷体_GB2312" w:hAnsi="Arial" w:eastAsia="楷体_GB2312" w:cs="Times New Roman"/>
      <w:sz w:val="28"/>
      <w:szCs w:val="28"/>
    </w:rPr>
  </w:style>
  <w:style w:type="paragraph" w:customStyle="1" w:styleId="80">
    <w:name w:val="目录 51"/>
    <w:basedOn w:val="1"/>
    <w:next w:val="1"/>
    <w:qFormat/>
    <w:uiPriority w:val="0"/>
    <w:pPr>
      <w:spacing w:after="57"/>
      <w:ind w:left="1134" w:right="0" w:firstLine="0"/>
    </w:pPr>
    <w:rPr>
      <w:rFonts w:ascii="Times New Roman" w:hAnsi="Times New Roman" w:eastAsia="宋体" w:cs="Times New Roman"/>
    </w:rPr>
  </w:style>
  <w:style w:type="paragraph" w:customStyle="1" w:styleId="81">
    <w:name w:val="目录 31"/>
    <w:basedOn w:val="1"/>
    <w:next w:val="1"/>
    <w:qFormat/>
    <w:uiPriority w:val="0"/>
    <w:pPr>
      <w:spacing w:after="57"/>
      <w:ind w:left="567" w:right="0" w:firstLine="0"/>
    </w:pPr>
    <w:rPr>
      <w:rFonts w:ascii="Times New Roman" w:hAnsi="Times New Roman" w:eastAsia="宋体" w:cs="Times New Roman"/>
    </w:rPr>
  </w:style>
  <w:style w:type="paragraph" w:customStyle="1" w:styleId="82">
    <w:name w:val="目录 81"/>
    <w:basedOn w:val="1"/>
    <w:next w:val="1"/>
    <w:qFormat/>
    <w:uiPriority w:val="0"/>
    <w:pPr>
      <w:spacing w:after="57"/>
      <w:ind w:left="1984" w:right="0" w:firstLine="0"/>
    </w:pPr>
    <w:rPr>
      <w:rFonts w:ascii="Times New Roman" w:hAnsi="Times New Roman" w:eastAsia="宋体" w:cs="Times New Roman"/>
    </w:rPr>
  </w:style>
  <w:style w:type="paragraph" w:customStyle="1" w:styleId="83">
    <w:name w:val="尾注文本1"/>
    <w:basedOn w:val="1"/>
    <w:link w:val="84"/>
    <w:qFormat/>
    <w:uiPriority w:val="0"/>
    <w:pPr>
      <w:spacing w:after="0" w:line="240" w:lineRule="auto"/>
    </w:pPr>
    <w:rPr>
      <w:rFonts w:ascii="Times New Roman" w:hAnsi="Times New Roman" w:eastAsia="宋体" w:cs="Times New Roman"/>
      <w:sz w:val="20"/>
    </w:rPr>
  </w:style>
  <w:style w:type="character" w:customStyle="1" w:styleId="84">
    <w:name w:val="Endnote Text Char"/>
    <w:link w:val="83"/>
    <w:qFormat/>
    <w:uiPriority w:val="0"/>
    <w:rPr>
      <w:rFonts w:ascii="Times New Roman" w:hAnsi="Times New Roman" w:eastAsia="宋体" w:cs="Times New Roman"/>
      <w:sz w:val="20"/>
    </w:rPr>
  </w:style>
  <w:style w:type="paragraph" w:customStyle="1" w:styleId="85">
    <w:name w:val="页脚12"/>
    <w:basedOn w:val="1"/>
    <w:link w:val="106"/>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86">
    <w:name w:val="Caption Char"/>
    <w:link w:val="85"/>
    <w:qFormat/>
    <w:uiPriority w:val="0"/>
    <w:rPr>
      <w:rFonts w:ascii="Times New Roman" w:hAnsi="Times New Roman" w:eastAsia="宋体" w:cs="Times New Roman"/>
    </w:rPr>
  </w:style>
  <w:style w:type="paragraph" w:customStyle="1" w:styleId="87">
    <w:name w:val="页眉11"/>
    <w:basedOn w:val="1"/>
    <w:link w:val="88"/>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88">
    <w:name w:val="Header Char_6f08b973-fb7a-47f6-9a3a-00c3d1fa4fb9"/>
    <w:link w:val="87"/>
    <w:qFormat/>
    <w:uiPriority w:val="0"/>
    <w:rPr>
      <w:rFonts w:ascii="Times New Roman" w:hAnsi="Times New Roman" w:eastAsia="宋体" w:cs="Times New Roman"/>
    </w:rPr>
  </w:style>
  <w:style w:type="paragraph" w:customStyle="1" w:styleId="89">
    <w:name w:val="目录 11"/>
    <w:basedOn w:val="1"/>
    <w:next w:val="1"/>
    <w:qFormat/>
    <w:uiPriority w:val="0"/>
    <w:pPr>
      <w:spacing w:after="57"/>
      <w:ind w:left="0" w:right="0" w:firstLine="0"/>
    </w:pPr>
    <w:rPr>
      <w:rFonts w:ascii="Times New Roman" w:hAnsi="Times New Roman" w:eastAsia="宋体" w:cs="Times New Roman"/>
    </w:rPr>
  </w:style>
  <w:style w:type="paragraph" w:customStyle="1" w:styleId="90">
    <w:name w:val="目录 41"/>
    <w:basedOn w:val="1"/>
    <w:next w:val="1"/>
    <w:qFormat/>
    <w:uiPriority w:val="0"/>
    <w:pPr>
      <w:spacing w:after="57"/>
      <w:ind w:left="850" w:right="0" w:firstLine="0"/>
    </w:pPr>
    <w:rPr>
      <w:rFonts w:ascii="Times New Roman" w:hAnsi="Times New Roman" w:eastAsia="宋体" w:cs="Times New Roman"/>
    </w:rPr>
  </w:style>
  <w:style w:type="paragraph" w:customStyle="1" w:styleId="91">
    <w:name w:val="副标题1"/>
    <w:basedOn w:val="1"/>
    <w:next w:val="1"/>
    <w:link w:val="92"/>
    <w:qFormat/>
    <w:uiPriority w:val="0"/>
    <w:pPr>
      <w:spacing w:before="200" w:after="200"/>
    </w:pPr>
    <w:rPr>
      <w:rFonts w:ascii="Times New Roman" w:hAnsi="Times New Roman" w:eastAsia="宋体" w:cs="Times New Roman"/>
      <w:sz w:val="24"/>
      <w:szCs w:val="24"/>
    </w:rPr>
  </w:style>
  <w:style w:type="character" w:customStyle="1" w:styleId="92">
    <w:name w:val="Subtitle Char"/>
    <w:link w:val="91"/>
    <w:qFormat/>
    <w:uiPriority w:val="0"/>
    <w:rPr>
      <w:rFonts w:ascii="Times New Roman" w:hAnsi="Times New Roman" w:eastAsia="宋体" w:cs="Times New Roman"/>
      <w:sz w:val="24"/>
      <w:szCs w:val="24"/>
    </w:rPr>
  </w:style>
  <w:style w:type="paragraph" w:customStyle="1" w:styleId="93">
    <w:name w:val="脚注文本1"/>
    <w:basedOn w:val="1"/>
    <w:link w:val="94"/>
    <w:qFormat/>
    <w:uiPriority w:val="0"/>
    <w:pPr>
      <w:spacing w:after="40" w:line="240" w:lineRule="auto"/>
    </w:pPr>
    <w:rPr>
      <w:rFonts w:ascii="Times New Roman" w:hAnsi="Times New Roman" w:eastAsia="宋体" w:cs="Times New Roman"/>
      <w:sz w:val="18"/>
    </w:rPr>
  </w:style>
  <w:style w:type="character" w:customStyle="1" w:styleId="94">
    <w:name w:val="Footnote Text Char"/>
    <w:link w:val="93"/>
    <w:qFormat/>
    <w:uiPriority w:val="0"/>
    <w:rPr>
      <w:rFonts w:ascii="Times New Roman" w:hAnsi="Times New Roman" w:eastAsia="宋体" w:cs="Times New Roman"/>
      <w:sz w:val="18"/>
    </w:rPr>
  </w:style>
  <w:style w:type="paragraph" w:customStyle="1" w:styleId="95">
    <w:name w:val="目录 61"/>
    <w:basedOn w:val="1"/>
    <w:next w:val="1"/>
    <w:qFormat/>
    <w:uiPriority w:val="0"/>
    <w:pPr>
      <w:spacing w:after="57"/>
      <w:ind w:left="1417" w:right="0" w:firstLine="0"/>
    </w:pPr>
    <w:rPr>
      <w:rFonts w:ascii="Times New Roman" w:hAnsi="Times New Roman" w:eastAsia="宋体" w:cs="Times New Roman"/>
    </w:rPr>
  </w:style>
  <w:style w:type="paragraph" w:customStyle="1" w:styleId="96">
    <w:name w:val="图表目录1"/>
    <w:basedOn w:val="1"/>
    <w:next w:val="1"/>
    <w:qFormat/>
    <w:uiPriority w:val="0"/>
    <w:pPr>
      <w:spacing w:after="0" w:afterAutospacing="0"/>
    </w:pPr>
    <w:rPr>
      <w:rFonts w:ascii="Times New Roman" w:hAnsi="Times New Roman" w:eastAsia="宋体" w:cs="Times New Roman"/>
    </w:rPr>
  </w:style>
  <w:style w:type="paragraph" w:customStyle="1" w:styleId="97">
    <w:name w:val="目录 21"/>
    <w:basedOn w:val="1"/>
    <w:next w:val="1"/>
    <w:qFormat/>
    <w:uiPriority w:val="0"/>
    <w:pPr>
      <w:spacing w:after="57"/>
      <w:ind w:left="283" w:right="0" w:firstLine="0"/>
    </w:pPr>
    <w:rPr>
      <w:rFonts w:ascii="Times New Roman" w:hAnsi="Times New Roman" w:eastAsia="宋体" w:cs="Times New Roman"/>
    </w:rPr>
  </w:style>
  <w:style w:type="paragraph" w:customStyle="1" w:styleId="98">
    <w:name w:val="目录 91"/>
    <w:basedOn w:val="1"/>
    <w:next w:val="1"/>
    <w:qFormat/>
    <w:uiPriority w:val="0"/>
    <w:pPr>
      <w:spacing w:after="57"/>
      <w:ind w:left="2268" w:right="0" w:firstLine="0"/>
    </w:pPr>
    <w:rPr>
      <w:rFonts w:ascii="Times New Roman" w:hAnsi="Times New Roman" w:eastAsia="宋体" w:cs="Times New Roman"/>
    </w:rPr>
  </w:style>
  <w:style w:type="paragraph" w:customStyle="1" w:styleId="99">
    <w:name w:val="普通(网站)11"/>
    <w:basedOn w:val="1"/>
    <w:qFormat/>
    <w:uiPriority w:val="0"/>
    <w:pPr>
      <w:spacing w:before="100" w:beforeAutospacing="1" w:after="100" w:afterAutospacing="1"/>
      <w:ind w:left="0" w:right="0"/>
      <w:jc w:val="left"/>
    </w:pPr>
    <w:rPr>
      <w:rFonts w:ascii="Times New Roman" w:hAnsi="Times New Roman" w:eastAsia="宋体" w:cs="Times New Roman"/>
      <w:sz w:val="24"/>
      <w:lang w:val="en-US" w:eastAsia="zh-CN"/>
    </w:rPr>
  </w:style>
  <w:style w:type="paragraph" w:customStyle="1" w:styleId="100">
    <w:name w:val="标题1"/>
    <w:basedOn w:val="1"/>
    <w:next w:val="1"/>
    <w:link w:val="101"/>
    <w:qFormat/>
    <w:uiPriority w:val="0"/>
    <w:pPr>
      <w:spacing w:before="300" w:after="200"/>
      <w:contextualSpacing/>
    </w:pPr>
    <w:rPr>
      <w:rFonts w:ascii="Times New Roman" w:hAnsi="Times New Roman" w:eastAsia="宋体" w:cs="Times New Roman"/>
      <w:sz w:val="48"/>
      <w:szCs w:val="48"/>
    </w:rPr>
  </w:style>
  <w:style w:type="character" w:customStyle="1" w:styleId="101">
    <w:name w:val="Title Char_e2a3e34b-240b-4d7c-b981-3fed5e7107ea"/>
    <w:link w:val="100"/>
    <w:qFormat/>
    <w:uiPriority w:val="0"/>
    <w:rPr>
      <w:rFonts w:ascii="Times New Roman" w:hAnsi="Times New Roman" w:eastAsia="宋体" w:cs="Times New Roman"/>
      <w:sz w:val="48"/>
      <w:szCs w:val="48"/>
    </w:rPr>
  </w:style>
  <w:style w:type="table" w:customStyle="1" w:styleId="102">
    <w:name w:val="网格型11"/>
    <w:qFormat/>
    <w:uiPriority w:val="0"/>
    <w:pPr>
      <w:spacing w:after="0" w:line="240" w:lineRule="auto"/>
    </w:pPr>
    <w:rPr>
      <w:rFonts w:ascii="Times New Roman" w:hAnsi="Times New Roman" w:eastAsia="宋体" w:cs="Times New Roman"/>
    </w:rPr>
  </w:style>
  <w:style w:type="character" w:customStyle="1" w:styleId="103">
    <w:name w:val="尾注引用1"/>
    <w:link w:val="1"/>
    <w:qFormat/>
    <w:uiPriority w:val="0"/>
    <w:rPr>
      <w:rFonts w:ascii="Times New Roman" w:hAnsi="Times New Roman" w:eastAsia="宋体" w:cs="Times New Roman"/>
      <w:vertAlign w:val="superscript"/>
    </w:rPr>
  </w:style>
  <w:style w:type="character" w:customStyle="1" w:styleId="104">
    <w:name w:val="超链接1"/>
    <w:link w:val="1"/>
    <w:qFormat/>
    <w:uiPriority w:val="0"/>
    <w:rPr>
      <w:rFonts w:ascii="Times New Roman" w:hAnsi="Times New Roman" w:eastAsia="宋体" w:cs="Times New Roman"/>
      <w:color w:val="0000FF"/>
      <w:u w:val="single"/>
    </w:rPr>
  </w:style>
  <w:style w:type="character" w:customStyle="1" w:styleId="105">
    <w:name w:val="脚注引用1"/>
    <w:link w:val="1"/>
    <w:qFormat/>
    <w:uiPriority w:val="0"/>
    <w:rPr>
      <w:rFonts w:ascii="Times New Roman" w:hAnsi="Times New Roman" w:eastAsia="宋体" w:cs="Times New Roman"/>
      <w:vertAlign w:val="superscript"/>
    </w:rPr>
  </w:style>
  <w:style w:type="character" w:customStyle="1" w:styleId="106">
    <w:name w:val="Footer Char_4da39e97-6c3a-49c6-ab1c-f0170153eeb1"/>
    <w:link w:val="85"/>
    <w:qFormat/>
    <w:uiPriority w:val="0"/>
    <w:rPr>
      <w:rFonts w:ascii="Times New Roman" w:hAnsi="Times New Roman" w:eastAsia="宋体" w:cs="Times New Roman"/>
    </w:rPr>
  </w:style>
  <w:style w:type="paragraph" w:customStyle="1" w:styleId="107">
    <w:name w:val="列出段落"/>
    <w:basedOn w:val="1"/>
    <w:qFormat/>
    <w:uiPriority w:val="0"/>
    <w:pPr>
      <w:ind w:left="720"/>
      <w:contextualSpacing/>
    </w:pPr>
    <w:rPr>
      <w:rFonts w:ascii="Times New Roman" w:hAnsi="Times New Roman" w:eastAsia="宋体" w:cs="Times New Roman"/>
    </w:rPr>
  </w:style>
  <w:style w:type="paragraph" w:styleId="108">
    <w:name w:val="No Spacing"/>
    <w:qFormat/>
    <w:uiPriority w:val="0"/>
    <w:pPr>
      <w:spacing w:before="0" w:after="0" w:line="240" w:lineRule="auto"/>
    </w:pPr>
    <w:rPr>
      <w:rFonts w:hint="default" w:ascii="Times New Roman" w:hAnsi="Times New Roman" w:eastAsia="宋体" w:cs="Times New Roman"/>
    </w:rPr>
  </w:style>
  <w:style w:type="paragraph" w:customStyle="1" w:styleId="109">
    <w:name w:val="引用"/>
    <w:basedOn w:val="1"/>
    <w:next w:val="1"/>
    <w:link w:val="110"/>
    <w:qFormat/>
    <w:uiPriority w:val="0"/>
    <w:pPr>
      <w:ind w:left="720" w:right="720"/>
    </w:pPr>
    <w:rPr>
      <w:rFonts w:ascii="Times New Roman" w:hAnsi="Times New Roman" w:eastAsia="宋体" w:cs="Times New Roman"/>
      <w:i/>
    </w:rPr>
  </w:style>
  <w:style w:type="character" w:customStyle="1" w:styleId="110">
    <w:name w:val="Quote Char_84c4fb2c-59d8-43ee-8bde-532f60f94902"/>
    <w:link w:val="109"/>
    <w:qFormat/>
    <w:uiPriority w:val="0"/>
    <w:rPr>
      <w:rFonts w:ascii="Times New Roman" w:hAnsi="Times New Roman" w:eastAsia="宋体" w:cs="Times New Roman"/>
      <w:i/>
    </w:rPr>
  </w:style>
  <w:style w:type="paragraph" w:customStyle="1" w:styleId="111">
    <w:name w:val="明显引用"/>
    <w:basedOn w:val="1"/>
    <w:next w:val="1"/>
    <w:link w:val="112"/>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12">
    <w:name w:val="Intense Quote Char_2f4af96d-b5b7-45c0-b428-19a22a4b2e4d"/>
    <w:link w:val="111"/>
    <w:qFormat/>
    <w:uiPriority w:val="0"/>
    <w:rPr>
      <w:rFonts w:ascii="Times New Roman" w:hAnsi="Times New Roman" w:eastAsia="宋体" w:cs="Times New Roman"/>
      <w:i/>
    </w:rPr>
  </w:style>
  <w:style w:type="table" w:customStyle="1" w:styleId="113">
    <w:name w:val="Table Grid Light"/>
    <w:qFormat/>
    <w:uiPriority w:val="0"/>
    <w:pPr>
      <w:spacing w:after="0" w:line="240" w:lineRule="auto"/>
    </w:pPr>
    <w:rPr>
      <w:rFonts w:ascii="Times New Roman" w:hAnsi="Times New Roman" w:eastAsia="宋体" w:cs="Times New Roman"/>
    </w:rPr>
  </w:style>
  <w:style w:type="table" w:customStyle="1" w:styleId="114">
    <w:name w:val="Plain Table 1"/>
    <w:qFormat/>
    <w:uiPriority w:val="0"/>
    <w:pPr>
      <w:spacing w:after="0" w:line="240" w:lineRule="auto"/>
    </w:pPr>
    <w:rPr>
      <w:rFonts w:ascii="Times New Roman" w:hAnsi="Times New Roman" w:eastAsia="宋体" w:cs="Times New Roman"/>
    </w:rPr>
  </w:style>
  <w:style w:type="table" w:customStyle="1" w:styleId="115">
    <w:name w:val="Plain Table 2"/>
    <w:qFormat/>
    <w:uiPriority w:val="0"/>
    <w:pPr>
      <w:spacing w:after="0" w:line="240" w:lineRule="auto"/>
    </w:pPr>
    <w:rPr>
      <w:rFonts w:ascii="Times New Roman" w:hAnsi="Times New Roman" w:eastAsia="宋体" w:cs="Times New Roman"/>
    </w:rPr>
  </w:style>
  <w:style w:type="table" w:customStyle="1" w:styleId="116">
    <w:name w:val="Plain Table 3"/>
    <w:qFormat/>
    <w:uiPriority w:val="0"/>
    <w:pPr>
      <w:spacing w:after="0" w:line="240" w:lineRule="auto"/>
    </w:pPr>
    <w:rPr>
      <w:rFonts w:ascii="Times New Roman" w:hAnsi="Times New Roman" w:eastAsia="宋体" w:cs="Times New Roman"/>
    </w:rPr>
  </w:style>
  <w:style w:type="table" w:customStyle="1" w:styleId="117">
    <w:name w:val="Plain Table 4"/>
    <w:qFormat/>
    <w:uiPriority w:val="0"/>
    <w:pPr>
      <w:spacing w:after="0" w:line="240" w:lineRule="auto"/>
    </w:pPr>
    <w:rPr>
      <w:rFonts w:ascii="Times New Roman" w:hAnsi="Times New Roman" w:eastAsia="宋体" w:cs="Times New Roman"/>
    </w:rPr>
  </w:style>
  <w:style w:type="table" w:customStyle="1" w:styleId="118">
    <w:name w:val="Plain Table 5"/>
    <w:qFormat/>
    <w:uiPriority w:val="0"/>
    <w:pPr>
      <w:spacing w:after="0" w:line="240" w:lineRule="auto"/>
    </w:pPr>
    <w:rPr>
      <w:rFonts w:ascii="Times New Roman" w:hAnsi="Times New Roman" w:eastAsia="宋体" w:cs="Times New Roman"/>
    </w:rPr>
  </w:style>
  <w:style w:type="table" w:customStyle="1" w:styleId="119">
    <w:name w:val="Grid Table 1 Light"/>
    <w:qFormat/>
    <w:uiPriority w:val="0"/>
    <w:pPr>
      <w:spacing w:after="0" w:line="240" w:lineRule="auto"/>
    </w:pPr>
    <w:rPr>
      <w:rFonts w:ascii="Times New Roman" w:hAnsi="Times New Roman" w:eastAsia="宋体" w:cs="Times New Roman"/>
    </w:rPr>
  </w:style>
  <w:style w:type="table" w:customStyle="1" w:styleId="120">
    <w:name w:val="Grid Table 1 Light - Accent 1"/>
    <w:qFormat/>
    <w:uiPriority w:val="0"/>
    <w:pPr>
      <w:spacing w:after="0" w:line="240" w:lineRule="auto"/>
    </w:pPr>
    <w:rPr>
      <w:rFonts w:ascii="Times New Roman" w:hAnsi="Times New Roman" w:eastAsia="宋体" w:cs="Times New Roman"/>
    </w:rPr>
  </w:style>
  <w:style w:type="table" w:customStyle="1" w:styleId="121">
    <w:name w:val="Grid Table 1 Light - Accent 2"/>
    <w:qFormat/>
    <w:uiPriority w:val="0"/>
    <w:pPr>
      <w:spacing w:after="0" w:line="240" w:lineRule="auto"/>
    </w:pPr>
    <w:rPr>
      <w:rFonts w:ascii="Times New Roman" w:hAnsi="Times New Roman" w:eastAsia="宋体" w:cs="Times New Roman"/>
    </w:rPr>
  </w:style>
  <w:style w:type="table" w:customStyle="1" w:styleId="122">
    <w:name w:val="Grid Table 1 Light - Accent 3"/>
    <w:qFormat/>
    <w:uiPriority w:val="0"/>
    <w:pPr>
      <w:spacing w:after="0" w:line="240" w:lineRule="auto"/>
    </w:pPr>
    <w:rPr>
      <w:rFonts w:ascii="Times New Roman" w:hAnsi="Times New Roman" w:eastAsia="宋体" w:cs="Times New Roman"/>
    </w:rPr>
  </w:style>
  <w:style w:type="table" w:customStyle="1" w:styleId="123">
    <w:name w:val="Grid Table 1 Light - Accent 4"/>
    <w:qFormat/>
    <w:uiPriority w:val="0"/>
    <w:pPr>
      <w:spacing w:after="0" w:line="240" w:lineRule="auto"/>
    </w:pPr>
    <w:rPr>
      <w:rFonts w:ascii="Times New Roman" w:hAnsi="Times New Roman" w:eastAsia="宋体" w:cs="Times New Roman"/>
    </w:rPr>
  </w:style>
  <w:style w:type="table" w:customStyle="1" w:styleId="124">
    <w:name w:val="Grid Table 1 Light - Accent 5"/>
    <w:qFormat/>
    <w:uiPriority w:val="0"/>
    <w:pPr>
      <w:spacing w:after="0" w:line="240" w:lineRule="auto"/>
    </w:pPr>
    <w:rPr>
      <w:rFonts w:ascii="Times New Roman" w:hAnsi="Times New Roman" w:eastAsia="宋体" w:cs="Times New Roman"/>
    </w:rPr>
  </w:style>
  <w:style w:type="table" w:customStyle="1" w:styleId="125">
    <w:name w:val="Grid Table 1 Light - Accent 6"/>
    <w:qFormat/>
    <w:uiPriority w:val="0"/>
    <w:pPr>
      <w:spacing w:after="0" w:line="240" w:lineRule="auto"/>
    </w:pPr>
    <w:rPr>
      <w:rFonts w:ascii="Times New Roman" w:hAnsi="Times New Roman" w:eastAsia="宋体" w:cs="Times New Roman"/>
    </w:rPr>
  </w:style>
  <w:style w:type="table" w:customStyle="1" w:styleId="126">
    <w:name w:val="Grid Table 2"/>
    <w:qFormat/>
    <w:uiPriority w:val="0"/>
    <w:pPr>
      <w:spacing w:after="0" w:line="240" w:lineRule="auto"/>
    </w:pPr>
    <w:rPr>
      <w:rFonts w:ascii="Times New Roman" w:hAnsi="Times New Roman" w:eastAsia="宋体" w:cs="Times New Roman"/>
    </w:rPr>
  </w:style>
  <w:style w:type="table" w:customStyle="1" w:styleId="127">
    <w:name w:val="Grid Table 2 - Accent 1"/>
    <w:qFormat/>
    <w:uiPriority w:val="0"/>
    <w:pPr>
      <w:spacing w:after="0" w:line="240" w:lineRule="auto"/>
    </w:pPr>
    <w:rPr>
      <w:rFonts w:ascii="Times New Roman" w:hAnsi="Times New Roman" w:eastAsia="宋体" w:cs="Times New Roman"/>
    </w:rPr>
  </w:style>
  <w:style w:type="table" w:customStyle="1" w:styleId="128">
    <w:name w:val="Grid Table 2 - Accent 2"/>
    <w:qFormat/>
    <w:uiPriority w:val="0"/>
    <w:pPr>
      <w:spacing w:after="0" w:line="240" w:lineRule="auto"/>
    </w:pPr>
    <w:rPr>
      <w:rFonts w:ascii="Times New Roman" w:hAnsi="Times New Roman" w:eastAsia="宋体" w:cs="Times New Roman"/>
    </w:rPr>
  </w:style>
  <w:style w:type="table" w:customStyle="1" w:styleId="129">
    <w:name w:val="Grid Table 2 - Accent 3"/>
    <w:qFormat/>
    <w:uiPriority w:val="0"/>
    <w:pPr>
      <w:spacing w:after="0" w:line="240" w:lineRule="auto"/>
    </w:pPr>
    <w:rPr>
      <w:rFonts w:ascii="Times New Roman" w:hAnsi="Times New Roman" w:eastAsia="宋体" w:cs="Times New Roman"/>
    </w:rPr>
  </w:style>
  <w:style w:type="table" w:customStyle="1" w:styleId="130">
    <w:name w:val="Grid Table 2 - Accent 4"/>
    <w:qFormat/>
    <w:uiPriority w:val="0"/>
    <w:pPr>
      <w:spacing w:after="0" w:line="240" w:lineRule="auto"/>
    </w:pPr>
    <w:rPr>
      <w:rFonts w:ascii="Times New Roman" w:hAnsi="Times New Roman" w:eastAsia="宋体" w:cs="Times New Roman"/>
    </w:rPr>
  </w:style>
  <w:style w:type="table" w:customStyle="1" w:styleId="131">
    <w:name w:val="Grid Table 2 - Accent 5"/>
    <w:qFormat/>
    <w:uiPriority w:val="0"/>
    <w:pPr>
      <w:spacing w:after="0" w:line="240" w:lineRule="auto"/>
    </w:pPr>
    <w:rPr>
      <w:rFonts w:ascii="Times New Roman" w:hAnsi="Times New Roman" w:eastAsia="宋体" w:cs="Times New Roman"/>
    </w:rPr>
  </w:style>
  <w:style w:type="table" w:customStyle="1" w:styleId="132">
    <w:name w:val="Grid Table 2 - Accent 6"/>
    <w:qFormat/>
    <w:uiPriority w:val="0"/>
    <w:pPr>
      <w:spacing w:after="0" w:line="240" w:lineRule="auto"/>
    </w:pPr>
    <w:rPr>
      <w:rFonts w:ascii="Times New Roman" w:hAnsi="Times New Roman" w:eastAsia="宋体" w:cs="Times New Roman"/>
    </w:rPr>
  </w:style>
  <w:style w:type="table" w:customStyle="1" w:styleId="133">
    <w:name w:val="Grid Table 3"/>
    <w:qFormat/>
    <w:uiPriority w:val="0"/>
    <w:pPr>
      <w:spacing w:after="0" w:line="240" w:lineRule="auto"/>
    </w:pPr>
    <w:rPr>
      <w:rFonts w:ascii="Times New Roman" w:hAnsi="Times New Roman" w:eastAsia="宋体" w:cs="Times New Roman"/>
    </w:rPr>
  </w:style>
  <w:style w:type="table" w:customStyle="1" w:styleId="134">
    <w:name w:val="Grid Table 3 - Accent 1"/>
    <w:qFormat/>
    <w:uiPriority w:val="0"/>
    <w:pPr>
      <w:spacing w:after="0" w:line="240" w:lineRule="auto"/>
    </w:pPr>
    <w:rPr>
      <w:rFonts w:ascii="Times New Roman" w:hAnsi="Times New Roman" w:eastAsia="宋体" w:cs="Times New Roman"/>
    </w:rPr>
  </w:style>
  <w:style w:type="table" w:customStyle="1" w:styleId="135">
    <w:name w:val="Grid Table 3 - Accent 2"/>
    <w:qFormat/>
    <w:uiPriority w:val="0"/>
    <w:pPr>
      <w:spacing w:after="0" w:line="240" w:lineRule="auto"/>
    </w:pPr>
    <w:rPr>
      <w:rFonts w:ascii="Times New Roman" w:hAnsi="Times New Roman" w:eastAsia="宋体" w:cs="Times New Roman"/>
    </w:rPr>
  </w:style>
  <w:style w:type="table" w:customStyle="1" w:styleId="136">
    <w:name w:val="Grid Table 3 - Accent 3"/>
    <w:qFormat/>
    <w:uiPriority w:val="0"/>
    <w:pPr>
      <w:spacing w:after="0" w:line="240" w:lineRule="auto"/>
    </w:pPr>
    <w:rPr>
      <w:rFonts w:ascii="Times New Roman" w:hAnsi="Times New Roman" w:eastAsia="宋体" w:cs="Times New Roman"/>
    </w:rPr>
  </w:style>
  <w:style w:type="table" w:customStyle="1" w:styleId="137">
    <w:name w:val="Grid Table 3 - Accent 4"/>
    <w:qFormat/>
    <w:uiPriority w:val="0"/>
    <w:pPr>
      <w:spacing w:after="0" w:line="240" w:lineRule="auto"/>
    </w:pPr>
    <w:rPr>
      <w:rFonts w:ascii="Times New Roman" w:hAnsi="Times New Roman" w:eastAsia="宋体" w:cs="Times New Roman"/>
    </w:rPr>
  </w:style>
  <w:style w:type="table" w:customStyle="1" w:styleId="138">
    <w:name w:val="Grid Table 3 - Accent 5"/>
    <w:qFormat/>
    <w:uiPriority w:val="0"/>
    <w:pPr>
      <w:spacing w:after="0" w:line="240" w:lineRule="auto"/>
    </w:pPr>
    <w:rPr>
      <w:rFonts w:ascii="Times New Roman" w:hAnsi="Times New Roman" w:eastAsia="宋体" w:cs="Times New Roman"/>
    </w:rPr>
  </w:style>
  <w:style w:type="table" w:customStyle="1" w:styleId="139">
    <w:name w:val="Grid Table 3 - Accent 6"/>
    <w:qFormat/>
    <w:uiPriority w:val="0"/>
    <w:pPr>
      <w:spacing w:after="0" w:line="240" w:lineRule="auto"/>
    </w:pPr>
    <w:rPr>
      <w:rFonts w:ascii="Times New Roman" w:hAnsi="Times New Roman" w:eastAsia="宋体" w:cs="Times New Roman"/>
    </w:rPr>
  </w:style>
  <w:style w:type="table" w:customStyle="1" w:styleId="140">
    <w:name w:val="Grid Table 4"/>
    <w:qFormat/>
    <w:uiPriority w:val="0"/>
    <w:pPr>
      <w:spacing w:after="0" w:line="240" w:lineRule="auto"/>
    </w:pPr>
    <w:rPr>
      <w:rFonts w:ascii="Times New Roman" w:hAnsi="Times New Roman" w:eastAsia="宋体" w:cs="Times New Roman"/>
    </w:rPr>
  </w:style>
  <w:style w:type="table" w:customStyle="1" w:styleId="141">
    <w:name w:val="Grid Table 4 - Accent 1"/>
    <w:qFormat/>
    <w:uiPriority w:val="0"/>
    <w:pPr>
      <w:spacing w:after="0" w:line="240" w:lineRule="auto"/>
    </w:pPr>
    <w:rPr>
      <w:rFonts w:ascii="Times New Roman" w:hAnsi="Times New Roman" w:eastAsia="宋体" w:cs="Times New Roman"/>
    </w:rPr>
  </w:style>
  <w:style w:type="table" w:customStyle="1" w:styleId="142">
    <w:name w:val="Grid Table 4 - Accent 2"/>
    <w:qFormat/>
    <w:uiPriority w:val="0"/>
    <w:pPr>
      <w:spacing w:after="0" w:line="240" w:lineRule="auto"/>
    </w:pPr>
    <w:rPr>
      <w:rFonts w:ascii="Times New Roman" w:hAnsi="Times New Roman" w:eastAsia="宋体" w:cs="Times New Roman"/>
    </w:rPr>
  </w:style>
  <w:style w:type="table" w:customStyle="1" w:styleId="143">
    <w:name w:val="Grid Table 4 - Accent 3"/>
    <w:qFormat/>
    <w:uiPriority w:val="0"/>
    <w:pPr>
      <w:spacing w:after="0" w:line="240" w:lineRule="auto"/>
    </w:pPr>
    <w:rPr>
      <w:rFonts w:ascii="Times New Roman" w:hAnsi="Times New Roman" w:eastAsia="宋体" w:cs="Times New Roman"/>
    </w:rPr>
  </w:style>
  <w:style w:type="table" w:customStyle="1" w:styleId="144">
    <w:name w:val="Grid Table 4 - Accent 4"/>
    <w:qFormat/>
    <w:uiPriority w:val="0"/>
    <w:pPr>
      <w:spacing w:after="0" w:line="240" w:lineRule="auto"/>
    </w:pPr>
    <w:rPr>
      <w:rFonts w:ascii="Times New Roman" w:hAnsi="Times New Roman" w:eastAsia="宋体" w:cs="Times New Roman"/>
    </w:rPr>
  </w:style>
  <w:style w:type="table" w:customStyle="1" w:styleId="145">
    <w:name w:val="Grid Table 4 - Accent 5"/>
    <w:qFormat/>
    <w:uiPriority w:val="0"/>
    <w:pPr>
      <w:spacing w:after="0" w:line="240" w:lineRule="auto"/>
    </w:pPr>
    <w:rPr>
      <w:rFonts w:ascii="Times New Roman" w:hAnsi="Times New Roman" w:eastAsia="宋体" w:cs="Times New Roman"/>
    </w:rPr>
  </w:style>
  <w:style w:type="table" w:customStyle="1" w:styleId="146">
    <w:name w:val="Grid Table 4 - Accent 6"/>
    <w:qFormat/>
    <w:uiPriority w:val="0"/>
    <w:pPr>
      <w:spacing w:after="0" w:line="240" w:lineRule="auto"/>
    </w:pPr>
    <w:rPr>
      <w:rFonts w:ascii="Times New Roman" w:hAnsi="Times New Roman" w:eastAsia="宋体" w:cs="Times New Roman"/>
    </w:rPr>
  </w:style>
  <w:style w:type="table" w:customStyle="1" w:styleId="147">
    <w:name w:val="Grid Table 5 Dark"/>
    <w:qFormat/>
    <w:uiPriority w:val="0"/>
    <w:pPr>
      <w:spacing w:after="0" w:line="240" w:lineRule="auto"/>
    </w:pPr>
    <w:rPr>
      <w:rFonts w:ascii="Times New Roman" w:hAnsi="Times New Roman" w:eastAsia="宋体" w:cs="Times New Roman"/>
    </w:rPr>
  </w:style>
  <w:style w:type="table" w:customStyle="1" w:styleId="148">
    <w:name w:val="Grid Table 5 Dark- Accent 1"/>
    <w:qFormat/>
    <w:uiPriority w:val="0"/>
    <w:pPr>
      <w:spacing w:after="0" w:line="240" w:lineRule="auto"/>
    </w:pPr>
    <w:rPr>
      <w:rFonts w:ascii="Times New Roman" w:hAnsi="Times New Roman" w:eastAsia="宋体" w:cs="Times New Roman"/>
    </w:rPr>
  </w:style>
  <w:style w:type="table" w:customStyle="1" w:styleId="149">
    <w:name w:val="Grid Table 5 Dark - Accent 2"/>
    <w:qFormat/>
    <w:uiPriority w:val="0"/>
    <w:pPr>
      <w:spacing w:after="0" w:line="240" w:lineRule="auto"/>
    </w:pPr>
    <w:rPr>
      <w:rFonts w:ascii="Times New Roman" w:hAnsi="Times New Roman" w:eastAsia="宋体" w:cs="Times New Roman"/>
    </w:rPr>
  </w:style>
  <w:style w:type="table" w:customStyle="1" w:styleId="150">
    <w:name w:val="Grid Table 5 Dark - Accent 3"/>
    <w:qFormat/>
    <w:uiPriority w:val="0"/>
    <w:pPr>
      <w:spacing w:after="0" w:line="240" w:lineRule="auto"/>
    </w:pPr>
    <w:rPr>
      <w:rFonts w:ascii="Times New Roman" w:hAnsi="Times New Roman" w:eastAsia="宋体" w:cs="Times New Roman"/>
    </w:rPr>
  </w:style>
  <w:style w:type="table" w:customStyle="1" w:styleId="151">
    <w:name w:val="Grid Table 5 Dark- Accent 4"/>
    <w:qFormat/>
    <w:uiPriority w:val="0"/>
    <w:pPr>
      <w:spacing w:after="0" w:line="240" w:lineRule="auto"/>
    </w:pPr>
    <w:rPr>
      <w:rFonts w:ascii="Times New Roman" w:hAnsi="Times New Roman" w:eastAsia="宋体" w:cs="Times New Roman"/>
    </w:rPr>
  </w:style>
  <w:style w:type="table" w:customStyle="1" w:styleId="152">
    <w:name w:val="Grid Table 5 Dark - Accent 5"/>
    <w:qFormat/>
    <w:uiPriority w:val="0"/>
    <w:pPr>
      <w:spacing w:after="0" w:line="240" w:lineRule="auto"/>
    </w:pPr>
    <w:rPr>
      <w:rFonts w:ascii="Times New Roman" w:hAnsi="Times New Roman" w:eastAsia="宋体" w:cs="Times New Roman"/>
    </w:rPr>
  </w:style>
  <w:style w:type="table" w:customStyle="1" w:styleId="153">
    <w:name w:val="Grid Table 5 Dark - Accent 6"/>
    <w:qFormat/>
    <w:uiPriority w:val="0"/>
    <w:pPr>
      <w:spacing w:after="0" w:line="240" w:lineRule="auto"/>
    </w:pPr>
    <w:rPr>
      <w:rFonts w:ascii="Times New Roman" w:hAnsi="Times New Roman" w:eastAsia="宋体" w:cs="Times New Roman"/>
    </w:rPr>
  </w:style>
  <w:style w:type="table" w:customStyle="1" w:styleId="154">
    <w:name w:val="Grid Table 6 Colorful"/>
    <w:qFormat/>
    <w:uiPriority w:val="0"/>
    <w:pPr>
      <w:spacing w:after="0" w:line="240" w:lineRule="auto"/>
    </w:pPr>
    <w:rPr>
      <w:rFonts w:ascii="Times New Roman" w:hAnsi="Times New Roman" w:eastAsia="宋体" w:cs="Times New Roman"/>
    </w:rPr>
  </w:style>
  <w:style w:type="table" w:customStyle="1" w:styleId="155">
    <w:name w:val="Grid Table 6 Colorful - Accent 1"/>
    <w:qFormat/>
    <w:uiPriority w:val="0"/>
    <w:pPr>
      <w:spacing w:after="0" w:line="240" w:lineRule="auto"/>
    </w:pPr>
    <w:rPr>
      <w:rFonts w:ascii="Times New Roman" w:hAnsi="Times New Roman" w:eastAsia="宋体" w:cs="Times New Roman"/>
    </w:rPr>
  </w:style>
  <w:style w:type="table" w:customStyle="1" w:styleId="156">
    <w:name w:val="Grid Table 6 Colorful - Accent 2"/>
    <w:qFormat/>
    <w:uiPriority w:val="0"/>
    <w:pPr>
      <w:spacing w:after="0" w:line="240" w:lineRule="auto"/>
    </w:pPr>
    <w:rPr>
      <w:rFonts w:ascii="Times New Roman" w:hAnsi="Times New Roman" w:eastAsia="宋体" w:cs="Times New Roman"/>
    </w:rPr>
  </w:style>
  <w:style w:type="table" w:customStyle="1" w:styleId="157">
    <w:name w:val="Grid Table 6 Colorful - Accent 3"/>
    <w:qFormat/>
    <w:uiPriority w:val="0"/>
    <w:pPr>
      <w:spacing w:after="0" w:line="240" w:lineRule="auto"/>
    </w:pPr>
    <w:rPr>
      <w:rFonts w:ascii="Times New Roman" w:hAnsi="Times New Roman" w:eastAsia="宋体" w:cs="Times New Roman"/>
    </w:rPr>
  </w:style>
  <w:style w:type="table" w:customStyle="1" w:styleId="158">
    <w:name w:val="Grid Table 6 Colorful - Accent 4"/>
    <w:qFormat/>
    <w:uiPriority w:val="0"/>
    <w:pPr>
      <w:spacing w:after="0" w:line="240" w:lineRule="auto"/>
    </w:pPr>
    <w:rPr>
      <w:rFonts w:ascii="Times New Roman" w:hAnsi="Times New Roman" w:eastAsia="宋体" w:cs="Times New Roman"/>
    </w:rPr>
  </w:style>
  <w:style w:type="table" w:customStyle="1" w:styleId="159">
    <w:name w:val="Grid Table 6 Colorful - Accent 5"/>
    <w:qFormat/>
    <w:uiPriority w:val="0"/>
    <w:pPr>
      <w:spacing w:after="0" w:line="240" w:lineRule="auto"/>
    </w:pPr>
    <w:rPr>
      <w:rFonts w:ascii="Times New Roman" w:hAnsi="Times New Roman" w:eastAsia="宋体" w:cs="Times New Roman"/>
    </w:rPr>
  </w:style>
  <w:style w:type="table" w:customStyle="1" w:styleId="160">
    <w:name w:val="Grid Table 6 Colorful - Accent 6"/>
    <w:qFormat/>
    <w:uiPriority w:val="0"/>
    <w:pPr>
      <w:spacing w:after="0" w:line="240" w:lineRule="auto"/>
    </w:pPr>
    <w:rPr>
      <w:rFonts w:ascii="Times New Roman" w:hAnsi="Times New Roman" w:eastAsia="宋体" w:cs="Times New Roman"/>
    </w:rPr>
  </w:style>
  <w:style w:type="table" w:customStyle="1" w:styleId="161">
    <w:name w:val="Grid Table 7 Colorful"/>
    <w:qFormat/>
    <w:uiPriority w:val="0"/>
    <w:pPr>
      <w:spacing w:after="0" w:line="240" w:lineRule="auto"/>
    </w:pPr>
    <w:rPr>
      <w:rFonts w:ascii="Times New Roman" w:hAnsi="Times New Roman" w:eastAsia="宋体" w:cs="Times New Roman"/>
    </w:rPr>
  </w:style>
  <w:style w:type="table" w:customStyle="1" w:styleId="162">
    <w:name w:val="Grid Table 7 Colorful - Accent 1"/>
    <w:qFormat/>
    <w:uiPriority w:val="0"/>
    <w:pPr>
      <w:spacing w:after="0" w:line="240" w:lineRule="auto"/>
    </w:pPr>
    <w:rPr>
      <w:rFonts w:ascii="Times New Roman" w:hAnsi="Times New Roman" w:eastAsia="宋体" w:cs="Times New Roman"/>
    </w:rPr>
  </w:style>
  <w:style w:type="table" w:customStyle="1" w:styleId="163">
    <w:name w:val="Grid Table 7 Colorful - Accent 2"/>
    <w:qFormat/>
    <w:uiPriority w:val="0"/>
    <w:pPr>
      <w:spacing w:after="0" w:line="240" w:lineRule="auto"/>
    </w:pPr>
    <w:rPr>
      <w:rFonts w:ascii="Times New Roman" w:hAnsi="Times New Roman" w:eastAsia="宋体" w:cs="Times New Roman"/>
    </w:rPr>
  </w:style>
  <w:style w:type="table" w:customStyle="1" w:styleId="164">
    <w:name w:val="Grid Table 7 Colorful - Accent 3"/>
    <w:qFormat/>
    <w:uiPriority w:val="0"/>
    <w:pPr>
      <w:spacing w:after="0" w:line="240" w:lineRule="auto"/>
    </w:pPr>
    <w:rPr>
      <w:rFonts w:ascii="Times New Roman" w:hAnsi="Times New Roman" w:eastAsia="宋体" w:cs="Times New Roman"/>
    </w:rPr>
  </w:style>
  <w:style w:type="table" w:customStyle="1" w:styleId="165">
    <w:name w:val="Grid Table 7 Colorful - Accent 4"/>
    <w:qFormat/>
    <w:uiPriority w:val="0"/>
    <w:pPr>
      <w:spacing w:after="0" w:line="240" w:lineRule="auto"/>
    </w:pPr>
    <w:rPr>
      <w:rFonts w:ascii="Times New Roman" w:hAnsi="Times New Roman" w:eastAsia="宋体" w:cs="Times New Roman"/>
    </w:rPr>
  </w:style>
  <w:style w:type="table" w:customStyle="1" w:styleId="166">
    <w:name w:val="Grid Table 7 Colorful - Accent 5"/>
    <w:qFormat/>
    <w:uiPriority w:val="0"/>
    <w:pPr>
      <w:spacing w:after="0" w:line="240" w:lineRule="auto"/>
    </w:pPr>
    <w:rPr>
      <w:rFonts w:ascii="Times New Roman" w:hAnsi="Times New Roman" w:eastAsia="宋体" w:cs="Times New Roman"/>
    </w:rPr>
  </w:style>
  <w:style w:type="table" w:customStyle="1" w:styleId="167">
    <w:name w:val="Grid Table 7 Colorful - Accent 6"/>
    <w:qFormat/>
    <w:uiPriority w:val="0"/>
    <w:pPr>
      <w:spacing w:after="0" w:line="240" w:lineRule="auto"/>
    </w:pPr>
    <w:rPr>
      <w:rFonts w:ascii="Times New Roman" w:hAnsi="Times New Roman" w:eastAsia="宋体" w:cs="Times New Roman"/>
    </w:rPr>
  </w:style>
  <w:style w:type="table" w:customStyle="1" w:styleId="168">
    <w:name w:val="List Table 1 Light"/>
    <w:qFormat/>
    <w:uiPriority w:val="0"/>
    <w:pPr>
      <w:spacing w:after="0" w:line="240" w:lineRule="auto"/>
    </w:pPr>
    <w:rPr>
      <w:rFonts w:ascii="Times New Roman" w:hAnsi="Times New Roman" w:eastAsia="宋体" w:cs="Times New Roman"/>
    </w:rPr>
  </w:style>
  <w:style w:type="table" w:customStyle="1" w:styleId="169">
    <w:name w:val="List Table 1 Light - Accent 1"/>
    <w:qFormat/>
    <w:uiPriority w:val="0"/>
    <w:pPr>
      <w:spacing w:after="0" w:line="240" w:lineRule="auto"/>
    </w:pPr>
    <w:rPr>
      <w:rFonts w:ascii="Times New Roman" w:hAnsi="Times New Roman" w:eastAsia="宋体" w:cs="Times New Roman"/>
    </w:rPr>
  </w:style>
  <w:style w:type="table" w:customStyle="1" w:styleId="170">
    <w:name w:val="List Table 1 Light - Accent 2"/>
    <w:qFormat/>
    <w:uiPriority w:val="0"/>
    <w:pPr>
      <w:spacing w:after="0" w:line="240" w:lineRule="auto"/>
    </w:pPr>
    <w:rPr>
      <w:rFonts w:ascii="Times New Roman" w:hAnsi="Times New Roman" w:eastAsia="宋体" w:cs="Times New Roman"/>
    </w:rPr>
  </w:style>
  <w:style w:type="table" w:customStyle="1" w:styleId="171">
    <w:name w:val="List Table 1 Light - Accent 3"/>
    <w:qFormat/>
    <w:uiPriority w:val="0"/>
    <w:pPr>
      <w:spacing w:after="0" w:line="240" w:lineRule="auto"/>
    </w:pPr>
    <w:rPr>
      <w:rFonts w:ascii="Times New Roman" w:hAnsi="Times New Roman" w:eastAsia="宋体" w:cs="Times New Roman"/>
    </w:rPr>
  </w:style>
  <w:style w:type="table" w:customStyle="1" w:styleId="172">
    <w:name w:val="List Table 1 Light - Accent 4"/>
    <w:qFormat/>
    <w:uiPriority w:val="0"/>
    <w:pPr>
      <w:spacing w:after="0" w:line="240" w:lineRule="auto"/>
    </w:pPr>
    <w:rPr>
      <w:rFonts w:ascii="Times New Roman" w:hAnsi="Times New Roman" w:eastAsia="宋体" w:cs="Times New Roman"/>
    </w:rPr>
  </w:style>
  <w:style w:type="table" w:customStyle="1" w:styleId="173">
    <w:name w:val="List Table 1 Light - Accent 5"/>
    <w:qFormat/>
    <w:uiPriority w:val="0"/>
    <w:pPr>
      <w:spacing w:after="0" w:line="240" w:lineRule="auto"/>
    </w:pPr>
    <w:rPr>
      <w:rFonts w:ascii="Times New Roman" w:hAnsi="Times New Roman" w:eastAsia="宋体" w:cs="Times New Roman"/>
    </w:rPr>
  </w:style>
  <w:style w:type="table" w:customStyle="1" w:styleId="174">
    <w:name w:val="List Table 1 Light - Accent 6"/>
    <w:qFormat/>
    <w:uiPriority w:val="0"/>
    <w:pPr>
      <w:spacing w:after="0" w:line="240" w:lineRule="auto"/>
    </w:pPr>
    <w:rPr>
      <w:rFonts w:ascii="Times New Roman" w:hAnsi="Times New Roman" w:eastAsia="宋体" w:cs="Times New Roman"/>
    </w:rPr>
  </w:style>
  <w:style w:type="table" w:customStyle="1" w:styleId="175">
    <w:name w:val="List Table 2"/>
    <w:qFormat/>
    <w:uiPriority w:val="0"/>
    <w:pPr>
      <w:spacing w:after="0" w:line="240" w:lineRule="auto"/>
    </w:pPr>
    <w:rPr>
      <w:rFonts w:ascii="Times New Roman" w:hAnsi="Times New Roman" w:eastAsia="宋体" w:cs="Times New Roman"/>
    </w:rPr>
  </w:style>
  <w:style w:type="table" w:customStyle="1" w:styleId="176">
    <w:name w:val="List Table 2 - Accent 1"/>
    <w:qFormat/>
    <w:uiPriority w:val="0"/>
    <w:pPr>
      <w:spacing w:after="0" w:line="240" w:lineRule="auto"/>
    </w:pPr>
    <w:rPr>
      <w:rFonts w:ascii="Times New Roman" w:hAnsi="Times New Roman" w:eastAsia="宋体" w:cs="Times New Roman"/>
    </w:rPr>
  </w:style>
  <w:style w:type="table" w:customStyle="1" w:styleId="177">
    <w:name w:val="List Table 2 - Accent 2"/>
    <w:qFormat/>
    <w:uiPriority w:val="0"/>
    <w:pPr>
      <w:spacing w:after="0" w:line="240" w:lineRule="auto"/>
    </w:pPr>
    <w:rPr>
      <w:rFonts w:ascii="Times New Roman" w:hAnsi="Times New Roman" w:eastAsia="宋体" w:cs="Times New Roman"/>
    </w:rPr>
  </w:style>
  <w:style w:type="table" w:customStyle="1" w:styleId="178">
    <w:name w:val="List Table 2 - Accent 3"/>
    <w:qFormat/>
    <w:uiPriority w:val="0"/>
    <w:pPr>
      <w:spacing w:after="0" w:line="240" w:lineRule="auto"/>
    </w:pPr>
    <w:rPr>
      <w:rFonts w:ascii="Times New Roman" w:hAnsi="Times New Roman" w:eastAsia="宋体" w:cs="Times New Roman"/>
    </w:rPr>
  </w:style>
  <w:style w:type="table" w:customStyle="1" w:styleId="179">
    <w:name w:val="List Table 2 - Accent 4"/>
    <w:qFormat/>
    <w:uiPriority w:val="0"/>
    <w:pPr>
      <w:spacing w:after="0" w:line="240" w:lineRule="auto"/>
    </w:pPr>
    <w:rPr>
      <w:rFonts w:ascii="Times New Roman" w:hAnsi="Times New Roman" w:eastAsia="宋体" w:cs="Times New Roman"/>
    </w:rPr>
  </w:style>
  <w:style w:type="table" w:customStyle="1" w:styleId="180">
    <w:name w:val="List Table 2 - Accent 5"/>
    <w:qFormat/>
    <w:uiPriority w:val="0"/>
    <w:pPr>
      <w:spacing w:after="0" w:line="240" w:lineRule="auto"/>
    </w:pPr>
    <w:rPr>
      <w:rFonts w:ascii="Times New Roman" w:hAnsi="Times New Roman" w:eastAsia="宋体" w:cs="Times New Roman"/>
    </w:rPr>
  </w:style>
  <w:style w:type="table" w:customStyle="1" w:styleId="181">
    <w:name w:val="List Table 2 - Accent 6"/>
    <w:qFormat/>
    <w:uiPriority w:val="0"/>
    <w:pPr>
      <w:spacing w:after="0" w:line="240" w:lineRule="auto"/>
    </w:pPr>
    <w:rPr>
      <w:rFonts w:ascii="Times New Roman" w:hAnsi="Times New Roman" w:eastAsia="宋体" w:cs="Times New Roman"/>
    </w:rPr>
  </w:style>
  <w:style w:type="table" w:customStyle="1" w:styleId="182">
    <w:name w:val="List Table 3"/>
    <w:qFormat/>
    <w:uiPriority w:val="0"/>
    <w:pPr>
      <w:spacing w:after="0" w:line="240" w:lineRule="auto"/>
    </w:pPr>
    <w:rPr>
      <w:rFonts w:ascii="Times New Roman" w:hAnsi="Times New Roman" w:eastAsia="宋体" w:cs="Times New Roman"/>
    </w:rPr>
  </w:style>
  <w:style w:type="table" w:customStyle="1" w:styleId="183">
    <w:name w:val="List Table 3 - Accent 1"/>
    <w:qFormat/>
    <w:uiPriority w:val="0"/>
    <w:pPr>
      <w:spacing w:after="0" w:line="240" w:lineRule="auto"/>
    </w:pPr>
    <w:rPr>
      <w:rFonts w:ascii="Times New Roman" w:hAnsi="Times New Roman" w:eastAsia="宋体" w:cs="Times New Roman"/>
    </w:rPr>
  </w:style>
  <w:style w:type="table" w:customStyle="1" w:styleId="184">
    <w:name w:val="List Table 3 - Accent 2"/>
    <w:qFormat/>
    <w:uiPriority w:val="0"/>
    <w:pPr>
      <w:spacing w:after="0" w:line="240" w:lineRule="auto"/>
    </w:pPr>
    <w:rPr>
      <w:rFonts w:ascii="Times New Roman" w:hAnsi="Times New Roman" w:eastAsia="宋体" w:cs="Times New Roman"/>
    </w:rPr>
  </w:style>
  <w:style w:type="table" w:customStyle="1" w:styleId="185">
    <w:name w:val="List Table 3 - Accent 3"/>
    <w:qFormat/>
    <w:uiPriority w:val="0"/>
    <w:pPr>
      <w:spacing w:after="0" w:line="240" w:lineRule="auto"/>
    </w:pPr>
    <w:rPr>
      <w:rFonts w:ascii="Times New Roman" w:hAnsi="Times New Roman" w:eastAsia="宋体" w:cs="Times New Roman"/>
    </w:rPr>
  </w:style>
  <w:style w:type="table" w:customStyle="1" w:styleId="186">
    <w:name w:val="List Table 3 - Accent 4"/>
    <w:qFormat/>
    <w:uiPriority w:val="0"/>
    <w:pPr>
      <w:spacing w:after="0" w:line="240" w:lineRule="auto"/>
    </w:pPr>
    <w:rPr>
      <w:rFonts w:ascii="Times New Roman" w:hAnsi="Times New Roman" w:eastAsia="宋体" w:cs="Times New Roman"/>
    </w:rPr>
  </w:style>
  <w:style w:type="table" w:customStyle="1" w:styleId="187">
    <w:name w:val="List Table 3 - Accent 5"/>
    <w:qFormat/>
    <w:uiPriority w:val="0"/>
    <w:pPr>
      <w:spacing w:after="0" w:line="240" w:lineRule="auto"/>
    </w:pPr>
    <w:rPr>
      <w:rFonts w:ascii="Times New Roman" w:hAnsi="Times New Roman" w:eastAsia="宋体" w:cs="Times New Roman"/>
    </w:rPr>
  </w:style>
  <w:style w:type="table" w:customStyle="1" w:styleId="188">
    <w:name w:val="List Table 3 - Accent 6"/>
    <w:qFormat/>
    <w:uiPriority w:val="0"/>
    <w:pPr>
      <w:spacing w:after="0" w:line="240" w:lineRule="auto"/>
    </w:pPr>
    <w:rPr>
      <w:rFonts w:ascii="Times New Roman" w:hAnsi="Times New Roman" w:eastAsia="宋体" w:cs="Times New Roman"/>
    </w:rPr>
  </w:style>
  <w:style w:type="table" w:customStyle="1" w:styleId="189">
    <w:name w:val="List Table 4"/>
    <w:qFormat/>
    <w:uiPriority w:val="0"/>
    <w:pPr>
      <w:spacing w:after="0" w:line="240" w:lineRule="auto"/>
    </w:pPr>
    <w:rPr>
      <w:rFonts w:ascii="Times New Roman" w:hAnsi="Times New Roman" w:eastAsia="宋体" w:cs="Times New Roman"/>
    </w:rPr>
  </w:style>
  <w:style w:type="table" w:customStyle="1" w:styleId="190">
    <w:name w:val="List Table 4 - Accent 1"/>
    <w:qFormat/>
    <w:uiPriority w:val="0"/>
    <w:pPr>
      <w:spacing w:after="0" w:line="240" w:lineRule="auto"/>
    </w:pPr>
    <w:rPr>
      <w:rFonts w:ascii="Times New Roman" w:hAnsi="Times New Roman" w:eastAsia="宋体" w:cs="Times New Roman"/>
    </w:rPr>
  </w:style>
  <w:style w:type="table" w:customStyle="1" w:styleId="191">
    <w:name w:val="List Table 4 - Accent 2"/>
    <w:qFormat/>
    <w:uiPriority w:val="0"/>
    <w:pPr>
      <w:spacing w:after="0" w:line="240" w:lineRule="auto"/>
    </w:pPr>
    <w:rPr>
      <w:rFonts w:ascii="Times New Roman" w:hAnsi="Times New Roman" w:eastAsia="宋体" w:cs="Times New Roman"/>
    </w:rPr>
  </w:style>
  <w:style w:type="table" w:customStyle="1" w:styleId="192">
    <w:name w:val="List Table 4 - Accent 3"/>
    <w:qFormat/>
    <w:uiPriority w:val="0"/>
    <w:pPr>
      <w:spacing w:after="0" w:line="240" w:lineRule="auto"/>
    </w:pPr>
    <w:rPr>
      <w:rFonts w:ascii="Times New Roman" w:hAnsi="Times New Roman" w:eastAsia="宋体" w:cs="Times New Roman"/>
    </w:rPr>
  </w:style>
  <w:style w:type="table" w:customStyle="1" w:styleId="193">
    <w:name w:val="List Table 4 - Accent 4"/>
    <w:qFormat/>
    <w:uiPriority w:val="0"/>
    <w:pPr>
      <w:spacing w:after="0" w:line="240" w:lineRule="auto"/>
    </w:pPr>
    <w:rPr>
      <w:rFonts w:ascii="Times New Roman" w:hAnsi="Times New Roman" w:eastAsia="宋体" w:cs="Times New Roman"/>
    </w:rPr>
  </w:style>
  <w:style w:type="table" w:customStyle="1" w:styleId="194">
    <w:name w:val="List Table 4 - Accent 5"/>
    <w:qFormat/>
    <w:uiPriority w:val="0"/>
    <w:pPr>
      <w:spacing w:after="0" w:line="240" w:lineRule="auto"/>
    </w:pPr>
    <w:rPr>
      <w:rFonts w:ascii="Times New Roman" w:hAnsi="Times New Roman" w:eastAsia="宋体" w:cs="Times New Roman"/>
    </w:rPr>
  </w:style>
  <w:style w:type="table" w:customStyle="1" w:styleId="195">
    <w:name w:val="List Table 4 - Accent 6"/>
    <w:qFormat/>
    <w:uiPriority w:val="0"/>
    <w:pPr>
      <w:spacing w:after="0" w:line="240" w:lineRule="auto"/>
    </w:pPr>
    <w:rPr>
      <w:rFonts w:ascii="Times New Roman" w:hAnsi="Times New Roman" w:eastAsia="宋体" w:cs="Times New Roman"/>
    </w:rPr>
  </w:style>
  <w:style w:type="table" w:customStyle="1" w:styleId="196">
    <w:name w:val="List Table 5 Dark"/>
    <w:qFormat/>
    <w:uiPriority w:val="0"/>
    <w:pPr>
      <w:spacing w:after="0" w:line="240" w:lineRule="auto"/>
    </w:pPr>
    <w:rPr>
      <w:rFonts w:ascii="Times New Roman" w:hAnsi="Times New Roman" w:eastAsia="宋体" w:cs="Times New Roman"/>
    </w:rPr>
  </w:style>
  <w:style w:type="table" w:customStyle="1" w:styleId="197">
    <w:name w:val="List Table 5 Dark - Accent 1"/>
    <w:qFormat/>
    <w:uiPriority w:val="0"/>
    <w:pPr>
      <w:spacing w:after="0" w:line="240" w:lineRule="auto"/>
    </w:pPr>
    <w:rPr>
      <w:rFonts w:ascii="Times New Roman" w:hAnsi="Times New Roman" w:eastAsia="宋体" w:cs="Times New Roman"/>
    </w:rPr>
  </w:style>
  <w:style w:type="table" w:customStyle="1" w:styleId="198">
    <w:name w:val="List Table 5 Dark - Accent 2"/>
    <w:qFormat/>
    <w:uiPriority w:val="0"/>
    <w:pPr>
      <w:spacing w:after="0" w:line="240" w:lineRule="auto"/>
    </w:pPr>
    <w:rPr>
      <w:rFonts w:ascii="Times New Roman" w:hAnsi="Times New Roman" w:eastAsia="宋体" w:cs="Times New Roman"/>
    </w:rPr>
  </w:style>
  <w:style w:type="table" w:customStyle="1" w:styleId="199">
    <w:name w:val="List Table 5 Dark - Accent 3"/>
    <w:qFormat/>
    <w:uiPriority w:val="0"/>
    <w:pPr>
      <w:spacing w:after="0" w:line="240" w:lineRule="auto"/>
    </w:pPr>
    <w:rPr>
      <w:rFonts w:ascii="Times New Roman" w:hAnsi="Times New Roman" w:eastAsia="宋体" w:cs="Times New Roman"/>
    </w:rPr>
  </w:style>
  <w:style w:type="table" w:customStyle="1" w:styleId="200">
    <w:name w:val="List Table 5 Dark - Accent 4"/>
    <w:qFormat/>
    <w:uiPriority w:val="0"/>
    <w:pPr>
      <w:spacing w:after="0" w:line="240" w:lineRule="auto"/>
    </w:pPr>
    <w:rPr>
      <w:rFonts w:ascii="Times New Roman" w:hAnsi="Times New Roman" w:eastAsia="宋体" w:cs="Times New Roman"/>
    </w:rPr>
  </w:style>
  <w:style w:type="table" w:customStyle="1" w:styleId="201">
    <w:name w:val="List Table 5 Dark - Accent 5"/>
    <w:qFormat/>
    <w:uiPriority w:val="0"/>
    <w:pPr>
      <w:spacing w:after="0" w:line="240" w:lineRule="auto"/>
    </w:pPr>
    <w:rPr>
      <w:rFonts w:ascii="Times New Roman" w:hAnsi="Times New Roman" w:eastAsia="宋体" w:cs="Times New Roman"/>
    </w:rPr>
  </w:style>
  <w:style w:type="table" w:customStyle="1" w:styleId="202">
    <w:name w:val="List Table 5 Dark - Accent 6"/>
    <w:qFormat/>
    <w:uiPriority w:val="0"/>
    <w:pPr>
      <w:spacing w:after="0" w:line="240" w:lineRule="auto"/>
    </w:pPr>
    <w:rPr>
      <w:rFonts w:ascii="Times New Roman" w:hAnsi="Times New Roman" w:eastAsia="宋体" w:cs="Times New Roman"/>
    </w:rPr>
  </w:style>
  <w:style w:type="table" w:customStyle="1" w:styleId="203">
    <w:name w:val="List Table 6 Colorful"/>
    <w:qFormat/>
    <w:uiPriority w:val="0"/>
    <w:pPr>
      <w:spacing w:after="0" w:line="240" w:lineRule="auto"/>
    </w:pPr>
    <w:rPr>
      <w:rFonts w:ascii="Times New Roman" w:hAnsi="Times New Roman" w:eastAsia="宋体" w:cs="Times New Roman"/>
    </w:rPr>
  </w:style>
  <w:style w:type="table" w:customStyle="1" w:styleId="204">
    <w:name w:val="List Table 6 Colorful - Accent 1"/>
    <w:qFormat/>
    <w:uiPriority w:val="0"/>
    <w:pPr>
      <w:spacing w:after="0" w:line="240" w:lineRule="auto"/>
    </w:pPr>
    <w:rPr>
      <w:rFonts w:ascii="Times New Roman" w:hAnsi="Times New Roman" w:eastAsia="宋体" w:cs="Times New Roman"/>
    </w:rPr>
  </w:style>
  <w:style w:type="table" w:customStyle="1" w:styleId="205">
    <w:name w:val="List Table 6 Colorful - Accent 2"/>
    <w:qFormat/>
    <w:uiPriority w:val="0"/>
    <w:pPr>
      <w:spacing w:after="0" w:line="240" w:lineRule="auto"/>
    </w:pPr>
    <w:rPr>
      <w:rFonts w:ascii="Times New Roman" w:hAnsi="Times New Roman" w:eastAsia="宋体" w:cs="Times New Roman"/>
    </w:rPr>
  </w:style>
  <w:style w:type="table" w:customStyle="1" w:styleId="206">
    <w:name w:val="List Table 6 Colorful - Accent 3"/>
    <w:qFormat/>
    <w:uiPriority w:val="0"/>
    <w:pPr>
      <w:spacing w:after="0" w:line="240" w:lineRule="auto"/>
    </w:pPr>
    <w:rPr>
      <w:rFonts w:ascii="Times New Roman" w:hAnsi="Times New Roman" w:eastAsia="宋体" w:cs="Times New Roman"/>
    </w:rPr>
  </w:style>
  <w:style w:type="table" w:customStyle="1" w:styleId="207">
    <w:name w:val="List Table 6 Colorful - Accent 4"/>
    <w:qFormat/>
    <w:uiPriority w:val="0"/>
    <w:pPr>
      <w:spacing w:after="0" w:line="240" w:lineRule="auto"/>
    </w:pPr>
    <w:rPr>
      <w:rFonts w:ascii="Times New Roman" w:hAnsi="Times New Roman" w:eastAsia="宋体" w:cs="Times New Roman"/>
    </w:rPr>
  </w:style>
  <w:style w:type="table" w:customStyle="1" w:styleId="208">
    <w:name w:val="List Table 6 Colorful - Accent 5"/>
    <w:qFormat/>
    <w:uiPriority w:val="0"/>
    <w:pPr>
      <w:spacing w:after="0" w:line="240" w:lineRule="auto"/>
    </w:pPr>
    <w:rPr>
      <w:rFonts w:ascii="Times New Roman" w:hAnsi="Times New Roman" w:eastAsia="宋体" w:cs="Times New Roman"/>
    </w:rPr>
  </w:style>
  <w:style w:type="table" w:customStyle="1" w:styleId="209">
    <w:name w:val="List Table 6 Colorful - Accent 6"/>
    <w:qFormat/>
    <w:uiPriority w:val="0"/>
    <w:pPr>
      <w:spacing w:after="0" w:line="240" w:lineRule="auto"/>
    </w:pPr>
    <w:rPr>
      <w:rFonts w:ascii="Times New Roman" w:hAnsi="Times New Roman" w:eastAsia="宋体" w:cs="Times New Roman"/>
    </w:rPr>
  </w:style>
  <w:style w:type="table" w:customStyle="1" w:styleId="210">
    <w:name w:val="List Table 7 Colorful"/>
    <w:qFormat/>
    <w:uiPriority w:val="0"/>
    <w:pPr>
      <w:spacing w:after="0" w:line="240" w:lineRule="auto"/>
    </w:pPr>
    <w:rPr>
      <w:rFonts w:ascii="Times New Roman" w:hAnsi="Times New Roman" w:eastAsia="宋体" w:cs="Times New Roman"/>
    </w:rPr>
  </w:style>
  <w:style w:type="table" w:customStyle="1" w:styleId="211">
    <w:name w:val="List Table 7 Colorful - Accent 1"/>
    <w:qFormat/>
    <w:uiPriority w:val="0"/>
    <w:pPr>
      <w:spacing w:after="0" w:line="240" w:lineRule="auto"/>
    </w:pPr>
    <w:rPr>
      <w:rFonts w:ascii="Times New Roman" w:hAnsi="Times New Roman" w:eastAsia="宋体" w:cs="Times New Roman"/>
    </w:rPr>
  </w:style>
  <w:style w:type="table" w:customStyle="1" w:styleId="212">
    <w:name w:val="List Table 7 Colorful - Accent 2"/>
    <w:qFormat/>
    <w:uiPriority w:val="0"/>
    <w:pPr>
      <w:spacing w:after="0" w:line="240" w:lineRule="auto"/>
    </w:pPr>
    <w:rPr>
      <w:rFonts w:ascii="Times New Roman" w:hAnsi="Times New Roman" w:eastAsia="宋体" w:cs="Times New Roman"/>
    </w:rPr>
  </w:style>
  <w:style w:type="table" w:customStyle="1" w:styleId="213">
    <w:name w:val="List Table 7 Colorful - Accent 3"/>
    <w:qFormat/>
    <w:uiPriority w:val="0"/>
    <w:pPr>
      <w:spacing w:after="0" w:line="240" w:lineRule="auto"/>
    </w:pPr>
    <w:rPr>
      <w:rFonts w:ascii="Times New Roman" w:hAnsi="Times New Roman" w:eastAsia="宋体" w:cs="Times New Roman"/>
    </w:rPr>
  </w:style>
  <w:style w:type="table" w:customStyle="1" w:styleId="214">
    <w:name w:val="List Table 7 Colorful - Accent 4"/>
    <w:qFormat/>
    <w:uiPriority w:val="0"/>
    <w:pPr>
      <w:spacing w:after="0" w:line="240" w:lineRule="auto"/>
    </w:pPr>
    <w:rPr>
      <w:rFonts w:ascii="Times New Roman" w:hAnsi="Times New Roman" w:eastAsia="宋体" w:cs="Times New Roman"/>
    </w:rPr>
  </w:style>
  <w:style w:type="table" w:customStyle="1" w:styleId="215">
    <w:name w:val="List Table 7 Colorful - Accent 5"/>
    <w:qFormat/>
    <w:uiPriority w:val="0"/>
    <w:pPr>
      <w:spacing w:after="0" w:line="240" w:lineRule="auto"/>
    </w:pPr>
    <w:rPr>
      <w:rFonts w:ascii="Times New Roman" w:hAnsi="Times New Roman" w:eastAsia="宋体" w:cs="Times New Roman"/>
    </w:rPr>
  </w:style>
  <w:style w:type="table" w:customStyle="1" w:styleId="216">
    <w:name w:val="List Table 7 Colorful - Accent 6"/>
    <w:qFormat/>
    <w:uiPriority w:val="0"/>
    <w:pPr>
      <w:spacing w:after="0" w:line="240" w:lineRule="auto"/>
    </w:pPr>
    <w:rPr>
      <w:rFonts w:ascii="Times New Roman" w:hAnsi="Times New Roman" w:eastAsia="宋体" w:cs="Times New Roman"/>
    </w:rPr>
  </w:style>
  <w:style w:type="table" w:customStyle="1" w:styleId="217">
    <w:name w:val="Lined - Accent"/>
    <w:qFormat/>
    <w:uiPriority w:val="0"/>
    <w:pPr>
      <w:spacing w:after="0" w:line="240" w:lineRule="auto"/>
    </w:pPr>
    <w:rPr>
      <w:rFonts w:ascii="Times New Roman" w:hAnsi="Times New Roman" w:eastAsia="宋体" w:cs="Times New Roman"/>
      <w:color w:val="404040"/>
    </w:rPr>
  </w:style>
  <w:style w:type="table" w:customStyle="1" w:styleId="218">
    <w:name w:val="Lined - Accent 1"/>
    <w:qFormat/>
    <w:uiPriority w:val="0"/>
    <w:pPr>
      <w:spacing w:after="0" w:line="240" w:lineRule="auto"/>
    </w:pPr>
    <w:rPr>
      <w:rFonts w:ascii="Times New Roman" w:hAnsi="Times New Roman" w:eastAsia="宋体" w:cs="Times New Roman"/>
      <w:color w:val="404040"/>
    </w:rPr>
  </w:style>
  <w:style w:type="table" w:customStyle="1" w:styleId="219">
    <w:name w:val="Lined - Accent 2"/>
    <w:qFormat/>
    <w:uiPriority w:val="0"/>
    <w:pPr>
      <w:spacing w:after="0" w:line="240" w:lineRule="auto"/>
    </w:pPr>
    <w:rPr>
      <w:rFonts w:ascii="Times New Roman" w:hAnsi="Times New Roman" w:eastAsia="宋体" w:cs="Times New Roman"/>
      <w:color w:val="404040"/>
    </w:rPr>
  </w:style>
  <w:style w:type="table" w:customStyle="1" w:styleId="220">
    <w:name w:val="Lined - Accent 3"/>
    <w:qFormat/>
    <w:uiPriority w:val="0"/>
    <w:pPr>
      <w:spacing w:after="0" w:line="240" w:lineRule="auto"/>
    </w:pPr>
    <w:rPr>
      <w:rFonts w:ascii="Times New Roman" w:hAnsi="Times New Roman" w:eastAsia="宋体" w:cs="Times New Roman"/>
      <w:color w:val="404040"/>
    </w:rPr>
  </w:style>
  <w:style w:type="table" w:customStyle="1" w:styleId="221">
    <w:name w:val="Lined - Accent 4"/>
    <w:qFormat/>
    <w:uiPriority w:val="0"/>
    <w:pPr>
      <w:spacing w:after="0" w:line="240" w:lineRule="auto"/>
    </w:pPr>
    <w:rPr>
      <w:rFonts w:ascii="Times New Roman" w:hAnsi="Times New Roman" w:eastAsia="宋体" w:cs="Times New Roman"/>
      <w:color w:val="404040"/>
    </w:rPr>
  </w:style>
  <w:style w:type="table" w:customStyle="1" w:styleId="222">
    <w:name w:val="Lined - Accent 5"/>
    <w:qFormat/>
    <w:uiPriority w:val="0"/>
    <w:pPr>
      <w:spacing w:after="0" w:line="240" w:lineRule="auto"/>
    </w:pPr>
    <w:rPr>
      <w:rFonts w:ascii="Times New Roman" w:hAnsi="Times New Roman" w:eastAsia="宋体" w:cs="Times New Roman"/>
      <w:color w:val="404040"/>
    </w:rPr>
  </w:style>
  <w:style w:type="table" w:customStyle="1" w:styleId="223">
    <w:name w:val="Lined - Accent 6"/>
    <w:qFormat/>
    <w:uiPriority w:val="0"/>
    <w:pPr>
      <w:spacing w:after="0" w:line="240" w:lineRule="auto"/>
    </w:pPr>
    <w:rPr>
      <w:rFonts w:ascii="Times New Roman" w:hAnsi="Times New Roman" w:eastAsia="宋体" w:cs="Times New Roman"/>
      <w:color w:val="404040"/>
    </w:rPr>
  </w:style>
  <w:style w:type="table" w:customStyle="1" w:styleId="224">
    <w:name w:val="Bordered &amp; Lined - Accent"/>
    <w:qFormat/>
    <w:uiPriority w:val="0"/>
    <w:pPr>
      <w:spacing w:after="0" w:line="240" w:lineRule="auto"/>
    </w:pPr>
    <w:rPr>
      <w:rFonts w:ascii="Times New Roman" w:hAnsi="Times New Roman" w:eastAsia="宋体" w:cs="Times New Roman"/>
      <w:color w:val="404040"/>
    </w:rPr>
  </w:style>
  <w:style w:type="table" w:customStyle="1" w:styleId="225">
    <w:name w:val="Bordered &amp; Lined - Accent 1"/>
    <w:qFormat/>
    <w:uiPriority w:val="0"/>
    <w:pPr>
      <w:spacing w:after="0" w:line="240" w:lineRule="auto"/>
    </w:pPr>
    <w:rPr>
      <w:rFonts w:ascii="Times New Roman" w:hAnsi="Times New Roman" w:eastAsia="宋体" w:cs="Times New Roman"/>
      <w:color w:val="404040"/>
    </w:rPr>
  </w:style>
  <w:style w:type="table" w:customStyle="1" w:styleId="226">
    <w:name w:val="Bordered &amp; Lined - Accent 2"/>
    <w:qFormat/>
    <w:uiPriority w:val="0"/>
    <w:pPr>
      <w:spacing w:after="0" w:line="240" w:lineRule="auto"/>
    </w:pPr>
    <w:rPr>
      <w:rFonts w:ascii="Times New Roman" w:hAnsi="Times New Roman" w:eastAsia="宋体" w:cs="Times New Roman"/>
      <w:color w:val="404040"/>
    </w:rPr>
  </w:style>
  <w:style w:type="table" w:customStyle="1" w:styleId="227">
    <w:name w:val="Bordered &amp; Lined - Accent 3"/>
    <w:qFormat/>
    <w:uiPriority w:val="0"/>
    <w:pPr>
      <w:spacing w:after="0" w:line="240" w:lineRule="auto"/>
    </w:pPr>
    <w:rPr>
      <w:rFonts w:ascii="Times New Roman" w:hAnsi="Times New Roman" w:eastAsia="宋体" w:cs="Times New Roman"/>
      <w:color w:val="404040"/>
    </w:rPr>
  </w:style>
  <w:style w:type="table" w:customStyle="1" w:styleId="228">
    <w:name w:val="Bordered &amp; Lined - Accent 4"/>
    <w:qFormat/>
    <w:uiPriority w:val="0"/>
    <w:pPr>
      <w:spacing w:after="0" w:line="240" w:lineRule="auto"/>
    </w:pPr>
    <w:rPr>
      <w:rFonts w:ascii="Times New Roman" w:hAnsi="Times New Roman" w:eastAsia="宋体" w:cs="Times New Roman"/>
      <w:color w:val="404040"/>
    </w:rPr>
  </w:style>
  <w:style w:type="table" w:customStyle="1" w:styleId="229">
    <w:name w:val="Bordered &amp; Lined - Accent 5"/>
    <w:qFormat/>
    <w:uiPriority w:val="0"/>
    <w:pPr>
      <w:spacing w:after="0" w:line="240" w:lineRule="auto"/>
    </w:pPr>
    <w:rPr>
      <w:rFonts w:ascii="Times New Roman" w:hAnsi="Times New Roman" w:eastAsia="宋体" w:cs="Times New Roman"/>
      <w:color w:val="404040"/>
    </w:rPr>
  </w:style>
  <w:style w:type="table" w:customStyle="1" w:styleId="230">
    <w:name w:val="Bordered &amp; Lined - Accent 6"/>
    <w:qFormat/>
    <w:uiPriority w:val="0"/>
    <w:pPr>
      <w:spacing w:after="0" w:line="240" w:lineRule="auto"/>
    </w:pPr>
    <w:rPr>
      <w:rFonts w:ascii="Times New Roman" w:hAnsi="Times New Roman" w:eastAsia="宋体" w:cs="Times New Roman"/>
      <w:color w:val="404040"/>
    </w:rPr>
  </w:style>
  <w:style w:type="table" w:customStyle="1" w:styleId="231">
    <w:name w:val="Bordered"/>
    <w:qFormat/>
    <w:uiPriority w:val="0"/>
    <w:pPr>
      <w:spacing w:after="0" w:line="240" w:lineRule="auto"/>
    </w:pPr>
    <w:rPr>
      <w:rFonts w:ascii="Times New Roman" w:hAnsi="Times New Roman" w:eastAsia="宋体" w:cs="Times New Roman"/>
    </w:rPr>
  </w:style>
  <w:style w:type="table" w:customStyle="1" w:styleId="232">
    <w:name w:val="Bordered - Accent 1"/>
    <w:qFormat/>
    <w:uiPriority w:val="0"/>
    <w:pPr>
      <w:spacing w:after="0" w:line="240" w:lineRule="auto"/>
    </w:pPr>
    <w:rPr>
      <w:rFonts w:ascii="Times New Roman" w:hAnsi="Times New Roman" w:eastAsia="宋体" w:cs="Times New Roman"/>
    </w:rPr>
  </w:style>
  <w:style w:type="table" w:customStyle="1" w:styleId="233">
    <w:name w:val="Bordered - Accent 2"/>
    <w:qFormat/>
    <w:uiPriority w:val="0"/>
    <w:pPr>
      <w:spacing w:after="0" w:line="240" w:lineRule="auto"/>
    </w:pPr>
    <w:rPr>
      <w:rFonts w:ascii="Times New Roman" w:hAnsi="Times New Roman" w:eastAsia="宋体" w:cs="Times New Roman"/>
    </w:rPr>
  </w:style>
  <w:style w:type="table" w:customStyle="1" w:styleId="234">
    <w:name w:val="Bordered - Accent 3"/>
    <w:qFormat/>
    <w:uiPriority w:val="0"/>
    <w:pPr>
      <w:spacing w:after="0" w:line="240" w:lineRule="auto"/>
    </w:pPr>
    <w:rPr>
      <w:rFonts w:ascii="Times New Roman" w:hAnsi="Times New Roman" w:eastAsia="宋体" w:cs="Times New Roman"/>
    </w:rPr>
  </w:style>
  <w:style w:type="table" w:customStyle="1" w:styleId="235">
    <w:name w:val="Bordered - Accent 4"/>
    <w:qFormat/>
    <w:uiPriority w:val="0"/>
    <w:pPr>
      <w:spacing w:after="0" w:line="240" w:lineRule="auto"/>
    </w:pPr>
    <w:rPr>
      <w:rFonts w:ascii="Times New Roman" w:hAnsi="Times New Roman" w:eastAsia="宋体" w:cs="Times New Roman"/>
    </w:rPr>
  </w:style>
  <w:style w:type="table" w:customStyle="1" w:styleId="236">
    <w:name w:val="Bordered - Accent 5"/>
    <w:qFormat/>
    <w:uiPriority w:val="0"/>
    <w:pPr>
      <w:spacing w:after="0" w:line="240" w:lineRule="auto"/>
    </w:pPr>
    <w:rPr>
      <w:rFonts w:ascii="Times New Roman" w:hAnsi="Times New Roman" w:eastAsia="宋体" w:cs="Times New Roman"/>
    </w:rPr>
  </w:style>
  <w:style w:type="table" w:customStyle="1" w:styleId="237">
    <w:name w:val="Bordered - Accent 6"/>
    <w:qFormat/>
    <w:uiPriority w:val="0"/>
    <w:pPr>
      <w:spacing w:after="0" w:line="240" w:lineRule="auto"/>
    </w:pPr>
    <w:rPr>
      <w:rFonts w:ascii="Times New Roman" w:hAnsi="Times New Roman" w:eastAsia="宋体" w:cs="Times New Roman"/>
    </w:rPr>
  </w:style>
  <w:style w:type="paragraph" w:customStyle="1" w:styleId="238">
    <w:name w:val="TOC Heading_301c8106-5d0c-411c-8e62-f7aeabe5538c"/>
    <w:qFormat/>
    <w:uiPriority w:val="0"/>
    <w:rPr>
      <w:rFonts w:hint="default" w:ascii="Times New Roman" w:hAnsi="Times New Roman" w:eastAsia="宋体" w:cs="Times New Roman"/>
    </w:rPr>
  </w:style>
  <w:style w:type="paragraph" w:customStyle="1" w:styleId="239">
    <w:name w:val="标题 21"/>
    <w:basedOn w:val="1"/>
    <w:next w:val="240"/>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240">
    <w:name w:val="正文缩进1"/>
    <w:basedOn w:val="1"/>
    <w:next w:val="1"/>
    <w:qFormat/>
    <w:uiPriority w:val="0"/>
    <w:pPr>
      <w:ind w:firstLine="420"/>
    </w:pPr>
    <w:rPr>
      <w:rFonts w:ascii="Times New Roman" w:hAnsi="Times New Roman" w:eastAsia="宋体" w:cs="Times New Roman"/>
      <w:szCs w:val="20"/>
    </w:rPr>
  </w:style>
  <w:style w:type="character" w:customStyle="1" w:styleId="241">
    <w:name w:val="默认段落字体1"/>
    <w:link w:val="1"/>
    <w:qFormat/>
    <w:uiPriority w:val="0"/>
    <w:rPr>
      <w:rFonts w:ascii="Times New Roman" w:hAnsi="Times New Roman" w:eastAsia="宋体" w:cs="Times New Roman"/>
    </w:rPr>
  </w:style>
  <w:style w:type="table" w:customStyle="1" w:styleId="242">
    <w:name w:val="普通表格1"/>
    <w:qFormat/>
    <w:uiPriority w:val="0"/>
    <w:rPr>
      <w:rFonts w:ascii="Times New Roman" w:hAnsi="Times New Roman" w:eastAsia="宋体" w:cs="Times New Roman"/>
    </w:rPr>
  </w:style>
  <w:style w:type="character" w:customStyle="1" w:styleId="243">
    <w:name w:val="批注引用1"/>
    <w:basedOn w:val="241"/>
    <w:link w:val="1"/>
    <w:qFormat/>
    <w:uiPriority w:val="0"/>
    <w:rPr>
      <w:rFonts w:ascii="Times New Roman" w:hAnsi="Times New Roman" w:eastAsia="宋体" w:cs="Times New Roman"/>
      <w:sz w:val="21"/>
      <w:szCs w:val="21"/>
    </w:rPr>
  </w:style>
  <w:style w:type="character" w:customStyle="1" w:styleId="244">
    <w:name w:val="NormalCharacter1"/>
    <w:link w:val="1"/>
    <w:qFormat/>
    <w:uiPriority w:val="0"/>
    <w:rPr>
      <w:rFonts w:ascii="Calibri" w:hAnsi="Calibri" w:eastAsia="宋体" w:cs="Times New Roman"/>
      <w:sz w:val="21"/>
      <w:szCs w:val="24"/>
      <w:lang w:val="en-US" w:eastAsia="zh-CN" w:bidi="ar-SA"/>
    </w:rPr>
  </w:style>
  <w:style w:type="character" w:customStyle="1" w:styleId="245">
    <w:name w:val="页眉 Char"/>
    <w:basedOn w:val="241"/>
    <w:link w:val="246"/>
    <w:qFormat/>
    <w:uiPriority w:val="0"/>
    <w:rPr>
      <w:rFonts w:ascii="Calibri" w:hAnsi="Calibri" w:eastAsia="宋体" w:cs="Times New Roman"/>
      <w:sz w:val="18"/>
      <w:szCs w:val="18"/>
    </w:rPr>
  </w:style>
  <w:style w:type="paragraph" w:customStyle="1" w:styleId="246">
    <w:name w:val="页眉1"/>
    <w:basedOn w:val="1"/>
    <w:link w:val="245"/>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47">
    <w:name w:val="页脚 Char"/>
    <w:basedOn w:val="241"/>
    <w:link w:val="248"/>
    <w:qFormat/>
    <w:uiPriority w:val="0"/>
    <w:rPr>
      <w:rFonts w:ascii="Calibri" w:hAnsi="Calibri" w:eastAsia="宋体" w:cs="Times New Roman"/>
      <w:sz w:val="18"/>
      <w:szCs w:val="18"/>
    </w:rPr>
  </w:style>
  <w:style w:type="paragraph" w:customStyle="1" w:styleId="248">
    <w:name w:val="页脚11"/>
    <w:basedOn w:val="1"/>
    <w:link w:val="247"/>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49">
    <w:name w:val="font11"/>
    <w:basedOn w:val="241"/>
    <w:link w:val="1"/>
    <w:qFormat/>
    <w:uiPriority w:val="0"/>
    <w:rPr>
      <w:rFonts w:hint="eastAsia" w:ascii="微软雅黑" w:hAnsi="微软雅黑" w:eastAsia="微软雅黑" w:cs="微软雅黑"/>
      <w:color w:val="000000"/>
      <w:sz w:val="24"/>
      <w:szCs w:val="24"/>
      <w:u w:val="none"/>
    </w:rPr>
  </w:style>
  <w:style w:type="character" w:customStyle="1" w:styleId="250">
    <w:name w:val="font31"/>
    <w:basedOn w:val="241"/>
    <w:link w:val="1"/>
    <w:qFormat/>
    <w:uiPriority w:val="0"/>
    <w:rPr>
      <w:rFonts w:hint="eastAsia" w:ascii="宋体" w:hAnsi="宋体" w:eastAsia="宋体" w:cs="宋体"/>
      <w:color w:val="000000"/>
      <w:sz w:val="24"/>
      <w:szCs w:val="24"/>
      <w:u w:val="none"/>
    </w:rPr>
  </w:style>
  <w:style w:type="character" w:customStyle="1" w:styleId="251">
    <w:name w:val="custom-tag-placeholder-class"/>
    <w:basedOn w:val="241"/>
    <w:link w:val="1"/>
    <w:qFormat/>
    <w:uiPriority w:val="0"/>
    <w:rPr>
      <w:rFonts w:ascii="Times New Roman" w:hAnsi="Times New Roman" w:eastAsia="宋体" w:cs="Times New Roman"/>
    </w:rPr>
  </w:style>
  <w:style w:type="character" w:customStyle="1" w:styleId="252">
    <w:name w:val="font21"/>
    <w:basedOn w:val="241"/>
    <w:link w:val="1"/>
    <w:qFormat/>
    <w:uiPriority w:val="0"/>
    <w:rPr>
      <w:rFonts w:hint="eastAsia" w:ascii="宋体" w:hAnsi="宋体" w:eastAsia="宋体" w:cs="宋体"/>
      <w:color w:val="000000"/>
      <w:sz w:val="24"/>
      <w:szCs w:val="24"/>
      <w:u w:val="none"/>
    </w:rPr>
  </w:style>
  <w:style w:type="paragraph" w:customStyle="1" w:styleId="253">
    <w:name w:val="纯文本1"/>
    <w:basedOn w:val="1"/>
    <w:qFormat/>
    <w:uiPriority w:val="0"/>
    <w:rPr>
      <w:rFonts w:ascii="宋体" w:hAnsi="Courier New" w:eastAsia="宋体" w:cs="Courier New"/>
      <w:szCs w:val="21"/>
    </w:rPr>
  </w:style>
  <w:style w:type="paragraph" w:customStyle="1" w:styleId="254">
    <w:name w:val="批注文字1"/>
    <w:basedOn w:val="1"/>
    <w:qFormat/>
    <w:uiPriority w:val="0"/>
    <w:pPr>
      <w:jc w:val="left"/>
    </w:pPr>
    <w:rPr>
      <w:rFonts w:ascii="Times New Roman" w:hAnsi="Times New Roman" w:eastAsia="宋体" w:cs="Times New Roman"/>
    </w:rPr>
  </w:style>
  <w:style w:type="paragraph" w:customStyle="1" w:styleId="255">
    <w:name w:val="引文目录标题1"/>
    <w:basedOn w:val="1"/>
    <w:next w:val="1"/>
    <w:qFormat/>
    <w:uiPriority w:val="0"/>
    <w:pPr>
      <w:spacing w:before="120"/>
    </w:pPr>
    <w:rPr>
      <w:rFonts w:ascii="Cambria" w:hAnsi="Cambria" w:eastAsia="宋体" w:cs="Times New Roman"/>
      <w:sz w:val="24"/>
      <w:szCs w:val="21"/>
    </w:rPr>
  </w:style>
  <w:style w:type="paragraph" w:customStyle="1" w:styleId="256">
    <w:name w:val="正文首行缩进 2111"/>
    <w:basedOn w:val="37"/>
    <w:qFormat/>
    <w:uiPriority w:val="0"/>
    <w:pPr>
      <w:ind w:firstLine="420"/>
    </w:pPr>
    <w:rPr>
      <w:rFonts w:ascii="Times New Roman" w:hAnsi="Times New Roman" w:eastAsia="宋体" w:cs="Times New Roman"/>
      <w:sz w:val="20"/>
      <w:szCs w:val="20"/>
    </w:rPr>
  </w:style>
  <w:style w:type="paragraph" w:customStyle="1" w:styleId="257">
    <w:name w:val="正文文本1"/>
    <w:basedOn w:val="1"/>
    <w:qFormat/>
    <w:uiPriority w:val="0"/>
    <w:pPr>
      <w:spacing w:after="120"/>
    </w:pPr>
    <w:rPr>
      <w:rFonts w:ascii="Calibri" w:hAnsi="Calibri" w:eastAsia="宋体" w:cs="Times New Roman"/>
      <w:szCs w:val="22"/>
    </w:rPr>
  </w:style>
  <w:style w:type="paragraph" w:customStyle="1" w:styleId="258">
    <w:name w:val="正文首行缩进1"/>
    <w:basedOn w:val="257"/>
    <w:qFormat/>
    <w:uiPriority w:val="0"/>
    <w:pPr>
      <w:spacing w:line="360" w:lineRule="auto"/>
      <w:ind w:firstLine="200"/>
    </w:pPr>
    <w:rPr>
      <w:rFonts w:ascii="仿宋_GB2312" w:hAnsi="Times New Roman" w:eastAsia="仿宋_GB2312" w:cs="Times New Roman"/>
      <w:sz w:val="30"/>
      <w:szCs w:val="30"/>
    </w:rPr>
  </w:style>
  <w:style w:type="paragraph" w:customStyle="1" w:styleId="259">
    <w:name w:val="普通(网站)1"/>
    <w:basedOn w:val="1"/>
    <w:qFormat/>
    <w:uiPriority w:val="0"/>
    <w:pPr>
      <w:spacing w:beforeAutospacing="1" w:afterAutospacing="1"/>
      <w:jc w:val="left"/>
    </w:pPr>
    <w:rPr>
      <w:rFonts w:ascii="Times New Roman" w:hAnsi="Times New Roman" w:eastAsia="宋体" w:cs="Times New Roman"/>
      <w:sz w:val="24"/>
    </w:rPr>
  </w:style>
  <w:style w:type="paragraph" w:customStyle="1" w:styleId="260">
    <w:name w:val="正文首行缩进 21"/>
    <w:basedOn w:val="261"/>
    <w:qFormat/>
    <w:uiPriority w:val="0"/>
    <w:pPr>
      <w:ind w:firstLine="420"/>
    </w:pPr>
    <w:rPr>
      <w:rFonts w:ascii="Times New Roman" w:hAnsi="Times New Roman" w:eastAsia="宋体" w:cs="Times New Roman"/>
    </w:rPr>
  </w:style>
  <w:style w:type="paragraph" w:customStyle="1" w:styleId="261">
    <w:name w:val="正文文本缩进1"/>
    <w:basedOn w:val="1"/>
    <w:qFormat/>
    <w:uiPriority w:val="0"/>
    <w:pPr>
      <w:spacing w:after="120"/>
      <w:ind w:left="420"/>
    </w:pPr>
    <w:rPr>
      <w:rFonts w:ascii="Times New Roman" w:hAnsi="Times New Roman" w:eastAsia="宋体" w:cs="Times New Roman"/>
    </w:rPr>
  </w:style>
  <w:style w:type="paragraph" w:customStyle="1" w:styleId="262">
    <w:name w:val="页脚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263">
    <w:name w:val="样式 标题 3 + (中文) 黑体 小四 非加粗 段前: 7.8 磅 段后: 0 磅 行距: 固定值 20 磅_0"/>
    <w:basedOn w:val="1"/>
    <w:qFormat/>
    <w:uiPriority w:val="0"/>
    <w:pPr>
      <w:keepNext/>
      <w:keepLines/>
      <w:spacing w:line="400" w:lineRule="exact"/>
      <w:outlineLvl w:val="2"/>
    </w:pPr>
    <w:rPr>
      <w:rFonts w:ascii="Times New Roman" w:hAnsi="Times New Roman" w:eastAsia="黑体" w:cs="宋体"/>
      <w:szCs w:val="21"/>
    </w:rPr>
  </w:style>
  <w:style w:type="paragraph" w:customStyle="1" w:styleId="264">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65">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66">
    <w:name w:val="正文首行缩进 211"/>
    <w:basedOn w:val="267"/>
    <w:next w:val="263"/>
    <w:qFormat/>
    <w:uiPriority w:val="0"/>
    <w:pPr>
      <w:spacing w:after="120"/>
      <w:ind w:left="420" w:firstLine="420"/>
    </w:pPr>
    <w:rPr>
      <w:rFonts w:ascii="Times New Roman" w:hAnsi="Times New Roman" w:eastAsia="宋体" w:cs="Times New Roman"/>
      <w:sz w:val="21"/>
      <w:szCs w:val="24"/>
    </w:rPr>
  </w:style>
  <w:style w:type="paragraph" w:customStyle="1" w:styleId="267">
    <w:name w:val="正文文本缩进11"/>
    <w:basedOn w:val="1"/>
    <w:next w:val="268"/>
    <w:qFormat/>
    <w:uiPriority w:val="0"/>
    <w:pPr>
      <w:ind w:left="-105" w:firstLine="232"/>
    </w:pPr>
    <w:rPr>
      <w:rFonts w:ascii="Times New Roman" w:hAnsi="Times New Roman" w:eastAsia="仿宋_GB2312" w:cs="Times New Roman"/>
      <w:sz w:val="32"/>
      <w:szCs w:val="32"/>
    </w:rPr>
  </w:style>
  <w:style w:type="paragraph" w:customStyle="1" w:styleId="268">
    <w:name w:val="寄信人地址11"/>
    <w:basedOn w:val="1"/>
    <w:qFormat/>
    <w:uiPriority w:val="0"/>
    <w:rPr>
      <w:rFonts w:ascii="Arial" w:hAnsi="Arial" w:eastAsia="宋体" w:cs="Arial"/>
    </w:rPr>
  </w:style>
  <w:style w:type="paragraph" w:customStyle="1" w:styleId="269">
    <w:name w:val="Default"/>
    <w:basedOn w:val="1"/>
    <w:qFormat/>
    <w:uiPriority w:val="0"/>
    <w:pPr>
      <w:jc w:val="left"/>
    </w:pPr>
    <w:rPr>
      <w:rFonts w:ascii="宋体" w:hAnsi="Calibri" w:eastAsia="宋体" w:cs="宋体"/>
      <w:color w:val="000000"/>
      <w:sz w:val="24"/>
    </w:rPr>
  </w:style>
  <w:style w:type="paragraph" w:customStyle="1" w:styleId="27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71">
    <w:name w:val="一级条标题"/>
    <w:basedOn w:val="272"/>
    <w:next w:val="264"/>
    <w:qFormat/>
    <w:uiPriority w:val="0"/>
    <w:pPr>
      <w:tabs>
        <w:tab w:val="left" w:pos="810"/>
        <w:tab w:val="left" w:pos="907"/>
        <w:tab w:val="left" w:pos="1265"/>
      </w:tabs>
      <w:ind w:left="907" w:hanging="907"/>
      <w:outlineLvl w:val="2"/>
    </w:pPr>
    <w:rPr>
      <w:rFonts w:ascii="Times New Roman" w:hAnsi="宋体" w:eastAsia="宋体" w:cs="Times New Roman"/>
      <w:sz w:val="20"/>
      <w:szCs w:val="20"/>
    </w:rPr>
  </w:style>
  <w:style w:type="paragraph" w:customStyle="1" w:styleId="272">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73">
    <w:name w:val="Table Text"/>
    <w:basedOn w:val="1"/>
    <w:qFormat/>
    <w:uiPriority w:val="0"/>
    <w:rPr>
      <w:rFonts w:ascii="宋体" w:hAnsi="宋体" w:eastAsia="宋体" w:cs="宋体"/>
      <w:sz w:val="24"/>
      <w:szCs w:val="24"/>
    </w:rPr>
  </w:style>
  <w:style w:type="table" w:customStyle="1" w:styleId="274">
    <w:name w:val="网格型1"/>
    <w:basedOn w:val="242"/>
    <w:qFormat/>
    <w:uiPriority w:val="0"/>
    <w:pPr>
      <w:widowControl w:val="0"/>
      <w:jc w:val="both"/>
    </w:pPr>
    <w:rPr>
      <w:rFonts w:ascii="Times New Roman" w:hAnsi="Times New Roman" w:eastAsia="宋体" w:cs="Times New Roman"/>
    </w:rPr>
  </w:style>
  <w:style w:type="character" w:customStyle="1" w:styleId="275">
    <w:name w:val="font51"/>
    <w:basedOn w:val="65"/>
    <w:link w:val="1"/>
    <w:qFormat/>
    <w:uiPriority w:val="0"/>
    <w:rPr>
      <w:rFonts w:ascii="方正仿宋_GBK" w:hAnsi="方正仿宋_GBK" w:eastAsia="方正仿宋_GBK" w:cs="方正仿宋_GBK"/>
      <w:color w:val="000000"/>
      <w:sz w:val="32"/>
      <w:szCs w:val="32"/>
      <w:u w:val="none"/>
    </w:rPr>
  </w:style>
  <w:style w:type="paragraph" w:customStyle="1" w:styleId="276">
    <w:name w:val="正文首行缩进11"/>
    <w:basedOn w:val="277"/>
    <w:next w:val="1"/>
    <w:qFormat/>
    <w:uiPriority w:val="0"/>
    <w:pPr>
      <w:ind w:firstLine="420"/>
    </w:pPr>
    <w:rPr>
      <w:rFonts w:ascii="Times New Roman" w:hAnsi="Times New Roman" w:eastAsia="宋体" w:cs="Times New Roman"/>
    </w:rPr>
  </w:style>
  <w:style w:type="paragraph" w:customStyle="1" w:styleId="277">
    <w:name w:val="正文文本11"/>
    <w:basedOn w:val="1"/>
    <w:next w:val="1"/>
    <w:qFormat/>
    <w:uiPriority w:val="0"/>
    <w:rPr>
      <w:rFonts w:ascii="楷体_GB2312" w:hAnsi="Arial" w:eastAsia="楷体_GB2312" w:cs="Times New Roman"/>
      <w:sz w:val="28"/>
      <w:szCs w:val="28"/>
      <w:lang w:eastAsia="en-US"/>
    </w:rPr>
  </w:style>
  <w:style w:type="character" w:customStyle="1" w:styleId="278">
    <w:name w:val="font71"/>
    <w:basedOn w:val="65"/>
    <w:link w:val="1"/>
    <w:qFormat/>
    <w:uiPriority w:val="0"/>
    <w:rPr>
      <w:rFonts w:ascii="方正仿宋_GBK" w:hAnsi="方正仿宋_GBK" w:eastAsia="方正仿宋_GBK" w:cs="方正仿宋_GBK"/>
      <w:b/>
      <w:bCs/>
      <w:color w:val="000000"/>
      <w:sz w:val="22"/>
      <w:szCs w:val="22"/>
      <w:u w:val="none"/>
    </w:rPr>
  </w:style>
  <w:style w:type="character" w:customStyle="1" w:styleId="279">
    <w:name w:val="font61"/>
    <w:basedOn w:val="65"/>
    <w:link w:val="1"/>
    <w:qFormat/>
    <w:uiPriority w:val="0"/>
    <w:rPr>
      <w:rFonts w:ascii="Times New Roman" w:hAnsi="Times New Roman" w:eastAsia="宋体" w:cs="Times New Roman"/>
      <w:b/>
      <w:bCs/>
      <w:color w:val="000000"/>
      <w:sz w:val="22"/>
      <w:szCs w:val="22"/>
      <w:u w:val="none"/>
    </w:rPr>
  </w:style>
  <w:style w:type="character" w:customStyle="1" w:styleId="280">
    <w:name w:val="font91"/>
    <w:basedOn w:val="65"/>
    <w:link w:val="1"/>
    <w:qFormat/>
    <w:uiPriority w:val="0"/>
    <w:rPr>
      <w:rFonts w:ascii="Times New Roman" w:hAnsi="Times New Roman" w:eastAsia="宋体" w:cs="Times New Roman"/>
      <w:b/>
      <w:bCs/>
      <w:color w:val="000000"/>
      <w:sz w:val="20"/>
      <w:szCs w:val="20"/>
      <w:u w:val="none"/>
    </w:rPr>
  </w:style>
  <w:style w:type="character" w:customStyle="1" w:styleId="281">
    <w:name w:val="font101"/>
    <w:basedOn w:val="65"/>
    <w:link w:val="1"/>
    <w:qFormat/>
    <w:uiPriority w:val="0"/>
    <w:rPr>
      <w:rFonts w:hint="eastAsia" w:ascii="宋体" w:hAnsi="宋体" w:eastAsia="宋体" w:cs="宋体"/>
      <w:b/>
      <w:bCs/>
      <w:color w:val="000000"/>
      <w:sz w:val="20"/>
      <w:szCs w:val="20"/>
      <w:u w:val="none"/>
    </w:rPr>
  </w:style>
  <w:style w:type="character" w:customStyle="1" w:styleId="282">
    <w:name w:val="font131"/>
    <w:basedOn w:val="65"/>
    <w:link w:val="1"/>
    <w:qFormat/>
    <w:uiPriority w:val="0"/>
    <w:rPr>
      <w:rFonts w:ascii="方正书宋_GBK" w:hAnsi="方正书宋_GBK" w:eastAsia="方正书宋_GBK" w:cs="方正书宋_GBK"/>
      <w:b/>
      <w:bCs/>
      <w:color w:val="000000"/>
      <w:sz w:val="20"/>
      <w:szCs w:val="20"/>
      <w:u w:val="none"/>
    </w:rPr>
  </w:style>
  <w:style w:type="character" w:customStyle="1" w:styleId="283">
    <w:name w:val="font111"/>
    <w:basedOn w:val="65"/>
    <w:link w:val="1"/>
    <w:qFormat/>
    <w:uiPriority w:val="0"/>
    <w:rPr>
      <w:rFonts w:ascii="方正仿宋_GBK" w:hAnsi="方正仿宋_GBK" w:eastAsia="方正仿宋_GBK" w:cs="方正仿宋_GBK"/>
      <w:b/>
      <w:bCs/>
      <w:color w:val="000000"/>
      <w:sz w:val="20"/>
      <w:szCs w:val="20"/>
      <w:u w:val="none"/>
    </w:rPr>
  </w:style>
  <w:style w:type="character" w:customStyle="1" w:styleId="284">
    <w:name w:val="font122"/>
    <w:basedOn w:val="65"/>
    <w:link w:val="1"/>
    <w:qFormat/>
    <w:uiPriority w:val="0"/>
    <w:rPr>
      <w:rFonts w:ascii="Times New Roman" w:hAnsi="Times New Roman" w:eastAsia="宋体" w:cs="Times New Roman"/>
      <w:b/>
      <w:bCs/>
      <w:color w:val="000000"/>
      <w:sz w:val="20"/>
      <w:szCs w:val="20"/>
      <w:u w:val="none"/>
    </w:rPr>
  </w:style>
  <w:style w:type="character" w:customStyle="1" w:styleId="285">
    <w:name w:val="font161"/>
    <w:basedOn w:val="65"/>
    <w:link w:val="1"/>
    <w:qFormat/>
    <w:uiPriority w:val="0"/>
    <w:rPr>
      <w:rFonts w:ascii="方正仿宋_GBK" w:hAnsi="方正仿宋_GBK" w:eastAsia="方正仿宋_GBK" w:cs="方正仿宋_GBK"/>
      <w:b/>
      <w:bCs/>
      <w:color w:val="000000"/>
      <w:sz w:val="20"/>
      <w:szCs w:val="20"/>
      <w:u w:val="none"/>
    </w:rPr>
  </w:style>
  <w:style w:type="paragraph" w:customStyle="1" w:styleId="286">
    <w:name w:val="列出段落2"/>
    <w:basedOn w:val="1"/>
    <w:qFormat/>
    <w:uiPriority w:val="0"/>
    <w:pPr>
      <w:ind w:firstLine="420"/>
    </w:pPr>
  </w:style>
  <w:style w:type="paragraph" w:customStyle="1" w:styleId="287">
    <w:name w:val="列出段落3"/>
    <w:basedOn w:val="1"/>
    <w:qFormat/>
    <w:uiPriority w:val="0"/>
    <w:pPr>
      <w:ind w:firstLine="420"/>
    </w:pPr>
    <w:rPr>
      <w:rFonts w:ascii="Calibri" w:hAnsi="Calibri"/>
      <w:szCs w:val="22"/>
    </w:rPr>
  </w:style>
  <w:style w:type="character" w:customStyle="1" w:styleId="288">
    <w:name w:val="font81"/>
    <w:basedOn w:val="32"/>
    <w:qFormat/>
    <w:uiPriority w:val="0"/>
    <w:rPr>
      <w:rFonts w:hint="eastAsia" w:ascii="宋体" w:hAnsi="宋体" w:eastAsia="宋体" w:cs="宋体"/>
      <w:i/>
      <w:iCs/>
      <w:color w:val="000000"/>
      <w:sz w:val="24"/>
      <w:szCs w:val="24"/>
      <w:u w:val="none"/>
    </w:rPr>
  </w:style>
  <w:style w:type="paragraph" w:customStyle="1" w:styleId="289">
    <w:name w:val="Char"/>
    <w:basedOn w:val="1"/>
    <w:qFormat/>
    <w:uiPriority w:val="0"/>
    <w:pPr>
      <w:tabs>
        <w:tab w:val="left" w:pos="360"/>
      </w:tabs>
    </w:pPr>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Company>Ki</Company>
  <Pages>79</Pages>
  <Words>32216</Words>
  <Characters>34905</Characters>
  <TotalTime>3</TotalTime>
  <ScaleCrop>false</ScaleCrop>
  <LinksUpToDate>false</LinksUpToDate>
  <CharactersWithSpaces>35414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2025-12-18T07:48:00Z</dcterms:created>
  <dc:creator>正式环</dc:creator>
  <cp:lastModifiedBy>吉胜1418378764</cp:lastModifiedBy>
  <dcterms:modified xsi:type="dcterms:W3CDTF">2026-06-26T06:13:55Z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eyJoZGlkIjoiZDExZWQzYzZjNWM3OWE2OWM5ZDI4ZmVjYzA3NTA2NzQiLCJ1c2VySWQiOiIyNjY5ODk2MiJ9</vt:lpwstr>
  </property>
  <property fmtid="{D5CDD505-2E9C-101B-9397-08002B2CF9AE}" pid="3" name="KSOProductBuildVer">
    <vt:lpwstr>2052-12.1.0.26375</vt:lpwstr>
  </property>
  <property fmtid="{D5CDD505-2E9C-101B-9397-08002B2CF9AE}" pid="4" name="ICV">
    <vt:lpwstr>B8EEF3A8CF93455F83C69D3F4CEE39CD_12</vt:lpwstr>
  </property>
</Properties>
</file>