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5"/>
        <w:ind w:firstLine="0"/>
        <w:rPr>
          <w:rFonts w:hint="eastAsia" w:eastAsia="黑体"/>
          <w:b/>
          <w:bCs/>
          <w:sz w:val="84"/>
        </w:rPr>
      </w:pPr>
      <w:r>
        <w:rPr>
          <w:rFonts w:hint="eastAsia" w:eastAsia="黑体"/>
          <w:b/>
          <w:bCs/>
          <w:sz w:val="84"/>
        </w:rPr>
      </w:r>
      <w:r/>
    </w:p>
    <w:p>
      <w:pPr>
        <w:pStyle w:val="835"/>
        <w:ind w:firstLine="0"/>
        <w:jc w:val="center"/>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t xml:space="preserve">招　标　文　件</w:t>
      </w:r>
      <w:r/>
    </w:p>
    <w:p>
      <w:pPr>
        <w:pStyle w:val="835"/>
        <w:ind w:firstLine="1968"/>
        <w:spacing w:line="400" w:lineRule="exact"/>
        <w:rPr>
          <w:rFonts w:hint="eastAsia"/>
          <w:b/>
          <w:bCs/>
          <w:sz w:val="28"/>
          <w:szCs w:val="28"/>
        </w:rPr>
      </w:pPr>
      <w:r>
        <w:rPr>
          <w:rFonts w:hint="eastAsia"/>
          <w:b/>
          <w:bCs/>
          <w:sz w:val="28"/>
          <w:szCs w:val="28"/>
        </w:rPr>
      </w:r>
      <w:r/>
    </w:p>
    <w:p>
      <w:pPr>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项目名称：江苏经贸职业技术学院江宁校区学生公寓</w:t>
      </w:r>
      <w:r/>
    </w:p>
    <w:p>
      <w:pPr>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紫薇苑、丹桂苑、樱花苑物业委托管理服务</w:t>
      </w:r>
      <w:r/>
    </w:p>
    <w:p>
      <w:pPr>
        <w:jc w:val="center"/>
        <w:spacing w:before="120" w:after="120" w:line="400" w:lineRule="exact"/>
        <w:rPr>
          <w:rFonts w:hint="eastAsia"/>
          <w:b/>
          <w:color w:val="ff0000"/>
          <w:sz w:val="28"/>
          <w:szCs w:val="28"/>
        </w:rPr>
      </w:pPr>
      <w:r>
        <w:rPr>
          <w:rFonts w:hint="eastAsia" w:ascii="方正黑体_GBK" w:hAnsi="方正黑体_GBK" w:eastAsia="方正黑体_GBK" w:cs="方正黑体_GBK"/>
          <w:color w:val="000000"/>
          <w:sz w:val="28"/>
          <w:szCs w:val="28"/>
        </w:rPr>
        <w:t xml:space="preserve">采购编号：</w:t>
      </w:r>
      <w:r>
        <w:rPr>
          <w:rFonts w:eastAsia="方正黑体_GBK"/>
          <w:color w:val="000000"/>
          <w:sz w:val="28"/>
          <w:szCs w:val="28"/>
        </w:rPr>
        <w:t xml:space="preserve">JSZC-320000-SCZX-G2026-0264</w:t>
      </w:r>
      <w:r/>
    </w:p>
    <w:p>
      <w:pPr>
        <w:ind w:firstLine="560"/>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（全流程电子化-服务类项目，适用于“苏采云”系统）</w:t>
      </w:r>
      <w:r/>
    </w:p>
    <w:p>
      <w:pPr>
        <w:jc w:val="center"/>
        <w:rPr>
          <w:rFonts w:hint="eastAsia"/>
          <w:b/>
          <w:color w:val="ff0000"/>
          <w:sz w:val="28"/>
          <w:szCs w:val="28"/>
        </w:rPr>
      </w:pPr>
      <w:r>
        <w:rPr>
          <w:rFonts w:hint="eastAsia"/>
          <w:b/>
          <w:color w:val="ff0000"/>
          <w:sz w:val="28"/>
          <w:szCs w:val="28"/>
        </w:rPr>
      </w:r>
      <w:r/>
    </w:p>
    <w:p>
      <w:pPr>
        <w:pStyle w:val="835"/>
        <w:ind w:firstLine="0"/>
        <w:spacing w:before="0" w:after="0"/>
        <w:rPr>
          <w:rFonts w:hint="eastAsia" w:ascii="宋体" w:hAnsi="宋体"/>
          <w:sz w:val="28"/>
          <w:szCs w:val="28"/>
        </w:rPr>
      </w:pPr>
      <w:r>
        <w:rPr>
          <w:rFonts w:hint="eastAsia" w:ascii="宋体" w:hAnsi="宋体"/>
          <w:sz w:val="28"/>
          <w:szCs w:val="28"/>
        </w:rPr>
      </w:r>
      <w:r/>
    </w:p>
    <w:p>
      <w:pPr>
        <w:pStyle w:val="835"/>
        <w:ind w:firstLine="0"/>
        <w:spacing w:before="0" w:after="0"/>
        <w:rPr>
          <w:rFonts w:hint="eastAsia" w:ascii="宋体" w:hAnsi="宋体"/>
          <w:sz w:val="28"/>
          <w:szCs w:val="28"/>
        </w:rPr>
      </w:pPr>
      <w:r>
        <w:rPr>
          <w:rFonts w:hint="eastAsia" w:ascii="宋体" w:hAnsi="宋体"/>
          <w:sz w:val="28"/>
          <w:szCs w:val="28"/>
        </w:rPr>
      </w:r>
      <w:r/>
    </w:p>
    <w:p>
      <w:pPr>
        <w:pStyle w:val="835"/>
        <w:ind w:firstLine="0"/>
        <w:spacing w:before="0" w:after="0"/>
        <w:rPr>
          <w:rFonts w:hint="eastAsia" w:ascii="宋体" w:hAnsi="宋体"/>
          <w:sz w:val="28"/>
          <w:szCs w:val="28"/>
        </w:rPr>
      </w:pPr>
      <w:r>
        <w:rPr>
          <w:rFonts w:hint="eastAsia" w:ascii="宋体" w:hAnsi="宋体"/>
          <w:sz w:val="28"/>
          <w:szCs w:val="28"/>
        </w:rPr>
      </w:r>
      <w:r/>
    </w:p>
    <w:p>
      <w:pPr>
        <w:pStyle w:val="835"/>
        <w:ind w:firstLine="0"/>
        <w:spacing w:before="0" w:after="0"/>
        <w:rPr>
          <w:rFonts w:hint="eastAsia" w:ascii="宋体" w:hAnsi="宋体"/>
          <w:sz w:val="28"/>
          <w:szCs w:val="28"/>
        </w:rPr>
      </w:pPr>
      <w:r>
        <w:rPr>
          <w:rFonts w:hint="eastAsia" w:ascii="宋体" w:hAnsi="宋体"/>
          <w:sz w:val="28"/>
          <w:szCs w:val="28"/>
        </w:rPr>
      </w:r>
      <w:r/>
    </w:p>
    <w:p>
      <w:pPr>
        <w:pStyle w:val="835"/>
        <w:ind w:firstLine="0"/>
        <w:spacing w:before="0" w:after="0"/>
        <w:rPr>
          <w:rFonts w:hint="eastAsia" w:ascii="宋体" w:hAnsi="宋体"/>
          <w:sz w:val="28"/>
          <w:szCs w:val="28"/>
        </w:rPr>
      </w:pPr>
      <w:r>
        <w:rPr>
          <w:rFonts w:hint="eastAsia" w:ascii="宋体" w:hAnsi="宋体"/>
          <w:sz w:val="28"/>
          <w:szCs w:val="28"/>
        </w:rPr>
      </w:r>
      <w:r/>
    </w:p>
    <w:p>
      <w:pPr>
        <w:pStyle w:val="835"/>
        <w:ind w:firstLine="0"/>
        <w:spacing w:before="0" w:after="0"/>
        <w:rPr>
          <w:rFonts w:hint="eastAsia" w:ascii="宋体" w:hAnsi="宋体"/>
          <w:sz w:val="28"/>
          <w:szCs w:val="28"/>
        </w:rPr>
      </w:pPr>
      <w:r>
        <w:rPr>
          <w:rFonts w:hint="eastAsia" w:ascii="宋体" w:hAnsi="宋体"/>
          <w:sz w:val="28"/>
          <w:szCs w:val="28"/>
        </w:rPr>
      </w:r>
      <w:r/>
    </w:p>
    <w:p>
      <w:pPr>
        <w:pStyle w:val="835"/>
        <w:ind w:firstLine="0"/>
        <w:spacing w:before="0" w:after="0"/>
        <w:rPr>
          <w:rFonts w:hint="eastAsia" w:ascii="宋体" w:hAnsi="宋体"/>
          <w:sz w:val="28"/>
          <w:szCs w:val="28"/>
        </w:rPr>
      </w:pPr>
      <w:r>
        <w:rPr>
          <w:rFonts w:hint="eastAsia" w:ascii="宋体" w:hAnsi="宋体"/>
          <w:sz w:val="28"/>
          <w:szCs w:val="28"/>
        </w:rPr>
      </w:r>
      <w:r/>
    </w:p>
    <w:p>
      <w:pPr>
        <w:pStyle w:val="835"/>
        <w:ind w:firstLine="0"/>
        <w:spacing w:before="0" w:after="0"/>
        <w:rPr>
          <w:rFonts w:hint="eastAsia" w:ascii="宋体" w:hAnsi="宋体"/>
          <w:sz w:val="28"/>
          <w:szCs w:val="28"/>
        </w:rPr>
      </w:pPr>
      <w:r>
        <w:rPr>
          <w:rFonts w:hint="eastAsia" w:ascii="宋体" w:hAnsi="宋体"/>
          <w:sz w:val="28"/>
          <w:szCs w:val="28"/>
        </w:rPr>
      </w:r>
      <w:r/>
    </w:p>
    <w:p>
      <w:pPr>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p>
    <w:p>
      <w:pPr>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2026年7月</w:t>
      </w:r>
      <w:r/>
    </w:p>
    <w:p>
      <w:pPr>
        <w:pStyle w:val="835"/>
        <w:ind w:firstLine="0"/>
        <w:rPr>
          <w:rFonts w:hint="eastAsia"/>
          <w:u w:val="single"/>
        </w:rPr>
      </w:pPr>
      <w:r>
        <w:rPr>
          <w:rFonts w:hint="eastAsia"/>
        </w:rPr>
        <w:t xml:space="preserve">                        </w:t>
      </w:r>
      <w:r/>
    </w:p>
    <w:p>
      <w:pPr>
        <w:pStyle w:val="835"/>
        <w:ind w:firstLine="0"/>
        <w:jc w:val="center"/>
        <w:rPr>
          <w:rFonts w:hint="eastAsia"/>
        </w:rPr>
      </w:pPr>
      <w:r>
        <w:rPr>
          <w:rFonts w:hint="eastAsia"/>
        </w:rPr>
      </w:r>
      <w:r/>
    </w:p>
    <w:p>
      <w:pPr>
        <w:jc w:val="center"/>
        <w:spacing w:line="400" w:lineRule="exact"/>
        <w:rPr>
          <w:rFonts w:hint="eastAsia" w:ascii="黑体" w:hAnsi="Arial" w:eastAsia="黑体"/>
          <w:b/>
          <w:sz w:val="28"/>
          <w:szCs w:val="28"/>
        </w:rPr>
        <w:outlineLvl w:val="0"/>
      </w:pPr>
      <w:r>
        <w:br w:type="page" w:clear="all"/>
      </w:r>
      <w:bookmarkStart w:id="0" w:name="_Toc120614210"/>
      <w:r/>
      <w:bookmarkStart w:id="1" w:name="_Toc20823272"/>
      <w:r/>
      <w:bookmarkStart w:id="2" w:name="_Toc16938516"/>
      <w:r/>
      <w:bookmarkStart w:id="3" w:name="_Toc523127445"/>
      <w:r/>
      <w:bookmarkStart w:id="4" w:name="_Toc479757206"/>
      <w:r/>
      <w:bookmarkStart w:id="5" w:name="_Toc513029200"/>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Cs/>
          <w:color w:val="000000"/>
          <w:sz w:val="28"/>
          <w:szCs w:val="28"/>
        </w:rPr>
        <w:t xml:space="preserve">总  目  录</w:t>
      </w:r>
      <w:r/>
    </w:p>
    <w:p>
      <w:pP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投标邀请……………………………………03</w:t>
      </w:r>
      <w:r/>
    </w:p>
    <w:p>
      <w:pPr>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第二章 投标人须知…………………………………06</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第三章 合同文本……………………………………16</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第四章 采购需求……………………………………20</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第五章 评标方法与评标标准………………………49</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第六章 投标文件格式………………………………56</w:t>
      </w:r>
      <w:r/>
    </w:p>
    <w:p>
      <w:pPr>
        <w:jc w:val="center"/>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br w:type="page" w:clear="all"/>
      </w: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经贸职业技术学院的委托，江苏省政府采购中心就江苏经贸职业技术学院江宁校区学生公寓紫薇苑、丹桂苑、樱花苑物业委托管理服务(JSZC-320000-SCZX-G2026-0264)项目进行公开招标采购，欢迎符合条件的供应商投标。</w:t>
      </w:r>
      <w:r/>
    </w:p>
    <w:p>
      <w:pPr>
        <w:ind w:firstLine="560"/>
        <w:spacing w:line="400" w:lineRule="exact"/>
        <w:rPr>
          <w:rFonts w:hint="eastAsia" w:ascii="方正仿宋_GBK" w:hAnsi="方正仿宋_GBK" w:eastAsia="方正仿宋_GBK" w:cs="方正仿宋_GBK"/>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sz w:val="28"/>
          <w:szCs w:val="28"/>
        </w:rPr>
        <w:t xml:space="preserve">项目概况</w:t>
      </w:r>
      <w:r/>
    </w:p>
    <w:p>
      <w:pPr>
        <w:ind w:firstLine="560"/>
        <w:spacing w:line="400" w:lineRule="exact"/>
        <w:rPr>
          <w:rFonts w:ascii="宋体" w:hAnsi="宋体"/>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sz w:val="28"/>
          <w:szCs w:val="28"/>
          <w:u w:val="single"/>
        </w:rPr>
        <w:t xml:space="preserve"> 江苏经贸职业技术学院江宁校区学生公寓紫薇苑、丹桂苑、樱花苑物业委托管理服务</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7</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rPr>
        <w:t xml:space="preserve">24</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09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p>
    <w:p>
      <w:pPr>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6" w:name="_Toc35393790"/>
      <w:r/>
      <w:bookmarkStart w:id="7" w:name="_Toc28359079"/>
      <w:r/>
      <w:bookmarkStart w:id="8" w:name="_Toc28359002"/>
      <w:r/>
      <w:bookmarkStart w:id="9" w:name="_Toc38985263"/>
      <w:r/>
      <w:bookmarkStart w:id="10" w:name="_Toc35393621"/>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w:t>
      </w:r>
      <w:r>
        <w:rPr>
          <w:rFonts w:hint="eastAsia" w:eastAsia="方正仿宋_GBK"/>
          <w:color w:val="000000"/>
          <w:sz w:val="28"/>
          <w:szCs w:val="28"/>
        </w:rPr>
        <w:t xml:space="preserve">JSZC-320000-SCZX-G2026-0264  </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r>
        <w:rPr>
          <w:rFonts w:hint="eastAsia" w:eastAsia="方正仿宋_GBK"/>
          <w:color w:val="000000"/>
          <w:sz w:val="28"/>
          <w:szCs w:val="28"/>
        </w:rPr>
        <w:t xml:space="preserve">江苏经贸职业技术学院江宁校区学生公寓紫薇苑、丹桂苑、樱花苑物业委托管理服务</w:t>
      </w:r>
      <w:bookmarkEnd w:id="11"/>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92"/>
        <w:gridCol w:w="3312"/>
      </w:tblGrid>
      <w:tr>
        <w:trPr>
          <w:trHeight w:val="90"/>
        </w:trPr>
        <w:tc>
          <w:tcPr>
            <w:tcW w:w="109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textDirection w:val="lrTb"/>
            <w:noWrap w:val="false"/>
          </w:tcPr>
          <w:p>
            <w:pPr>
              <w:ind w:firstLine="2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textDirection w:val="lrTb"/>
            <w:noWrap w:val="false"/>
          </w:tcPr>
          <w:p>
            <w:pPr>
              <w:ind w:firstLine="1120"/>
              <w:spacing w:line="400" w:lineRule="exact"/>
              <w:rPr>
                <w:rFonts w:hint="eastAsia" w:ascii="方正仿宋_GBK" w:hAnsi="方正仿宋_GBK" w:eastAsia="方正仿宋_GBK" w:cs="方正仿宋_GBK"/>
                <w:sz w:val="28"/>
                <w:szCs w:val="28"/>
              </w:rPr>
            </w:pPr>
            <w:r>
              <w:rPr>
                <w:rFonts w:hint="eastAsia" w:ascii="宋体" w:hAnsi="宋体" w:cs="宋体"/>
                <w:sz w:val="28"/>
                <w:szCs w:val="28"/>
              </w:rPr>
              <w:t xml:space="preserve">227.65</w:t>
            </w:r>
            <w:r/>
          </w:p>
        </w:tc>
      </w:tr>
    </w:tbl>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148"/>
        <w:gridCol w:w="3233"/>
      </w:tblGrid>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3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33" w:type="dxa"/>
            <w:textDirection w:val="lrTb"/>
            <w:noWrap w:val="false"/>
          </w:tcPr>
          <w:p>
            <w:pPr>
              <w:ind w:firstLine="1120"/>
              <w:spacing w:line="400" w:lineRule="exact"/>
              <w:rPr>
                <w:rFonts w:hint="eastAsia" w:ascii="方正仿宋_GBK" w:hAnsi="方正仿宋_GBK" w:eastAsia="方正仿宋_GBK" w:cs="方正仿宋_GBK"/>
                <w:sz w:val="28"/>
                <w:szCs w:val="28"/>
              </w:rPr>
            </w:pPr>
            <w:r>
              <w:rPr>
                <w:rFonts w:hint="eastAsia" w:ascii="宋体" w:hAnsi="宋体" w:cs="宋体"/>
                <w:sz w:val="28"/>
                <w:szCs w:val="28"/>
              </w:rPr>
              <w:t xml:space="preserve">227.65</w:t>
            </w:r>
            <w:r/>
          </w:p>
        </w:tc>
      </w:tr>
    </w:tbl>
    <w:p>
      <w:pPr>
        <w:ind w:firstLine="480"/>
        <w:rPr>
          <w:rFonts w:hint="eastAsia" w:ascii="方正仿宋_GBK" w:hAnsi="方正仿宋_GBK" w:eastAsia="方正仿宋_GBK" w:cs="方正仿宋_GBK"/>
          <w:color w:val="000000"/>
          <w:sz w:val="28"/>
          <w:szCs w:val="28"/>
        </w:rPr>
      </w:pPr>
      <w:r/>
      <w:bookmarkStart w:id="12" w:name="_Toc28359003"/>
      <w:r/>
      <w:bookmarkStart w:id="13" w:name="_Toc35393622"/>
      <w:r/>
      <w:bookmarkStart w:id="14" w:name="_Toc35393791"/>
      <w:r/>
      <w:bookmarkStart w:id="15" w:name="_Toc28359080"/>
      <w:r/>
      <w:bookmarkStart w:id="16" w:name="_Toc38985264"/>
      <w:r>
        <w:rPr>
          <w:rFonts w:hint="eastAsia" w:ascii="方正仿宋_GBK" w:hAnsi="方正仿宋_GBK" w:eastAsia="方正仿宋_GBK" w:cs="方正仿宋_GBK"/>
          <w:sz w:val="28"/>
          <w:szCs w:val="28"/>
        </w:rPr>
        <w:t xml:space="preserve">5.采购需求(简介)：</w:t>
      </w:r>
      <w:r>
        <w:rPr>
          <w:rFonts w:hint="eastAsia" w:ascii="方正仿宋_GBK" w:hAnsi="方正仿宋_GBK" w:eastAsia="方正仿宋_GBK" w:cs="方正仿宋_GBK"/>
          <w:color w:val="000000"/>
          <w:sz w:val="28"/>
          <w:szCs w:val="28"/>
        </w:rPr>
        <w:t xml:space="preserve">江苏经贸职业技术学院位于江苏省南京市江宁区龙眠大道180号，本次江宁校区学生公寓紫薇苑、丹桂苑、樱花苑物业委托管理服务项目采购内容为保洁、安全、日常查寝、空调滤网清洗、维修、公寓文化建设、楼宇物业管理及周边环境管理等物业服务。（详细内容见本招标文件第四章）</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6.合同履行期限：自合同签订起两年。（合同一年一签，每年合同到期前考核合格后可续签）</w:t>
      </w:r>
      <w:r/>
    </w:p>
    <w:p>
      <w:pPr>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
    </w:p>
    <w:p>
      <w:pPr>
        <w:ind w:firstLine="560"/>
        <w:spacing w:line="400" w:lineRule="exact"/>
        <w:rPr>
          <w:rFonts w:hint="eastAsia" w:ascii="方正楷体_GBK" w:hAnsi="方正楷体_GBK" w:eastAsia="方正楷体_GBK" w:cs="方正楷体_GBK"/>
          <w:color w:val="000000"/>
          <w:sz w:val="28"/>
          <w:szCs w:val="28"/>
        </w:rPr>
      </w:pPr>
      <w:r/>
      <w:bookmarkStart w:id="17" w:name="_Toc35393623"/>
      <w:r/>
      <w:bookmarkStart w:id="18" w:name="_Toc28359081"/>
      <w:r/>
      <w:bookmarkStart w:id="19" w:name="_Toc38985265"/>
      <w:r/>
      <w:bookmarkStart w:id="20" w:name="_Toc35393792"/>
      <w:r/>
      <w:bookmarkStart w:id="21" w:name="_Toc28359004"/>
      <w:r>
        <w:rPr>
          <w:rFonts w:hint="eastAsia" w:ascii="方正楷体_GBK" w:hAnsi="方正楷体_GBK" w:eastAsia="方正楷体_GBK" w:cs="方正楷体_GBK"/>
          <w:color w:val="000000"/>
          <w:sz w:val="28"/>
          <w:szCs w:val="28"/>
        </w:rPr>
        <w:t xml:space="preserve">（一）通用资格要求</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w:t>
      </w:r>
      <w:r>
        <w:rPr>
          <w:rFonts w:hint="eastAsia" w:ascii="方正仿宋_GBK" w:hAnsi="方正仿宋_GBK" w:eastAsia="方正仿宋_GBK" w:cs="方正仿宋_GBK"/>
          <w:color w:val="000000"/>
          <w:sz w:val="28"/>
          <w:szCs w:val="28"/>
        </w:rPr>
        <w:t xml:space="preserve">依法享受缓缴、免缴税收、社会保障资金的提供证明材料。）；</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本项目采购包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148"/>
        <w:gridCol w:w="2968"/>
        <w:gridCol w:w="2967"/>
      </w:tblGrid>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bl>
    <w:p>
      <w:pPr>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148"/>
        <w:gridCol w:w="5921"/>
      </w:tblGrid>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无</w:t>
            </w:r>
            <w:r/>
          </w:p>
        </w:tc>
      </w:tr>
    </w:tbl>
    <w:p>
      <w:pPr>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22" w:name="_Toc35393794"/>
      <w:r/>
      <w:bookmarkStart w:id="23" w:name="_Toc28359007"/>
      <w:r/>
      <w:bookmarkStart w:id="24" w:name="_Toc38985267"/>
      <w:r/>
      <w:bookmarkStart w:id="25" w:name="_Toc35393625"/>
      <w:r/>
      <w:bookmarkStart w:id="26" w:name="_Toc28359084"/>
      <w:r/>
      <w:bookmarkStart w:id="27" w:name="_Toc28359005"/>
      <w:r/>
      <w:bookmarkStart w:id="28" w:name="_Toc28359082"/>
      <w:r/>
      <w:bookmarkStart w:id="29" w:name="_Toc35393624"/>
      <w:r/>
      <w:bookmarkStart w:id="30" w:name="_Toc35393793"/>
      <w:r/>
      <w:bookmarkStart w:id="31" w:name="_Toc38985266"/>
      <w:r/>
      <w:bookmarkEnd w:id="17"/>
      <w:r/>
      <w:bookmarkEnd w:id="18"/>
      <w:r/>
      <w:bookmarkEnd w:id="19"/>
      <w:r/>
      <w:bookmarkEnd w:id="20"/>
      <w:r/>
      <w:bookmarkEnd w:id="21"/>
      <w:r>
        <w:rPr>
          <w:rFonts w:hint="eastAsia" w:ascii="方正黑体_GBK" w:hAnsi="方正黑体_GBK" w:eastAsia="方正黑体_GBK" w:cs="方正黑体_GBK"/>
          <w:color w:val="000000"/>
          <w:sz w:val="28"/>
          <w:szCs w:val="28"/>
        </w:rPr>
        <w:t xml:space="preserve">四、提交投标文件</w:t>
      </w:r>
      <w:bookmarkEnd w:id="27"/>
      <w:r/>
      <w:bookmarkEnd w:id="28"/>
      <w:r>
        <w:rPr>
          <w:rFonts w:hint="eastAsia" w:ascii="方正黑体_GBK" w:hAnsi="方正黑体_GBK" w:eastAsia="方正黑体_GBK" w:cs="方正黑体_GBK"/>
          <w:color w:val="000000"/>
          <w:sz w:val="28"/>
          <w:szCs w:val="28"/>
        </w:rPr>
        <w:t xml:space="preserve">截止时间、开标时间和地点</w:t>
      </w:r>
      <w:bookmarkEnd w:id="29"/>
      <w:r/>
      <w:bookmarkEnd w:id="30"/>
      <w:r/>
      <w:bookmarkEnd w:id="31"/>
      <w:r/>
      <w:r/>
    </w:p>
    <w:p>
      <w:pPr>
        <w:ind w:firstLine="560"/>
        <w:spacing w:line="400" w:lineRule="exact"/>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7</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rPr>
        <w:t xml:space="preserve">24</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09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sz w:val="28"/>
          <w:szCs w:val="28"/>
        </w:rPr>
        <w:t xml:space="preserve">分</w:t>
      </w:r>
      <w:r>
        <w:rPr>
          <w:rFonts w:hint="eastAsia" w:ascii="方正仿宋_GBK" w:hAnsi="方正仿宋_GBK" w:eastAsia="方正仿宋_GBK" w:cs="方正仿宋_GBK"/>
          <w:bCs/>
          <w:color w:val="000000"/>
          <w:sz w:val="28"/>
          <w:szCs w:val="28"/>
        </w:rPr>
        <w:t xml:space="preserve">（北京时间）</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32" w:name="_Toc38985268"/>
      <w:r/>
      <w:bookmarkStart w:id="33" w:name="_Toc35393626"/>
      <w:r/>
      <w:bookmarkStart w:id="34" w:name="_Toc35393795"/>
      <w:r/>
      <w:bookmarkEnd w:id="22"/>
      <w:r/>
      <w:bookmarkEnd w:id="23"/>
      <w:r/>
      <w:bookmarkEnd w:id="24"/>
      <w:r/>
      <w:bookmarkEnd w:id="25"/>
      <w:r/>
      <w:bookmarkEnd w:id="26"/>
      <w:r>
        <w:rPr>
          <w:rFonts w:hint="eastAsia" w:ascii="方正黑体_GBK" w:hAnsi="方正黑体_GBK" w:eastAsia="方正黑体_GBK" w:cs="方正黑体_GBK"/>
          <w:color w:val="000000"/>
          <w:sz w:val="28"/>
          <w:szCs w:val="28"/>
        </w:rPr>
        <w:t xml:space="preserve">五、公告期限</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35" w:name="_Toc28359085"/>
      <w:r/>
      <w:bookmarkStart w:id="36" w:name="_Toc35393796"/>
      <w:r/>
      <w:bookmarkStart w:id="37" w:name="_Toc35393627"/>
      <w:r/>
      <w:bookmarkStart w:id="38" w:name="_Toc28359008"/>
      <w:r/>
      <w:bookmarkStart w:id="39" w:name="_Toc38985269"/>
      <w:r/>
      <w:bookmarkEnd w:id="32"/>
      <w:r/>
      <w:bookmarkEnd w:id="33"/>
      <w:r/>
      <w:bookmarkEnd w:id="34"/>
      <w:r>
        <w:rPr>
          <w:rFonts w:hint="eastAsia" w:ascii="方正黑体_GBK" w:hAnsi="方正黑体_GBK" w:eastAsia="方正黑体_GBK" w:cs="方正黑体_GBK"/>
          <w:color w:val="000000"/>
          <w:sz w:val="28"/>
          <w:szCs w:val="28"/>
        </w:rPr>
        <w:t xml:space="preserve">六、其他补充事宜</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bookmarkEnd w:id="35"/>
      <w:bookmarkEnd w:id="36"/>
      <w:bookmarkEnd w:id="37"/>
      <w:bookmarkEnd w:id="38"/>
      <w:bookmarkEnd w:id="39"/>
      <w:r/>
    </w:p>
    <w:p>
      <w:pPr>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七、本次招标联系方式</w:t>
      </w:r>
      <w:r/>
    </w:p>
    <w:p>
      <w:pPr>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color w:val="000000"/>
          <w:sz w:val="28"/>
          <w:szCs w:val="28"/>
        </w:rPr>
        <w:t xml:space="preserve">　</w:t>
      </w:r>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称：江苏经贸职业技术学院</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址：南京市江宁区龙眠大道180号</w:t>
      </w:r>
      <w:r/>
    </w:p>
    <w:p>
      <w:pPr>
        <w:ind w:firstLine="560"/>
        <w:jc w:val="left"/>
        <w:keepNext/>
        <w:spacing w:line="400" w:lineRule="exact"/>
        <w:rPr>
          <w:rFonts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联系人：吕老师</w:t>
      </w:r>
      <w:r/>
    </w:p>
    <w:p>
      <w:pPr>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联系方式：</w:t>
      </w:r>
      <w:bookmarkStart w:id="40" w:name="_Toc28359009"/>
      <w:r/>
      <w:bookmarkStart w:id="41" w:name="_Toc28359086"/>
      <w:r>
        <w:rPr>
          <w:rFonts w:hint="eastAsia" w:ascii="方正仿宋_GBK" w:hAnsi="方正仿宋_GBK" w:eastAsia="方正仿宋_GBK" w:cs="方正仿宋_GBK"/>
          <w:color w:val="000000"/>
          <w:sz w:val="28"/>
          <w:szCs w:val="28"/>
        </w:rPr>
        <w:t xml:space="preserve">025-52710682</w:t>
      </w:r>
      <w:r/>
    </w:p>
    <w:p>
      <w:pPr>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
    </w:p>
    <w:p>
      <w:pPr>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地　　址：南京市汉中门大街145号</w:t>
      </w:r>
      <w:r/>
    </w:p>
    <w:p>
      <w:pPr>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 系 人：苏俊、许滢</w:t>
      </w:r>
      <w:r/>
    </w:p>
    <w:p>
      <w:pPr>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联系方式：025-83668518</w:t>
      </w:r>
      <w:r/>
    </w:p>
    <w:p>
      <w:pPr>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rPr>
          <w:rFonts w:hint="eastAsia" w:eastAsia="方正仿宋_GBK"/>
          <w:color w:val="000000"/>
          <w:sz w:val="28"/>
          <w:szCs w:val="28"/>
        </w:rPr>
        <w:t xml:space="preserve">。</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ind w:right="840"/>
        <w:rPr>
          <w:rFonts w:hint="eastAsia" w:ascii="宋体" w:hAnsi="宋体"/>
          <w:color w:val="000000"/>
          <w:sz w:val="24"/>
          <w:szCs w:val="24"/>
        </w:rPr>
      </w:pPr>
      <w:r>
        <w:rPr>
          <w:rFonts w:hint="eastAsia" w:ascii="宋体" w:hAnsi="宋体"/>
          <w:color w:val="000000"/>
          <w:sz w:val="24"/>
          <w:szCs w:val="24"/>
        </w:rPr>
      </w:r>
      <w:r/>
    </w:p>
    <w:p>
      <w:pPr>
        <w:ind w:right="839"/>
        <w:jc w:val="center"/>
        <w:spacing w:line="400" w:lineRule="exact"/>
        <w:rPr>
          <w:rFonts w:hint="eastAsia" w:ascii="宋体" w:hAnsi="宋体"/>
          <w:sz w:val="28"/>
          <w:szCs w:val="28"/>
        </w:rPr>
      </w:pPr>
      <w:r>
        <w:rPr>
          <w:rFonts w:ascii="宋体" w:hAnsi="宋体"/>
          <w:sz w:val="24"/>
          <w:szCs w:val="24"/>
        </w:rPr>
        <w:br w:type="page" w:clear="all"/>
      </w:r>
      <w:bookmarkStart w:id="42" w:name="_Toc120614211"/>
      <w:r>
        <w:rPr>
          <w:rFonts w:hint="eastAsia" w:ascii="方正黑体_GBK" w:hAnsi="方正黑体_GBK" w:eastAsia="方正黑体_GBK" w:cs="方正黑体_GBK"/>
          <w:color w:val="000000"/>
          <w:sz w:val="28"/>
          <w:szCs w:val="28"/>
        </w:rPr>
        <w:t xml:space="preserve">第二章  </w:t>
      </w:r>
      <w:bookmarkStart w:id="43" w:name="_Toc120614213"/>
      <w:r/>
      <w:bookmarkStart w:id="44" w:name="_Toc513029202"/>
      <w:r/>
      <w:bookmarkStart w:id="45" w:name="_Toc20823274"/>
      <w:r/>
      <w:bookmarkStart w:id="46" w:name="_Toc16938518"/>
      <w:r/>
      <w:bookmarkEnd w:id="1"/>
      <w:r/>
      <w:bookmarkEnd w:id="2"/>
      <w:r/>
      <w:bookmarkEnd w:id="3"/>
      <w:r/>
      <w:bookmarkEnd w:id="4"/>
      <w:r/>
      <w:bookmarkEnd w:id="5"/>
      <w:r/>
      <w:bookmarkEnd w:id="42"/>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
    </w:p>
    <w:p>
      <w:pPr>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47" w:name="_Toc120614221"/>
      <w:r/>
      <w:bookmarkStart w:id="48" w:name="_Toc20823314"/>
      <w:r/>
      <w:bookmarkStart w:id="49" w:name="_Toc479757207"/>
      <w:r/>
      <w:bookmarkStart w:id="50" w:name="_Toc513029242"/>
      <w:r/>
      <w:bookmarkStart w:id="51" w:name="_Toc16938558"/>
      <w:r>
        <w:rPr>
          <w:rFonts w:hint="eastAsia" w:ascii="方正黑体_GBK" w:hAnsi="方正黑体_GBK" w:eastAsia="方正黑体_GBK" w:cs="方正黑体_GBK"/>
          <w:color w:val="000000"/>
          <w:sz w:val="28"/>
          <w:szCs w:val="28"/>
        </w:rPr>
        <w:t xml:space="preserve">一、总则</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52" w:name="_Toc120614216"/>
      <w:r/>
      <w:bookmarkStart w:id="53" w:name="_Toc20823285"/>
      <w:r/>
      <w:bookmarkStart w:id="54" w:name="_Toc16938529"/>
      <w:r/>
      <w:bookmarkStart w:id="55" w:name="_Toc462564072"/>
      <w:r/>
      <w:bookmarkStart w:id="56" w:name="_Toc513029213"/>
      <w:r>
        <w:rPr>
          <w:rFonts w:hint="eastAsia" w:ascii="方正黑体_GBK" w:hAnsi="方正黑体_GBK" w:eastAsia="方正黑体_GBK" w:cs="方正黑体_GBK"/>
          <w:color w:val="000000"/>
          <w:sz w:val="28"/>
          <w:szCs w:val="28"/>
        </w:rPr>
        <w:t xml:space="preserve">三、投标文件的编制</w:t>
      </w:r>
      <w:bookmarkEnd w:id="52"/>
      <w:r/>
      <w:bookmarkEnd w:id="53"/>
      <w:r/>
      <w:bookmarkEnd w:id="54"/>
      <w:r/>
      <w:bookmarkEnd w:id="55"/>
      <w:r/>
      <w:bookmarkEnd w:id="56"/>
      <w:r/>
      <w:r/>
    </w:p>
    <w:p>
      <w:pPr>
        <w:pStyle w:val="794"/>
        <w:ind w:firstLine="560"/>
        <w:spacing w:before="0" w:after="0" w:line="400" w:lineRule="exact"/>
        <w:rPr>
          <w:rFonts w:hint="eastAsia" w:ascii="方正仿宋_GBK" w:hAnsi="方正仿宋_GBK" w:eastAsia="方正仿宋_GBK" w:cs="方正仿宋_GBK"/>
        </w:rPr>
      </w:pPr>
      <w:r/>
      <w:bookmarkStart w:id="57" w:name="_Toc462564073"/>
      <w:r/>
      <w:bookmarkStart w:id="58" w:name="_Toc16938530"/>
      <w:r/>
      <w:bookmarkStart w:id="59" w:name="_Toc20823286"/>
      <w:r/>
      <w:bookmarkStart w:id="60" w:name="_Toc513029214"/>
      <w:r>
        <w:rPr>
          <w:rFonts w:hint="eastAsia" w:ascii="方正仿宋_GBK" w:hAnsi="方正仿宋_GBK" w:eastAsia="方正仿宋_GBK" w:cs="方正仿宋_GBK"/>
        </w:rPr>
        <w:t xml:space="preserve">8.投标文件的语言及度量衡单位</w:t>
      </w:r>
      <w:bookmarkEnd w:id="57"/>
      <w:r/>
      <w:bookmarkEnd w:id="58"/>
      <w:r/>
      <w:bookmarkEnd w:id="59"/>
      <w:r/>
      <w:bookmarkEnd w:id="60"/>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794"/>
        <w:ind w:firstLine="560"/>
        <w:spacing w:before="0" w:after="0" w:line="400" w:lineRule="exact"/>
        <w:rPr>
          <w:rFonts w:hint="eastAsia" w:ascii="方正仿宋_GBK" w:hAnsi="方正仿宋_GBK" w:eastAsia="方正仿宋_GBK" w:cs="方正仿宋_GBK"/>
        </w:rPr>
      </w:pPr>
      <w:r/>
      <w:bookmarkStart w:id="61" w:name="_Toc513029215"/>
      <w:r/>
      <w:bookmarkStart w:id="62" w:name="_Toc20823287"/>
      <w:r/>
      <w:bookmarkStart w:id="63" w:name="_Toc16938531"/>
      <w:r/>
      <w:bookmarkStart w:id="64" w:name="_Toc462564074"/>
      <w:r>
        <w:rPr>
          <w:rFonts w:hint="eastAsia" w:ascii="方正仿宋_GBK" w:hAnsi="方正仿宋_GBK" w:eastAsia="方正仿宋_GBK" w:cs="方正仿宋_GBK"/>
        </w:rPr>
        <w:t xml:space="preserve">9.投标文件构成</w:t>
      </w:r>
      <w:bookmarkEnd w:id="61"/>
      <w:r/>
      <w:bookmarkEnd w:id="62"/>
      <w:r/>
      <w:bookmarkEnd w:id="63"/>
      <w:r/>
      <w:bookmarkEnd w:id="64"/>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794"/>
        <w:ind w:firstLine="560"/>
        <w:spacing w:before="0" w:after="0" w:line="400" w:lineRule="exact"/>
        <w:rPr>
          <w:rFonts w:hint="eastAsia" w:ascii="方正仿宋_GBK" w:hAnsi="方正仿宋_GBK" w:eastAsia="方正仿宋_GBK" w:cs="方正仿宋_GBK"/>
        </w:rPr>
      </w:pPr>
      <w:r/>
      <w:bookmarkStart w:id="65" w:name="_Hlt26954838"/>
      <w:r/>
      <w:bookmarkStart w:id="66" w:name="_Hlt26668975"/>
      <w:r/>
      <w:bookmarkStart w:id="67" w:name="_Hlt26670360"/>
      <w:r/>
      <w:bookmarkStart w:id="68" w:name="_Toc513029219"/>
      <w:r/>
      <w:bookmarkStart w:id="69" w:name="_Toc49090509"/>
      <w:r/>
      <w:bookmarkStart w:id="70" w:name="_Toc14577357"/>
      <w:r/>
      <w:bookmarkStart w:id="71" w:name="_Toc513029216"/>
      <w:r/>
      <w:bookmarkStart w:id="72" w:name="_Toc14577354"/>
      <w:r/>
      <w:bookmarkStart w:id="73" w:name="_Toc49090507"/>
      <w:r/>
      <w:bookmarkEnd w:id="65"/>
      <w:r/>
      <w:bookmarkEnd w:id="66"/>
      <w:r/>
      <w:bookmarkEnd w:id="67"/>
      <w:r>
        <w:rPr>
          <w:rFonts w:hint="eastAsia" w:ascii="方正仿宋_GBK" w:hAnsi="方正仿宋_GBK" w:eastAsia="方正仿宋_GBK" w:cs="方正仿宋_GBK"/>
        </w:rPr>
        <w:t xml:space="preserve">10.证明投标人及投标标的符合招标文件规定的文件</w:t>
      </w:r>
      <w:bookmarkEnd w:id="68"/>
      <w:r/>
      <w:bookmarkEnd w:id="69"/>
      <w:r/>
      <w:bookmarkEnd w:id="70"/>
      <w:r/>
      <w:r/>
    </w:p>
    <w:p>
      <w:pPr>
        <w:ind w:firstLine="560"/>
        <w:spacing w:line="400" w:lineRule="exact"/>
        <w:rPr>
          <w:rFonts w:hint="eastAsia" w:ascii="方正仿宋_GBK" w:hAnsi="方正仿宋_GBK" w:eastAsia="方正仿宋_GBK" w:cs="方正仿宋_GBK"/>
          <w:sz w:val="28"/>
          <w:szCs w:val="28"/>
        </w:rPr>
      </w:pPr>
      <w:r/>
      <w:bookmarkStart w:id="74" w:name="_Toc14577355"/>
      <w:r/>
      <w:bookmarkStart w:id="75" w:name="_Toc49090508"/>
      <w:r/>
      <w:bookmarkEnd w:id="71"/>
      <w:r/>
      <w:bookmarkEnd w:id="72"/>
      <w:r/>
      <w:bookmarkEnd w:id="73"/>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794"/>
        <w:ind w:firstLine="560"/>
        <w:spacing w:before="0" w:after="0" w:line="4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11.投标分项报价</w:t>
      </w:r>
      <w:bookmarkStart w:id="76" w:name="_Hlt26670373"/>
      <w:r/>
      <w:bookmarkEnd w:id="74"/>
      <w:r/>
      <w:bookmarkEnd w:id="76"/>
      <w:r>
        <w:rPr>
          <w:rFonts w:hint="eastAsia" w:ascii="方正仿宋_GBK" w:hAnsi="方正仿宋_GBK" w:eastAsia="方正仿宋_GBK" w:cs="方正仿宋_GBK"/>
        </w:rPr>
        <w:t xml:space="preserve">表</w:t>
      </w:r>
      <w:bookmarkEnd w:id="75"/>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7" w:name="_Hlt26954840"/>
      <w:r/>
      <w:bookmarkEnd w:id="77"/>
      <w:r>
        <w:rPr>
          <w:rFonts w:hint="eastAsia" w:ascii="方正仿宋_GBK" w:hAnsi="方正仿宋_GBK" w:eastAsia="方正仿宋_GBK" w:cs="方正仿宋_GBK"/>
          <w:sz w:val="28"/>
          <w:szCs w:val="28"/>
        </w:rPr>
        <w:t xml:space="preserve">标人按照招标文件规定格式填报投标分项报价表</w:t>
      </w:r>
      <w:bookmarkStart w:id="78" w:name="_Hlt26670399"/>
      <w:r/>
      <w:bookmarkEnd w:id="78"/>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p>
    <w:p>
      <w:pPr>
        <w:pStyle w:val="794"/>
        <w:ind w:firstLine="560"/>
        <w:spacing w:before="0" w:after="0" w:line="400" w:lineRule="exact"/>
        <w:rPr>
          <w:rFonts w:hint="eastAsia" w:ascii="方正仿宋_GBK" w:hAnsi="方正仿宋_GBK" w:eastAsia="方正仿宋_GBK" w:cs="方正仿宋_GBK"/>
        </w:rPr>
      </w:pPr>
      <w:r/>
      <w:bookmarkStart w:id="79" w:name="_Hlt26670482"/>
      <w:r/>
      <w:bookmarkStart w:id="80" w:name="_Hlt26954842"/>
      <w:r/>
      <w:bookmarkStart w:id="81" w:name="_Hlt26670486"/>
      <w:r/>
      <w:bookmarkStart w:id="82" w:name="_Hlt26954844"/>
      <w:r/>
      <w:bookmarkStart w:id="83" w:name="_Hlt26954848"/>
      <w:r/>
      <w:bookmarkStart w:id="84" w:name="_Hlt26668983"/>
      <w:r/>
      <w:bookmarkStart w:id="85" w:name="_Hlt26954731"/>
      <w:r/>
      <w:bookmarkStart w:id="86" w:name="_Hlt26954846"/>
      <w:r/>
      <w:bookmarkStart w:id="87" w:name="_Hlt26670425"/>
      <w:r/>
      <w:bookmarkStart w:id="88" w:name="_Hlt26670403"/>
      <w:r/>
      <w:bookmarkEnd w:id="79"/>
      <w:r/>
      <w:bookmarkEnd w:id="80"/>
      <w:r/>
      <w:bookmarkEnd w:id="81"/>
      <w:r/>
      <w:bookmarkEnd w:id="82"/>
      <w:r/>
      <w:bookmarkEnd w:id="83"/>
      <w:r/>
      <w:bookmarkEnd w:id="84"/>
      <w:r/>
      <w:bookmarkEnd w:id="85"/>
      <w:r/>
      <w:bookmarkEnd w:id="86"/>
      <w:r/>
      <w:bookmarkEnd w:id="87"/>
      <w:r/>
      <w:bookmarkEnd w:id="88"/>
      <w:r>
        <w:rPr>
          <w:rFonts w:hint="eastAsia" w:ascii="方正仿宋_GBK" w:hAnsi="方正仿宋_GBK" w:eastAsia="方正仿宋_GBK" w:cs="方正仿宋_GBK"/>
        </w:rPr>
        <w:t xml:space="preserve">12.技术要求响应及偏离表、商务要求响应及偏离表</w:t>
      </w:r>
      <w:r/>
    </w:p>
    <w:p>
      <w:pPr>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ind w:firstLine="560"/>
        <w:spacing w:line="400" w:lineRule="exact"/>
        <w:rPr>
          <w:rFonts w:hint="eastAsia" w:ascii="方正仿宋_GBK" w:hAnsi="方正仿宋_GBK" w:eastAsia="方正仿宋_GBK" w:cs="方正仿宋_GBK"/>
          <w:sz w:val="28"/>
          <w:szCs w:val="28"/>
          <w:lang w:val="zh-CN"/>
        </w:rPr>
      </w:pPr>
      <w:r/>
      <w:bookmarkStart w:id="89" w:name="_Toc49090510"/>
      <w:r/>
      <w:bookmarkStart w:id="90"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794"/>
        <w:ind w:firstLine="560"/>
        <w:spacing w:before="0" w:after="0" w:line="4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13.投标函和开标一览表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p>
    <w:p>
      <w:pPr>
        <w:pStyle w:val="794"/>
        <w:ind w:firstLine="560"/>
        <w:spacing w:before="0" w:after="0" w:line="400" w:lineRule="exact"/>
        <w:rPr>
          <w:rFonts w:hint="eastAsia" w:ascii="方正仿宋_GBK" w:hAnsi="方正仿宋_GBK" w:eastAsia="方正仿宋_GBK" w:cs="方正仿宋_GBK"/>
        </w:rPr>
      </w:pPr>
      <w:r/>
      <w:bookmarkStart w:id="91" w:name="_Hlt26670489"/>
      <w:r/>
      <w:bookmarkStart w:id="92" w:name="_Hlt26954850"/>
      <w:r/>
      <w:bookmarkStart w:id="93" w:name="_Hlt26954734"/>
      <w:r/>
      <w:bookmarkStart w:id="94" w:name="_Toc14577360"/>
      <w:r/>
      <w:bookmarkStart w:id="95" w:name="_Toc49090511"/>
      <w:r/>
      <w:bookmarkEnd w:id="89"/>
      <w:r/>
      <w:bookmarkEnd w:id="90"/>
      <w:r/>
      <w:bookmarkEnd w:id="91"/>
      <w:r/>
      <w:bookmarkEnd w:id="92"/>
      <w:r/>
      <w:bookmarkEnd w:id="93"/>
      <w:r>
        <w:rPr>
          <w:rFonts w:hint="eastAsia" w:ascii="方正仿宋_GBK" w:hAnsi="方正仿宋_GBK" w:eastAsia="方正仿宋_GBK" w:cs="方正仿宋_GBK"/>
        </w:rPr>
        <w:t xml:space="preserve">14.投标有效期</w:t>
      </w:r>
      <w:bookmarkEnd w:id="94"/>
      <w:r/>
      <w:bookmarkEnd w:id="95"/>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794"/>
        <w:ind w:firstLine="560"/>
        <w:spacing w:before="0" w:after="0" w:line="4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15.投标有效期的延长</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96" w:name="_Toc120614217"/>
      <w:r/>
      <w:bookmarkStart w:id="97" w:name="_Toc20823296"/>
      <w:r/>
      <w:bookmarkStart w:id="98" w:name="_Hlt26954852"/>
      <w:r/>
      <w:bookmarkStart w:id="99" w:name="_Hlt26954739"/>
      <w:r/>
      <w:bookmarkStart w:id="100" w:name="_Toc16938540"/>
      <w:r/>
      <w:bookmarkStart w:id="101" w:name="_Toc513029224"/>
      <w:r/>
      <w:bookmarkEnd w:id="98"/>
      <w:r/>
      <w:bookmarkEnd w:id="99"/>
      <w:r>
        <w:rPr>
          <w:rFonts w:hint="eastAsia" w:ascii="方正黑体_GBK" w:hAnsi="方正黑体_GBK" w:eastAsia="方正黑体_GBK" w:cs="方正黑体_GBK"/>
          <w:color w:val="000000"/>
          <w:sz w:val="28"/>
          <w:szCs w:val="28"/>
        </w:rPr>
        <w:t xml:space="preserve">四、投标文件的递交</w:t>
      </w:r>
      <w:bookmarkEnd w:id="96"/>
      <w:r/>
      <w:bookmarkEnd w:id="97"/>
      <w:r/>
      <w:bookmarkEnd w:id="100"/>
      <w:r/>
      <w:bookmarkEnd w:id="101"/>
      <w:r/>
      <w:r/>
    </w:p>
    <w:p>
      <w:pPr>
        <w:pStyle w:val="794"/>
        <w:ind w:firstLine="560"/>
        <w:spacing w:before="0" w:after="0" w:line="400" w:lineRule="exact"/>
        <w:rPr>
          <w:rFonts w:hint="eastAsia" w:ascii="方正仿宋_GBK" w:hAnsi="方正仿宋_GBK" w:eastAsia="方正仿宋_GBK" w:cs="方正仿宋_GBK"/>
        </w:rPr>
      </w:pPr>
      <w:r/>
      <w:bookmarkStart w:id="102" w:name="_Toc462564084"/>
      <w:r/>
      <w:bookmarkStart w:id="103" w:name="_Toc513029225"/>
      <w:r/>
      <w:bookmarkStart w:id="104" w:name="_Toc20823297"/>
      <w:r/>
      <w:bookmarkStart w:id="105" w:name="_Toc16938541"/>
      <w:r>
        <w:rPr>
          <w:rFonts w:hint="eastAsia" w:ascii="方正仿宋_GBK" w:hAnsi="方正仿宋_GBK" w:eastAsia="方正仿宋_GBK" w:cs="方正仿宋_GBK"/>
        </w:rPr>
        <w:t xml:space="preserve">16.投标文件</w:t>
      </w:r>
      <w:bookmarkEnd w:id="102"/>
      <w:r/>
      <w:bookmarkEnd w:id="103"/>
      <w:r/>
      <w:bookmarkEnd w:id="104"/>
      <w:r/>
      <w:bookmarkEnd w:id="105"/>
      <w:r>
        <w:rPr>
          <w:rFonts w:hint="eastAsia" w:ascii="方正仿宋_GBK" w:hAnsi="方正仿宋_GBK" w:eastAsia="方正仿宋_GBK" w:cs="方正仿宋_GBK"/>
        </w:rPr>
        <w:t xml:space="preserve">的递交</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83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6" w:name="_Toc513029226"/>
      <w:r/>
      <w:bookmarkStart w:id="107" w:name="_Toc20823298"/>
      <w:r/>
      <w:bookmarkStart w:id="108" w:name="_Toc16938542"/>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06"/>
      <w:r/>
      <w:bookmarkEnd w:id="107"/>
      <w:r/>
      <w:bookmarkEnd w:id="108"/>
      <w:r>
        <w:rPr>
          <w:rFonts w:hint="eastAsia" w:ascii="方正仿宋_GBK" w:hAnsi="方正仿宋_GBK" w:eastAsia="方正仿宋_GBK" w:cs="方正仿宋_GBK"/>
          <w:bCs/>
          <w:sz w:val="28"/>
          <w:szCs w:val="28"/>
        </w:rPr>
        <w:t xml:space="preserve">时间</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794"/>
        <w:ind w:firstLine="560"/>
        <w:spacing w:before="0" w:after="0" w:line="400" w:lineRule="exact"/>
        <w:rPr>
          <w:rFonts w:hint="eastAsia" w:ascii="方正仿宋_GBK" w:hAnsi="方正仿宋_GBK" w:eastAsia="方正仿宋_GBK" w:cs="方正仿宋_GBK"/>
        </w:rPr>
      </w:pPr>
      <w:r/>
      <w:bookmarkStart w:id="109" w:name="_Toc16938543"/>
      <w:r/>
      <w:bookmarkStart w:id="110" w:name="_Toc20823299"/>
      <w:r/>
      <w:bookmarkStart w:id="111" w:name="_Toc513029227"/>
      <w:r>
        <w:rPr>
          <w:rFonts w:hint="eastAsia" w:ascii="方正仿宋_GBK" w:hAnsi="方正仿宋_GBK" w:eastAsia="方正仿宋_GBK" w:cs="方正仿宋_GBK"/>
        </w:rPr>
        <w:t xml:space="preserve">18.投标文件</w:t>
      </w:r>
      <w:bookmarkEnd w:id="109"/>
      <w:r/>
      <w:bookmarkEnd w:id="110"/>
      <w:r/>
      <w:bookmarkEnd w:id="111"/>
      <w:r>
        <w:rPr>
          <w:rFonts w:hint="eastAsia" w:ascii="方正仿宋_GBK" w:hAnsi="方正仿宋_GBK" w:eastAsia="方正仿宋_GBK" w:cs="方正仿宋_GBK"/>
        </w:rPr>
        <w:t xml:space="preserve">的拒收</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794"/>
        <w:ind w:firstLine="560"/>
        <w:spacing w:before="0" w:after="0" w:line="400" w:lineRule="exact"/>
        <w:rPr>
          <w:rFonts w:hint="eastAsia" w:ascii="方正仿宋_GBK" w:hAnsi="方正仿宋_GBK" w:eastAsia="方正仿宋_GBK" w:cs="方正仿宋_GBK"/>
        </w:rPr>
      </w:pPr>
      <w:r/>
      <w:bookmarkStart w:id="112" w:name="_Toc20823300"/>
      <w:r/>
      <w:bookmarkStart w:id="113" w:name="_Toc16938544"/>
      <w:r/>
      <w:bookmarkStart w:id="114" w:name="_Toc513029228"/>
      <w:r>
        <w:rPr>
          <w:rFonts w:hint="eastAsia" w:ascii="方正仿宋_GBK" w:hAnsi="方正仿宋_GBK" w:eastAsia="方正仿宋_GBK" w:cs="方正仿宋_GBK"/>
        </w:rPr>
        <w:t xml:space="preserve">19.投标文件的撤回和修改</w:t>
      </w:r>
      <w:bookmarkEnd w:id="112"/>
      <w:r/>
      <w:bookmarkEnd w:id="113"/>
      <w:r/>
      <w:bookmarkEnd w:id="114"/>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w:t>
      </w:r>
      <w:r>
        <w:rPr>
          <w:rFonts w:hint="eastAsia" w:ascii="方正仿宋_GBK" w:hAnsi="方正仿宋_GBK" w:eastAsia="方正仿宋_GBK" w:cs="方正仿宋_GBK"/>
          <w:bCs/>
          <w:sz w:val="28"/>
          <w:szCs w:val="28"/>
        </w:rPr>
        <w:t xml:space="preserve">内，投标人不得撤回其投标。</w:t>
      </w:r>
      <w:r/>
    </w:p>
    <w:p>
      <w:pPr>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15" w:name="_Toc20823301"/>
      <w:r/>
      <w:bookmarkStart w:id="116" w:name="_Toc16938545"/>
      <w:r/>
      <w:bookmarkStart w:id="117" w:name="_Toc513029229"/>
      <w:r/>
      <w:bookmarkStart w:id="118" w:name="_Toc120614218"/>
      <w:r>
        <w:rPr>
          <w:rFonts w:hint="eastAsia" w:ascii="方正黑体_GBK" w:hAnsi="方正黑体_GBK" w:eastAsia="方正黑体_GBK" w:cs="方正黑体_GBK"/>
          <w:color w:val="000000"/>
          <w:sz w:val="28"/>
          <w:szCs w:val="28"/>
        </w:rPr>
        <w:t xml:space="preserve">五、开标与评标</w:t>
      </w:r>
      <w:bookmarkEnd w:id="115"/>
      <w:r/>
      <w:bookmarkEnd w:id="116"/>
      <w:r/>
      <w:bookmarkEnd w:id="117"/>
      <w:r/>
      <w:bookmarkEnd w:id="118"/>
      <w:r/>
      <w:r/>
    </w:p>
    <w:p>
      <w:pPr>
        <w:ind w:firstLine="560"/>
        <w:spacing w:line="400" w:lineRule="exact"/>
        <w:rPr>
          <w:rFonts w:hint="eastAsia" w:ascii="方正仿宋_GBK" w:hAnsi="方正仿宋_GBK" w:eastAsia="方正仿宋_GBK" w:cs="方正仿宋_GBK"/>
          <w:sz w:val="28"/>
          <w:szCs w:val="28"/>
        </w:rPr>
      </w:pPr>
      <w:r/>
      <w:bookmarkStart w:id="119" w:name="_Toc513029230"/>
      <w:r/>
      <w:bookmarkStart w:id="120" w:name="_Toc16938546"/>
      <w:r/>
      <w:bookmarkStart w:id="121" w:name="_Toc20823302"/>
      <w:r>
        <w:rPr>
          <w:rFonts w:hint="eastAsia" w:ascii="方正仿宋_GBK" w:hAnsi="方正仿宋_GBK" w:eastAsia="方正仿宋_GBK" w:cs="方正仿宋_GBK"/>
          <w:sz w:val="28"/>
          <w:szCs w:val="28"/>
        </w:rPr>
        <w:t xml:space="preserve">20.开标</w:t>
      </w:r>
      <w:bookmarkEnd w:id="119"/>
      <w:r/>
      <w:bookmarkEnd w:id="120"/>
      <w:r/>
      <w:bookmarkEnd w:id="121"/>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ind w:firstLine="560"/>
        <w:spacing w:line="400" w:lineRule="exact"/>
        <w:rPr>
          <w:rFonts w:hint="eastAsia" w:ascii="方正仿宋_GBK" w:hAnsi="方正仿宋_GBK" w:eastAsia="方正仿宋_GBK" w:cs="方正仿宋_GBK"/>
          <w:sz w:val="28"/>
          <w:szCs w:val="28"/>
        </w:rPr>
      </w:pPr>
      <w:r/>
      <w:bookmarkStart w:id="122" w:name="_Toc513029231"/>
      <w:r/>
      <w:bookmarkStart w:id="123" w:name="_Toc20823303"/>
      <w:r/>
      <w:bookmarkStart w:id="124" w:name="_Toc16938547"/>
      <w:r>
        <w:rPr>
          <w:rFonts w:hint="eastAsia" w:ascii="方正仿宋_GBK" w:hAnsi="方正仿宋_GBK" w:eastAsia="方正仿宋_GBK" w:cs="方正仿宋_GBK"/>
          <w:sz w:val="28"/>
          <w:szCs w:val="28"/>
        </w:rPr>
        <w:t xml:space="preserve">21.评标委员会</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bookmarkEnd w:id="122"/>
      <w:bookmarkEnd w:id="123"/>
      <w:bookmarkEnd w:id="124"/>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ind w:firstLine="560"/>
        <w:spacing w:line="400" w:lineRule="exact"/>
        <w:rPr>
          <w:rFonts w:hint="eastAsia" w:ascii="方正仿宋_GBK" w:hAnsi="方正仿宋_GBK" w:eastAsia="方正仿宋_GBK" w:cs="方正仿宋_GBK"/>
          <w:sz w:val="28"/>
          <w:szCs w:val="28"/>
        </w:rPr>
      </w:pPr>
      <w:r/>
      <w:bookmarkStart w:id="125" w:name="_Toc513029232"/>
      <w:r/>
      <w:bookmarkStart w:id="126" w:name="_Toc16938548"/>
      <w:r/>
      <w:bookmarkStart w:id="127" w:name="_Toc20823304"/>
      <w:r>
        <w:rPr>
          <w:rFonts w:hint="eastAsia" w:ascii="方正仿宋_GBK" w:hAnsi="方正仿宋_GBK" w:eastAsia="方正仿宋_GBK" w:cs="方正仿宋_GBK"/>
          <w:sz w:val="28"/>
          <w:szCs w:val="28"/>
        </w:rPr>
        <w:t xml:space="preserve">23.投标文件的澄清</w:t>
      </w:r>
      <w:bookmarkEnd w:id="125"/>
      <w:r/>
      <w:bookmarkEnd w:id="126"/>
      <w:r/>
      <w:bookmarkEnd w:id="127"/>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w:t>
      </w:r>
      <w:r>
        <w:rPr>
          <w:rFonts w:hint="eastAsia" w:ascii="方正仿宋_GBK" w:hAnsi="方正仿宋_GBK" w:eastAsia="方正仿宋_GBK" w:cs="方正仿宋_GBK"/>
          <w:sz w:val="28"/>
          <w:szCs w:val="28"/>
        </w:rPr>
        <w:t xml:space="preserve">苏采云系统中提交“澄清响应函”并加盖CA电子公章。澄清、说明和补正的内容作为投标文件的补充部分，具体操作方式见《操作手册》。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p>
    <w:p>
      <w:pPr>
        <w:ind w:firstLine="560"/>
        <w:spacing w:line="400" w:lineRule="exact"/>
        <w:rPr>
          <w:rFonts w:hint="eastAsia" w:ascii="方正仿宋_GBK" w:hAnsi="方正仿宋_GBK" w:eastAsia="方正仿宋_GBK" w:cs="方正仿宋_GBK"/>
          <w:sz w:val="28"/>
          <w:szCs w:val="28"/>
        </w:rPr>
      </w:pPr>
      <w:r/>
      <w:bookmarkStart w:id="128" w:name="_Toc16938549"/>
      <w:r/>
      <w:bookmarkStart w:id="129" w:name="_Toc20823305"/>
      <w:r/>
      <w:bookmarkStart w:id="130" w:name="_Toc513029233"/>
      <w:r>
        <w:rPr>
          <w:rFonts w:hint="eastAsia" w:ascii="方正仿宋_GBK" w:hAnsi="方正仿宋_GBK" w:eastAsia="方正仿宋_GBK" w:cs="方正仿宋_GBK"/>
          <w:sz w:val="28"/>
          <w:szCs w:val="28"/>
        </w:rPr>
        <w:t xml:space="preserve">24.对投标文件的初审</w:t>
      </w:r>
      <w:bookmarkEnd w:id="128"/>
      <w:r/>
      <w:bookmarkEnd w:id="129"/>
      <w:r/>
      <w:bookmarkEnd w:id="130"/>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w:t>
      </w:r>
      <w:r>
        <w:rPr>
          <w:rFonts w:hint="eastAsia" w:ascii="方正仿宋_GBK" w:hAnsi="方正仿宋_GBK" w:eastAsia="方正仿宋_GBK" w:cs="方正仿宋_GBK"/>
          <w:sz w:val="28"/>
          <w:szCs w:val="28"/>
        </w:rPr>
        <w:t xml:space="preserve">标一览表为准。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560"/>
        <w:spacing w:line="400" w:lineRule="exact"/>
        <w:rPr>
          <w:rFonts w:hint="eastAsia" w:ascii="方正仿宋_GBK" w:hAnsi="方正仿宋_GBK" w:eastAsia="方正仿宋_GBK" w:cs="方正仿宋_GBK"/>
          <w:sz w:val="28"/>
          <w:szCs w:val="28"/>
        </w:rPr>
      </w:pPr>
      <w:r/>
      <w:bookmarkStart w:id="131" w:name="_Toc513029234"/>
      <w:r/>
      <w:bookmarkStart w:id="132" w:name="_Toc16938550"/>
      <w:r/>
      <w:bookmarkStart w:id="133" w:name="_Toc20823306"/>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31"/>
      <w:r/>
      <w:bookmarkEnd w:id="132"/>
      <w:r/>
      <w:bookmarkEnd w:id="133"/>
      <w:r>
        <w:rPr>
          <w:rFonts w:hint="eastAsia" w:ascii="方正仿宋_GBK" w:hAnsi="方正仿宋_GBK" w:eastAsia="方正仿宋_GBK" w:cs="方正仿宋_GBK"/>
          <w:sz w:val="28"/>
          <w:szCs w:val="28"/>
        </w:rPr>
        <w:t xml:space="preserve">.无效投标条款和废标条款</w:t>
      </w:r>
      <w:r/>
    </w:p>
    <w:p>
      <w:pPr>
        <w:ind w:firstLine="560"/>
        <w:spacing w:line="400" w:lineRule="exact"/>
        <w:rPr>
          <w:rFonts w:hint="eastAsia" w:ascii="方正仿宋_GBK" w:hAnsi="方正仿宋_GBK" w:eastAsia="方正仿宋_GBK" w:cs="方正仿宋_GBK"/>
          <w:sz w:val="28"/>
          <w:szCs w:val="28"/>
        </w:rPr>
      </w:pPr>
      <w:r/>
      <w:bookmarkStart w:id="134" w:name="_Toc513029235"/>
      <w:r/>
      <w:bookmarkStart w:id="135" w:name="_Toc16938551"/>
      <w:r/>
      <w:bookmarkStart w:id="136" w:name="_Toc20823307"/>
      <w:r>
        <w:rPr>
          <w:rFonts w:hint="eastAsia" w:ascii="方正仿宋_GBK" w:hAnsi="方正仿宋_GBK" w:eastAsia="方正仿宋_GBK" w:cs="方正仿宋_GBK"/>
          <w:sz w:val="28"/>
          <w:szCs w:val="28"/>
        </w:rPr>
        <w:t xml:space="preserve">25.1无效投标条款</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p>
    <w:p>
      <w:pPr>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25.1.13其他法律、法规及本招标文件规定的属无效投标的情形。</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p>
    <w:p>
      <w:pPr>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7" w:name="_Toc120614219"/>
      <w:r>
        <w:rPr>
          <w:rFonts w:hint="eastAsia" w:ascii="方正黑体_GBK" w:hAnsi="方正黑体_GBK" w:eastAsia="方正黑体_GBK" w:cs="方正黑体_GBK"/>
          <w:color w:val="000000"/>
          <w:sz w:val="28"/>
          <w:szCs w:val="28"/>
        </w:rPr>
        <w:t xml:space="preserve">六、</w:t>
      </w:r>
      <w:bookmarkEnd w:id="134"/>
      <w:r/>
      <w:bookmarkEnd w:id="135"/>
      <w:r/>
      <w:bookmarkEnd w:id="136"/>
      <w:r>
        <w:rPr>
          <w:rFonts w:hint="eastAsia" w:ascii="方正黑体_GBK" w:hAnsi="方正黑体_GBK" w:eastAsia="方正黑体_GBK" w:cs="方正黑体_GBK"/>
          <w:color w:val="000000"/>
          <w:sz w:val="28"/>
          <w:szCs w:val="28"/>
        </w:rPr>
        <w:t xml:space="preserve">定标</w:t>
      </w:r>
      <w:bookmarkEnd w:id="137"/>
      <w:r/>
      <w:r/>
    </w:p>
    <w:p>
      <w:pPr>
        <w:ind w:firstLine="560"/>
        <w:spacing w:line="400" w:lineRule="exact"/>
        <w:rPr>
          <w:rFonts w:hint="eastAsia" w:ascii="方正仿宋_GBK" w:hAnsi="方正仿宋_GBK" w:eastAsia="方正仿宋_GBK" w:cs="方正仿宋_GBK"/>
          <w:sz w:val="28"/>
          <w:szCs w:val="28"/>
        </w:rPr>
      </w:pPr>
      <w:r/>
      <w:bookmarkStart w:id="138" w:name="_Toc20823310"/>
      <w:r/>
      <w:bookmarkStart w:id="139" w:name="_Toc16938554"/>
      <w:r/>
      <w:bookmarkStart w:id="140" w:name="_Toc513029238"/>
      <w:r>
        <w:rPr>
          <w:rFonts w:hint="eastAsia" w:ascii="方正仿宋_GBK" w:hAnsi="方正仿宋_GBK" w:eastAsia="方正仿宋_GBK" w:cs="方正仿宋_GBK"/>
          <w:sz w:val="28"/>
          <w:szCs w:val="28"/>
        </w:rPr>
        <w:t xml:space="preserve">26</w:t>
      </w:r>
      <w:bookmarkEnd w:id="140"/>
      <w:r>
        <w:rPr>
          <w:rFonts w:hint="eastAsia" w:ascii="方正仿宋_GBK" w:hAnsi="方正仿宋_GBK" w:eastAsia="方正仿宋_GBK" w:cs="方正仿宋_GBK"/>
          <w:sz w:val="28"/>
          <w:szCs w:val="28"/>
        </w:rPr>
        <w:t xml:space="preserve">.确定</w:t>
      </w:r>
      <w:bookmarkEnd w:id="138"/>
      <w:r/>
      <w:bookmarkEnd w:id="139"/>
      <w:r>
        <w:rPr>
          <w:rFonts w:hint="eastAsia" w:ascii="方正仿宋_GBK" w:hAnsi="方正仿宋_GBK" w:eastAsia="方正仿宋_GBK" w:cs="方正仿宋_GBK"/>
          <w:sz w:val="28"/>
          <w:szCs w:val="28"/>
        </w:rPr>
        <w:t xml:space="preserve">中标单位</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p>
    <w:p>
      <w:pPr>
        <w:ind w:firstLine="560"/>
        <w:spacing w:line="400" w:lineRule="exact"/>
        <w:rPr>
          <w:rFonts w:hint="eastAsia" w:ascii="方正仿宋_GBK" w:hAnsi="方正仿宋_GBK" w:eastAsia="方正仿宋_GBK" w:cs="方正仿宋_GBK"/>
          <w:sz w:val="28"/>
          <w:szCs w:val="28"/>
        </w:rPr>
      </w:pPr>
      <w:r/>
      <w:bookmarkStart w:id="141" w:name="_Toc200451960"/>
      <w:r>
        <w:rPr>
          <w:rFonts w:hint="eastAsia" w:ascii="方正仿宋_GBK" w:hAnsi="方正仿宋_GBK" w:eastAsia="方正仿宋_GBK" w:cs="方正仿宋_GBK"/>
          <w:sz w:val="28"/>
          <w:szCs w:val="28"/>
        </w:rPr>
        <w:t xml:space="preserve">26.5有下列情形之一的，视为投标人串通投标，投标无效：</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41"/>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42" w:name="_Toc120614220"/>
      <w:r/>
      <w:bookmarkStart w:id="143" w:name="_Toc16938552"/>
      <w:r/>
      <w:bookmarkStart w:id="144" w:name="_Toc20823308"/>
      <w:r/>
      <w:bookmarkStart w:id="145" w:name="_Toc513029236"/>
      <w:r>
        <w:rPr>
          <w:rFonts w:hint="eastAsia" w:ascii="方正黑体_GBK" w:hAnsi="方正黑体_GBK" w:eastAsia="方正黑体_GBK" w:cs="方正黑体_GBK"/>
          <w:color w:val="000000"/>
          <w:sz w:val="28"/>
          <w:szCs w:val="28"/>
        </w:rPr>
        <w:t xml:space="preserve">七、授予合同</w:t>
      </w:r>
      <w:bookmarkEnd w:id="142"/>
      <w:r/>
      <w:r/>
    </w:p>
    <w:p>
      <w:pPr>
        <w:ind w:firstLine="560"/>
        <w:spacing w:line="400" w:lineRule="exact"/>
        <w:rPr>
          <w:rFonts w:hint="eastAsia" w:ascii="方正仿宋_GBK" w:hAnsi="方正仿宋_GBK" w:eastAsia="方正仿宋_GBK" w:cs="方正仿宋_GBK"/>
          <w:sz w:val="28"/>
          <w:szCs w:val="28"/>
        </w:rPr>
      </w:pPr>
      <w:r/>
      <w:bookmarkStart w:id="146" w:name="_Toc16938553"/>
      <w:r/>
      <w:bookmarkStart w:id="147" w:name="_Toc513029237"/>
      <w:r/>
      <w:bookmarkStart w:id="148" w:name="_Toc20823309"/>
      <w:r/>
      <w:bookmarkEnd w:id="143"/>
      <w:r/>
      <w:bookmarkEnd w:id="144"/>
      <w:r/>
      <w:bookmarkEnd w:id="145"/>
      <w:r>
        <w:rPr>
          <w:rFonts w:hint="eastAsia" w:ascii="方正仿宋_GBK" w:hAnsi="方正仿宋_GBK" w:eastAsia="方正仿宋_GBK" w:cs="方正仿宋_GBK"/>
          <w:sz w:val="28"/>
          <w:szCs w:val="28"/>
        </w:rPr>
        <w:t xml:space="preserve">29.签订合同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w:t>
      </w:r>
      <w:r>
        <w:rPr>
          <w:rFonts w:hint="eastAsia" w:ascii="方正仿宋_GBK" w:hAnsi="方正仿宋_GBK" w:eastAsia="方正仿宋_GBK" w:cs="方正仿宋_GBK"/>
          <w:sz w:val="28"/>
          <w:szCs w:val="28"/>
        </w:rPr>
        <w:t xml:space="preserve">服务相关的货物），在不改变合同其他条款的前提下，可以与中标供应商协商签订补充合同，但所有补充合同的采购金额不超过原合同金额10%。</w:t>
      </w:r>
      <w:bookmarkEnd w:id="146"/>
      <w:bookmarkEnd w:id="147"/>
      <w:bookmarkEnd w:id="148"/>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31.政府采购履约资金扶持政策</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p>
    <w:p>
      <w:pPr>
        <w:pStyle w:val="827"/>
        <w:spacing w:line="400" w:lineRule="exact"/>
        <w:rPr>
          <w:rFonts w:hint="eastAsia" w:ascii="宋体" w:hAnsi="宋体"/>
          <w:bCs/>
          <w:sz w:val="24"/>
        </w:rPr>
      </w:pPr>
      <w:r>
        <w:rPr>
          <w:rFonts w:hint="eastAsia" w:ascii="宋体" w:hAnsi="宋体"/>
          <w:bCs/>
          <w:sz w:val="24"/>
        </w:rPr>
      </w:r>
      <w:r/>
    </w:p>
    <w:p>
      <w:pPr>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br w:type="page" w:clear="all"/>
      </w:r>
      <w:r>
        <w:rPr>
          <w:rFonts w:hint="eastAsia" w:ascii="方正黑体_GBK" w:hAnsi="方正黑体_GBK" w:eastAsia="方正黑体_GBK" w:cs="方正黑体_GBK"/>
          <w:color w:val="000000"/>
          <w:sz w:val="28"/>
          <w:szCs w:val="28"/>
        </w:rPr>
        <w:t xml:space="preserve">第三章  合同</w:t>
      </w:r>
      <w:bookmarkEnd w:id="47"/>
      <w:r/>
      <w:bookmarkEnd w:id="48"/>
      <w:r/>
      <w:bookmarkEnd w:id="49"/>
      <w:r/>
      <w:bookmarkEnd w:id="50"/>
      <w:r/>
      <w:bookmarkEnd w:id="51"/>
      <w:r>
        <w:rPr>
          <w:rFonts w:hint="eastAsia" w:ascii="方正黑体_GBK" w:hAnsi="方正黑体_GBK" w:eastAsia="方正黑体_GBK" w:cs="方正黑体_GBK"/>
          <w:color w:val="000000"/>
          <w:sz w:val="28"/>
          <w:szCs w:val="28"/>
        </w:rPr>
        <w:t xml:space="preserve">文本</w:t>
      </w:r>
      <w:r/>
    </w:p>
    <w:p>
      <w:pPr>
        <w:ind w:firstLine="560"/>
        <w:spacing w:line="400" w:lineRule="exact"/>
        <w:rPr>
          <w:rFonts w:hint="eastAsia" w:ascii="方正仿宋_GBK" w:hAnsi="方正仿宋_GBK" w:eastAsia="方正仿宋_GBK" w:cs="方正仿宋_GBK"/>
          <w:bCs/>
          <w:sz w:val="28"/>
          <w:szCs w:val="28"/>
          <w:highlight w:val="yellow"/>
        </w:rPr>
      </w:pPr>
      <w:r/>
      <w:bookmarkStart w:id="149" w:name="_Toc513029243"/>
      <w:r/>
      <w:bookmarkStart w:id="150" w:name="_Toc16938559"/>
      <w:r/>
      <w:bookmarkStart w:id="151" w:name="_Toc20823315"/>
      <w:r/>
      <w:r/>
    </w:p>
    <w:p>
      <w:pPr>
        <w:pStyle w:val="828"/>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r>
      <w:r/>
    </w:p>
    <w:p>
      <w:pPr>
        <w:pStyle w:val="828"/>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p>
    <w:p>
      <w:pPr>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p>
    <w:p>
      <w:pPr>
        <w:ind w:firstLine="560"/>
        <w:spacing w:before="120" w:after="120" w:line="400" w:lineRule="exact"/>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p>
    <w:p>
      <w:pPr>
        <w:pStyle w:val="830"/>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p>
    <w:p>
      <w:pPr>
        <w:pStyle w:val="8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8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p>
    <w:p>
      <w:pPr>
        <w:pStyle w:val="8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w:t>
      </w:r>
      <w:r>
        <w:rPr>
          <w:rFonts w:hint="eastAsia" w:ascii="方正仿宋_GBK" w:hAnsi="方正仿宋_GBK" w:eastAsia="方正仿宋_GBK" w:cs="方正仿宋_GBK"/>
          <w:sz w:val="28"/>
          <w:szCs w:val="28"/>
        </w:rPr>
        <w:t xml:space="preserve">等知识产权的起诉。一旦出现侵权，由乙方负全部责任。</w:t>
      </w:r>
      <w:r/>
    </w:p>
    <w:p>
      <w:pPr>
        <w:pStyle w:val="8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8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w:t>
      </w:r>
      <w:r>
        <w:rPr>
          <w:rFonts w:hint="eastAsia" w:ascii="方正仿宋_GBK" w:hAnsi="方正仿宋_GBK" w:eastAsia="方正仿宋_GBK" w:cs="方正仿宋_GBK"/>
          <w:sz w:val="28"/>
          <w:szCs w:val="28"/>
          <w:u w:val="single"/>
        </w:rPr>
        <w:t xml:space="preserve">伍万元或银行保函</w:t>
      </w:r>
      <w:r>
        <w:rPr>
          <w:rFonts w:hint="eastAsia" w:ascii="方正仿宋_GBK" w:hAnsi="方正仿宋_GBK" w:eastAsia="方正仿宋_GBK" w:cs="方正仿宋_GBK"/>
          <w:sz w:val="28"/>
          <w:szCs w:val="28"/>
        </w:rPr>
        <w:t xml:space="preserve">作为本合同的履约保证金。（不得超过合同金额的10%）</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pStyle w:val="830"/>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rPr>
        <w:t xml:space="preserve">无息退还。</w:t>
      </w:r>
      <w:r/>
    </w:p>
    <w:p>
      <w:pPr>
        <w:pStyle w:val="830"/>
        <w:ind w:firstLine="560"/>
        <w:spacing w:before="120" w:after="120" w:line="400" w:lineRule="exact"/>
        <w:rPr>
          <w:rFonts w:hint="eastAsia" w:ascii="Times New Roman" w:hAnsi="Times New Roman" w:eastAsia="方正仿宋_GBK" w:cs="Times New Roman"/>
          <w:color w:val="000000"/>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rPr>
        <w:t xml:space="preserve">根据履约情况，扣除相关违约金及其他费用后，剩余部分在服务期满且与下一中标人交接完成后三个月内付清。</w:t>
      </w:r>
      <w:r/>
    </w:p>
    <w:p>
      <w:pPr>
        <w:pStyle w:val="830"/>
        <w:ind w:firstLine="560"/>
        <w:spacing w:before="120" w:after="120" w:line="400" w:lineRule="exact"/>
        <w:rPr>
          <w:rFonts w:hint="eastAsia" w:ascii="Times New Roman" w:hAnsi="Times New Roman" w:eastAsia="方正仿宋_GBK" w:cs="Times New Roman"/>
          <w:color w:val="000000"/>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rPr>
        <w:t xml:space="preserve">合同期满时，乙方按要求移交和退场。</w:t>
      </w:r>
      <w:r/>
    </w:p>
    <w:p>
      <w:pPr>
        <w:pStyle w:val="830"/>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rPr>
        <w:t xml:space="preserve">乙方未按要求移交和退场的，甲方有权将乙方的未撤离的设备、资产等进行处置并不承担任何违约和侵权责任，甲方有权拒付剩余合同款，且不再退还剩余履约保证金；因乙方原因提前解除合同的，终止合同当月的服务费在按当月服务天数进行结算的同时，需根据考核分值扣除相应金额且履约保证金不予退还。</w:t>
      </w:r>
      <w:r/>
    </w:p>
    <w:p>
      <w:pPr>
        <w:pStyle w:val="8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pStyle w:val="8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8.1.1合同款支付时间：按签订合同季度支付，最后一次物业费需根据合同年度考核结果进行一次性清算。</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合同款支付条件：季度考核分值达85分（含）以上为合格，按合同支付当季合同款，季度考核分值低于85分为不合格，如考核不合格，经整改后合格的，则不予扣款；如整改后仍不合格的，则扣除当季付款的10%，并不予退还。（若因财务封账等原因需要延后的，则延期支付，具体支付时间以财务部门开账时间为准，乙方应当予以充分理解。每季度应付款项于次月底前，由乙方提出书面付款申请，并提供合规的发票后，经甲方审核批准后七个工作日内，付清上季度应付款项，遇节假日顺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8.1.3合同款支付方式：乙方开具等额合规的发票，由甲方汇款支付（因</w:t>
      </w:r>
      <w:r>
        <w:rPr>
          <w:rFonts w:hint="eastAsia" w:ascii="方正仿宋_GBK" w:hAnsi="方正仿宋_GBK" w:eastAsia="方正仿宋_GBK" w:cs="方正仿宋_GBK"/>
          <w:sz w:val="28"/>
          <w:szCs w:val="28"/>
        </w:rPr>
        <w:t xml:space="preserve">乙方开具的发票不合规造成甲方损失的，由乙方承担赔偿责任，甲方开票信息见合同签署页；乙方应当保证收款账户正确且有效，如因乙方收款账户异常、变动等原因，导致甲方汇款不能到账或逾期到账，不视为甲方违约。由此产生的损失由乙方自行承担）。</w:t>
      </w:r>
      <w:r/>
    </w:p>
    <w:p>
      <w:pPr>
        <w:ind w:firstLine="56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sz w:val="28"/>
          <w:szCs w:val="28"/>
        </w:rPr>
        <w:t xml:space="preserve">8.1.4合同款支付金额：合同共履行四季度。前三个季度，季度考核合格的，每次支付合同总额的25％，最后一次支付剩余合同款及考核费用。需保证履约结束无违约行为，若移交的设备等有损坏，从最后一次服务费中扣除相关维修费用后再行支付。若服务费不足以支付相关维修费用，从履约保证金中扣除不足部分的赔偿。</w:t>
      </w:r>
      <w:r/>
    </w:p>
    <w:p>
      <w:pPr>
        <w:pStyle w:val="8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8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p>
    <w:p>
      <w:pPr>
        <w:pStyle w:val="8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8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p>
    <w:p>
      <w:pPr>
        <w:pStyle w:val="830"/>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p>
    <w:p>
      <w:pPr>
        <w:pStyle w:val="8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p>
    <w:p>
      <w:pPr>
        <w:pStyle w:val="83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p>
    <w:p>
      <w:pPr>
        <w:pStyle w:val="830"/>
        <w:ind w:firstLine="560"/>
        <w:spacing w:before="120" w:after="120" w:line="400" w:lineRule="exact"/>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p>
    <w:p>
      <w:pPr>
        <w:pStyle w:val="830"/>
        <w:jc w:val="right"/>
        <w:spacing w:before="120" w:after="120" w:line="400" w:lineRule="exact"/>
        <w:rPr>
          <w:sz w:val="28"/>
          <w:szCs w:val="28"/>
        </w:rPr>
      </w:pPr>
      <w:r>
        <w:rPr>
          <w:rFonts w:hint="eastAsia"/>
          <w:sz w:val="28"/>
          <w:szCs w:val="28"/>
        </w:rPr>
        <w:t xml:space="preserve"> </w:t>
      </w:r>
      <w:r/>
    </w:p>
    <w:p>
      <w:pPr>
        <w:pStyle w:val="830"/>
        <w:jc w:val="center"/>
        <w:spacing w:before="120" w:after="120" w:line="400" w:lineRule="exact"/>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Start w:id="152" w:name="_Hlt16619369"/>
      <w:r/>
      <w:bookmarkStart w:id="153" w:name="_Hlt16619350"/>
      <w:r/>
      <w:bookmarkStart w:id="154" w:name="_Toc16938590"/>
      <w:r/>
      <w:bookmarkStart w:id="155" w:name="_Toc120614244"/>
      <w:r/>
      <w:bookmarkStart w:id="156" w:name="_Toc20823346"/>
      <w:r/>
      <w:bookmarkStart w:id="157" w:name="_Toc479757211"/>
      <w:r/>
      <w:bookmarkStart w:id="158" w:name="_Toc462564139"/>
      <w:r/>
      <w:bookmarkEnd w:id="149"/>
      <w:r/>
      <w:bookmarkEnd w:id="150"/>
      <w:r/>
      <w:bookmarkEnd w:id="151"/>
      <w:r/>
      <w:bookmarkEnd w:id="152"/>
      <w:r>
        <w:rPr>
          <w:rFonts w:ascii="黑体" w:eastAsia="黑体"/>
          <w:bCs/>
          <w:sz w:val="28"/>
          <w:szCs w:val="28"/>
        </w:rPr>
        <w:br w:type="page" w:clear="all"/>
      </w:r>
      <w:r>
        <w:rPr>
          <w:rFonts w:hint="eastAsia" w:ascii="方正黑体_GBK" w:hAnsi="方正黑体_GBK" w:eastAsia="方正黑体_GBK" w:cs="方正黑体_GBK"/>
          <w:color w:val="000000"/>
          <w:sz w:val="28"/>
          <w:szCs w:val="28"/>
        </w:rPr>
        <w:t xml:space="preserve">第</w:t>
      </w:r>
      <w:bookmarkEnd w:id="153"/>
      <w:r>
        <w:rPr>
          <w:rFonts w:hint="eastAsia" w:ascii="方正黑体_GBK" w:hAnsi="方正黑体_GBK" w:eastAsia="方正黑体_GBK" w:cs="方正黑体_GBK"/>
          <w:color w:val="000000"/>
          <w:sz w:val="28"/>
          <w:szCs w:val="28"/>
        </w:rPr>
        <w:t xml:space="preserve">四章 采购需求</w:t>
      </w:r>
      <w:bookmarkEnd w:id="154"/>
      <w:r/>
      <w:bookmarkEnd w:id="155"/>
      <w:r/>
      <w:bookmarkEnd w:id="156"/>
      <w:r/>
      <w:r/>
    </w:p>
    <w:p>
      <w:pPr>
        <w:pStyle w:val="830"/>
        <w:ind w:firstLine="560"/>
        <w:spacing w:before="120" w:after="120" w:line="400" w:lineRule="exact"/>
        <w:rPr>
          <w:rFonts w:hint="eastAsia" w:ascii="方正黑体_GBK" w:hAnsi="方正黑体_GBK" w:eastAsia="方正黑体_GBK" w:cs="方正黑体_GBK"/>
          <w:bCs/>
          <w:sz w:val="28"/>
          <w:szCs w:val="28"/>
        </w:rPr>
      </w:pPr>
      <w:r/>
      <w:bookmarkStart w:id="159" w:name="_Toc26554093"/>
      <w:r/>
      <w:bookmarkStart w:id="160" w:name="_Toc49090575"/>
      <w:r>
        <w:rPr>
          <w:rFonts w:hint="eastAsia" w:ascii="方正黑体_GBK" w:hAnsi="方正黑体_GBK" w:eastAsia="方正黑体_GBK" w:cs="方正黑体_GBK"/>
          <w:bCs/>
          <w:sz w:val="28"/>
          <w:szCs w:val="28"/>
        </w:rPr>
        <w:t xml:space="preserve">一、采购标的清单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90"/>
        <w:gridCol w:w="792"/>
        <w:gridCol w:w="3697"/>
        <w:gridCol w:w="2438"/>
      </w:tblGrid>
      <w:tr>
        <w:trPr>
          <w:cantSplit/>
          <w:jc w:val="center"/>
          <w:trHeight w:val="701"/>
        </w:trPr>
        <w:tc>
          <w:tcPr>
            <w:tcW w:w="79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792"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97"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4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91"/>
        </w:trPr>
        <w:tc>
          <w:tcPr>
            <w:tcW w:w="79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1</w:t>
            </w:r>
            <w:r/>
          </w:p>
        </w:tc>
        <w:tc>
          <w:tcPr>
            <w:tcW w:w="79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97" w:type="dxa"/>
            <w:textDirection w:val="lrTb"/>
            <w:noWrap w:val="false"/>
          </w:tcPr>
          <w:p>
            <w:pPr>
              <w:jc w:val="center"/>
              <w:spacing w:line="400" w:lineRule="exact"/>
              <w:tabs>
                <w:tab w:val="left" w:pos="2020" w:leader="none"/>
              </w:tabs>
              <w:rPr>
                <w:rFonts w:hint="eastAsia" w:ascii="宋体" w:hAnsi="宋体"/>
                <w:color w:val="000000"/>
                <w:sz w:val="24"/>
                <w:szCs w:val="24"/>
              </w:rPr>
            </w:pPr>
            <w:r>
              <w:rPr>
                <w:rFonts w:hint="eastAsia" w:ascii="宋体" w:hAnsi="宋体"/>
                <w:color w:val="000000"/>
                <w:sz w:val="24"/>
                <w:szCs w:val="24"/>
              </w:rPr>
              <w:t xml:space="preserve">江苏经贸职业技术学院江宁校区学生公寓物业委托管理服务</w:t>
            </w:r>
            <w:r/>
          </w:p>
          <w:p>
            <w:pPr>
              <w:jc w:val="center"/>
              <w:spacing w:line="400" w:lineRule="exact"/>
              <w:tabs>
                <w:tab w:val="left" w:pos="2020" w:leader="none"/>
              </w:tabs>
              <w:rPr>
                <w:rFonts w:hint="eastAsia" w:ascii="方正仿宋_GBK" w:hAnsi="方正仿宋_GBK" w:eastAsia="方正仿宋_GBK" w:cs="方正仿宋_GBK"/>
                <w:sz w:val="28"/>
                <w:szCs w:val="28"/>
              </w:rPr>
            </w:pPr>
            <w:r>
              <w:rPr>
                <w:rFonts w:hint="eastAsia" w:ascii="宋体" w:hAnsi="宋体"/>
                <w:color w:val="000000"/>
                <w:sz w:val="24"/>
                <w:szCs w:val="24"/>
              </w:rPr>
              <w:t xml:space="preserve">（紫薇苑、丹桂苑、樱花苑）</w:t>
            </w:r>
            <w:r/>
          </w:p>
        </w:tc>
        <w:tc>
          <w:tcPr>
            <w:tcW w:w="2438" w:type="dxa"/>
            <w:textDirection w:val="lrTb"/>
            <w:noWrap w:val="false"/>
          </w:tcPr>
          <w:p>
            <w:pPr>
              <w:jc w:val="center"/>
              <w:spacing w:line="400" w:lineRule="exact"/>
              <w:tabs>
                <w:tab w:val="left" w:pos="2020" w:leader="none"/>
              </w:tabs>
              <w:rPr>
                <w:rFonts w:hint="eastAsia" w:eastAsia="方正仿宋_GBK"/>
                <w:color w:val="000000"/>
                <w:sz w:val="28"/>
                <w:szCs w:val="28"/>
              </w:rPr>
            </w:pPr>
            <w:r>
              <w:rPr>
                <w:rFonts w:hint="eastAsia" w:ascii="宋体" w:hAnsi="宋体"/>
                <w:color w:val="000000"/>
                <w:sz w:val="24"/>
                <w:szCs w:val="24"/>
              </w:rPr>
              <w:t xml:space="preserve">物业管理服务</w:t>
            </w:r>
            <w:r/>
          </w:p>
        </w:tc>
      </w:tr>
    </w:tbl>
    <w:p>
      <w:pPr>
        <w:pStyle w:val="8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二、政府采购中实施本国产品标准及相关政策</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3.本国产</w:t>
      </w:r>
      <w:r>
        <w:rPr>
          <w:rFonts w:hint="eastAsia" w:ascii="方正仿宋_GBK" w:hAnsi="方正仿宋_GBK" w:eastAsia="方正仿宋_GBK" w:cs="方正仿宋_GBK"/>
          <w:sz w:val="28"/>
          <w:szCs w:val="28"/>
        </w:rPr>
        <w:tab/>
        <w:t xml:space="preserve">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30"/>
        <w:ind w:firstLine="560"/>
        <w:spacing w:before="120" w:after="120" w:line="400" w:lineRule="exact"/>
        <w:rPr>
          <w:rFonts w:hint="eastAsia"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w:t>
      </w:r>
      <w:r>
        <w:rPr>
          <w:rFonts w:hint="eastAsia" w:ascii="方正黑体_GBK" w:hAnsi="方正黑体_GBK" w:eastAsia="方正黑体_GBK" w:cs="方正黑体_GBK"/>
          <w:bCs/>
          <w:sz w:val="28"/>
          <w:szCs w:val="28"/>
        </w:rPr>
        <w:t xml:space="preserve">、技术要求</w:t>
      </w:r>
      <w:r/>
    </w:p>
    <w:p>
      <w:pPr>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jc w:val="center"/>
        <w:spacing w:before="120" w:after="120" w:line="240" w:lineRule="atLeast"/>
        <w:rPr>
          <w:rFonts w:hint="eastAsia" w:ascii="宋体" w:hAnsi="宋体" w:cs="宋体"/>
          <w:b/>
          <w:sz w:val="24"/>
          <w:szCs w:val="24"/>
        </w:rPr>
      </w:pPr>
      <w:r>
        <w:rPr>
          <w:rFonts w:hint="eastAsia" w:ascii="宋体" w:hAnsi="宋体" w:cs="宋体"/>
          <w:b/>
          <w:sz w:val="24"/>
          <w:szCs w:val="24"/>
        </w:rPr>
      </w:r>
      <w:r/>
    </w:p>
    <w:p>
      <w:pPr>
        <w:spacing w:before="120" w:after="120" w:line="240" w:lineRule="atLeast"/>
        <w:rPr>
          <w:rFonts w:hint="eastAsia" w:ascii="黑体" w:hAnsi="Courier New" w:eastAsia="黑体" w:cs="Courier New"/>
          <w:sz w:val="44"/>
        </w:rPr>
      </w:pPr>
      <w:r>
        <w:rPr>
          <w:rFonts w:hint="eastAsia" w:ascii="宋体" w:hAnsi="宋体" w:cs="宋体"/>
          <w:b/>
          <w:sz w:val="24"/>
          <w:szCs w:val="24"/>
        </w:rPr>
        <w:t xml:space="preserve">一、项目概况</w:t>
      </w:r>
      <w:r/>
    </w:p>
    <w:p>
      <w:pPr>
        <w:pStyle w:val="837"/>
        <w:rPr>
          <w:rFonts w:hint="eastAsia" w:ascii="宋体" w:hAnsi="宋体" w:eastAsia="宋体" w:cs="宋体"/>
          <w:sz w:val="24"/>
          <w:szCs w:val="24"/>
        </w:rPr>
      </w:pPr>
      <w:r>
        <w:rPr>
          <w:rFonts w:hint="eastAsia" w:ascii="宋体" w:hAnsi="宋体" w:eastAsia="宋体" w:cs="宋体"/>
          <w:sz w:val="24"/>
          <w:szCs w:val="24"/>
        </w:rPr>
        <w:t xml:space="preserve">（一）楼宇基本情况及最高限价：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564"/>
        <w:gridCol w:w="2579"/>
        <w:gridCol w:w="669"/>
        <w:gridCol w:w="711"/>
        <w:gridCol w:w="769"/>
        <w:gridCol w:w="1237"/>
        <w:gridCol w:w="775"/>
        <w:gridCol w:w="2120"/>
      </w:tblGrid>
      <w:tr>
        <w:trPr>
          <w:jc w:val="center"/>
          <w:trHeight w:val="31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widowControl/>
              <w:rPr>
                <w:rFonts w:hint="eastAsia" w:ascii="宋体" w:hAnsi="宋体" w:cs="宋体"/>
                <w:b/>
                <w:sz w:val="24"/>
                <w:szCs w:val="22"/>
              </w:rPr>
            </w:pPr>
            <w:r>
              <w:rPr>
                <w:rFonts w:hint="eastAsia" w:ascii="宋体" w:hAnsi="宋体" w:cs="宋体"/>
                <w:b/>
                <w:sz w:val="24"/>
                <w:szCs w:val="22"/>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widowControl/>
              <w:rPr>
                <w:rFonts w:hint="eastAsia" w:ascii="宋体" w:hAnsi="宋体" w:cs="宋体"/>
                <w:b/>
                <w:sz w:val="24"/>
                <w:szCs w:val="22"/>
              </w:rPr>
            </w:pPr>
            <w:r>
              <w:rPr>
                <w:rFonts w:hint="eastAsia" w:ascii="宋体" w:hAnsi="宋体" w:cs="宋体"/>
                <w:b/>
                <w:sz w:val="24"/>
                <w:szCs w:val="22"/>
              </w:rPr>
              <w:t xml:space="preserve">项目名称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widowControl/>
              <w:rPr>
                <w:rFonts w:hint="eastAsia" w:ascii="宋体" w:hAnsi="宋体" w:cs="宋体"/>
                <w:b/>
                <w:sz w:val="24"/>
                <w:szCs w:val="22"/>
              </w:rPr>
            </w:pPr>
            <w:r>
              <w:rPr>
                <w:rFonts w:hint="eastAsia" w:ascii="宋体" w:hAnsi="宋体" w:cs="宋体"/>
                <w:b/>
                <w:sz w:val="24"/>
                <w:szCs w:val="22"/>
              </w:rPr>
              <w:t xml:space="preserve">楼栋数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widowControl/>
              <w:rPr>
                <w:rFonts w:hint="eastAsia" w:ascii="宋体" w:hAnsi="宋体" w:cs="宋体"/>
                <w:b/>
                <w:sz w:val="24"/>
                <w:szCs w:val="22"/>
              </w:rPr>
            </w:pPr>
            <w:r>
              <w:rPr>
                <w:rFonts w:hint="eastAsia" w:ascii="宋体" w:hAnsi="宋体" w:cs="宋体"/>
                <w:b/>
                <w:sz w:val="24"/>
                <w:szCs w:val="22"/>
              </w:rPr>
              <w:t xml:space="preserve">房间数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widowControl/>
              <w:rPr>
                <w:rFonts w:hint="eastAsia" w:ascii="宋体" w:hAnsi="宋体" w:cs="宋体"/>
                <w:b/>
                <w:sz w:val="24"/>
                <w:szCs w:val="22"/>
              </w:rPr>
            </w:pPr>
            <w:r>
              <w:rPr>
                <w:rFonts w:hint="eastAsia" w:ascii="宋体" w:hAnsi="宋体" w:cs="宋体"/>
                <w:b/>
                <w:sz w:val="24"/>
                <w:szCs w:val="22"/>
              </w:rPr>
              <w:t xml:space="preserve">床位数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widowControl/>
              <w:rPr>
                <w:rFonts w:hint="eastAsia" w:ascii="宋体" w:hAnsi="宋体" w:cs="宋体"/>
                <w:b/>
                <w:sz w:val="24"/>
                <w:szCs w:val="22"/>
              </w:rPr>
            </w:pPr>
            <w:r>
              <w:rPr>
                <w:rFonts w:hint="eastAsia" w:ascii="宋体" w:hAnsi="宋体" w:cs="宋体"/>
                <w:b/>
                <w:sz w:val="24"/>
                <w:szCs w:val="22"/>
              </w:rPr>
              <w:t xml:space="preserve">属性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widowControl/>
              <w:rPr>
                <w:rFonts w:ascii="宋体" w:hAnsi="宋体" w:cs="宋体"/>
                <w:b/>
                <w:sz w:val="24"/>
                <w:szCs w:val="22"/>
              </w:rPr>
            </w:pPr>
            <w:r>
              <w:rPr>
                <w:rFonts w:hint="eastAsia" w:ascii="宋体" w:hAnsi="宋体" w:cs="宋体"/>
                <w:b/>
                <w:sz w:val="24"/>
                <w:szCs w:val="22"/>
              </w:rPr>
              <w:t xml:space="preserve">用工人数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widowControl/>
              <w:rPr>
                <w:rFonts w:hint="eastAsia" w:ascii="宋体" w:hAnsi="宋体" w:cs="宋体"/>
                <w:b/>
                <w:sz w:val="24"/>
                <w:szCs w:val="22"/>
              </w:rPr>
            </w:pPr>
            <w:r>
              <w:rPr>
                <w:rFonts w:hint="eastAsia" w:ascii="宋体" w:hAnsi="宋体" w:cs="宋体"/>
                <w:b/>
                <w:sz w:val="24"/>
                <w:szCs w:val="22"/>
              </w:rPr>
              <w:t xml:space="preserve">预算金额     （最高限价）</w:t>
            </w:r>
            <w:r/>
          </w:p>
        </w:tc>
      </w:tr>
      <w:tr>
        <w:trPr>
          <w:jc w:val="center"/>
          <w:trHeight w:val="12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00" w:lineRule="exact"/>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pacing w:line="300" w:lineRule="exact"/>
              <w:widowControl/>
              <w:rPr>
                <w:rFonts w:hint="eastAsia" w:ascii="宋体" w:hAnsi="宋体" w:cs="宋体"/>
              </w:rPr>
            </w:pPr>
            <w:r>
              <w:rPr>
                <w:rFonts w:hint="eastAsia" w:ascii="宋体" w:hAnsi="宋体" w:cs="宋体"/>
              </w:rPr>
              <w:t xml:space="preserve">学生公寓物业管理服务（紫薇苑、丹桂苑、樱花苑）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00" w:lineRule="exact"/>
              <w:widowControl/>
              <w:rPr>
                <w:rFonts w:hint="eastAsia" w:ascii="宋体" w:hAnsi="宋体" w:cs="宋体"/>
              </w:rPr>
            </w:pPr>
            <w:r>
              <w:rPr>
                <w:rFonts w:hint="eastAsia" w:ascii="宋体" w:hAnsi="宋体" w:cs="宋体"/>
              </w:rPr>
              <w:t xml:space="preserve">7栋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00" w:lineRule="exact"/>
              <w:widowControl/>
              <w:rPr>
                <w:rFonts w:hint="eastAsia" w:ascii="宋体" w:hAnsi="宋体" w:cs="宋体"/>
              </w:rPr>
            </w:pPr>
            <w:r>
              <w:rPr>
                <w:rFonts w:hint="eastAsia" w:ascii="宋体" w:hAnsi="宋体" w:cs="宋体"/>
              </w:rPr>
              <w:t xml:space="preserve">850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00" w:lineRule="exact"/>
              <w:widowControl/>
              <w:rPr>
                <w:rFonts w:hint="eastAsia" w:ascii="宋体" w:hAnsi="宋体" w:cs="宋体"/>
              </w:rPr>
            </w:pPr>
            <w:r>
              <w:rPr>
                <w:rFonts w:hint="eastAsia" w:ascii="宋体" w:hAnsi="宋体" w:cs="宋体"/>
              </w:rPr>
              <w:t xml:space="preserve">4956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00" w:lineRule="exact"/>
              <w:widowControl/>
              <w:rPr>
                <w:rFonts w:hint="eastAsia" w:ascii="宋体" w:hAnsi="宋体" w:cs="宋体"/>
              </w:rPr>
            </w:pPr>
            <w:r>
              <w:rPr>
                <w:rFonts w:hint="eastAsia" w:ascii="宋体" w:hAnsi="宋体" w:cs="宋体"/>
              </w:rPr>
              <w:t xml:space="preserve">紫薇/樱花苑：女生</w:t>
            </w:r>
            <w:r/>
          </w:p>
          <w:p>
            <w:pPr>
              <w:jc w:val="center"/>
              <w:spacing w:line="300" w:lineRule="exact"/>
              <w:widowControl/>
              <w:rPr>
                <w:rFonts w:hint="eastAsia" w:ascii="宋体" w:hAnsi="宋体" w:cs="宋体"/>
              </w:rPr>
            </w:pPr>
            <w:r>
              <w:rPr>
                <w:rFonts w:hint="eastAsia" w:ascii="宋体" w:hAnsi="宋体" w:cs="宋体"/>
              </w:rPr>
              <w:t xml:space="preserve">丹桂苑：男生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00" w:lineRule="exact"/>
              <w:widowControl/>
              <w:rPr>
                <w:rFonts w:ascii="宋体" w:hAnsi="宋体" w:cs="宋体"/>
              </w:rPr>
            </w:pPr>
            <w:r>
              <w:rPr>
                <w:rFonts w:ascii="宋体" w:hAnsi="宋体" w:cs="宋体"/>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00" w:lineRule="exact"/>
              <w:widowControl/>
              <w:rPr>
                <w:rFonts w:hint="eastAsia" w:ascii="宋体" w:hAnsi="宋体" w:cs="宋体"/>
                <w:sz w:val="28"/>
                <w:szCs w:val="28"/>
              </w:rPr>
            </w:pPr>
            <w:r>
              <w:rPr>
                <w:rFonts w:hint="eastAsia" w:ascii="宋体" w:hAnsi="宋体" w:cs="宋体"/>
                <w:sz w:val="28"/>
                <w:szCs w:val="28"/>
              </w:rPr>
              <w:t xml:space="preserve">227.65万元</w:t>
            </w:r>
            <w:r/>
          </w:p>
          <w:p>
            <w:pPr>
              <w:jc w:val="center"/>
              <w:spacing w:line="300" w:lineRule="exact"/>
              <w:widowControl/>
              <w:rPr>
                <w:rFonts w:hint="eastAsia"/>
              </w:rPr>
            </w:pPr>
            <w:r>
              <w:rPr>
                <w:rFonts w:hint="eastAsia" w:ascii="宋体" w:hAnsi="宋体" w:cs="宋体"/>
              </w:rPr>
              <w:t xml:space="preserve">2026年8月1日-2028年7月31日</w:t>
            </w:r>
            <w:r/>
          </w:p>
        </w:tc>
      </w:tr>
    </w:tbl>
    <w:p>
      <w:pPr>
        <w:pStyle w:val="837"/>
        <w:rPr>
          <w:rFonts w:hint="eastAsia" w:ascii="宋体" w:hAnsi="宋体" w:eastAsia="宋体" w:cs="宋体"/>
          <w:sz w:val="24"/>
          <w:szCs w:val="24"/>
        </w:rPr>
      </w:pPr>
      <w:r>
        <w:rPr>
          <w:rFonts w:hint="eastAsia" w:ascii="宋体" w:hAnsi="宋体" w:eastAsia="宋体" w:cs="宋体"/>
          <w:sz w:val="24"/>
          <w:szCs w:val="24"/>
        </w:rPr>
        <w:t xml:space="preserve">注：响应报价均不得超过预算金额及各项预算金额，否则作无效响应处理。</w:t>
      </w:r>
      <w:r/>
    </w:p>
    <w:p>
      <w:pPr>
        <w:spacing w:line="360" w:lineRule="auto"/>
        <w:rPr>
          <w:rFonts w:hint="eastAsia" w:ascii="宋体" w:hAnsi="宋体" w:cs="宋体"/>
          <w:sz w:val="24"/>
          <w:szCs w:val="24"/>
        </w:rPr>
      </w:pPr>
      <w:r>
        <w:rPr>
          <w:rFonts w:hint="eastAsia" w:ascii="宋体" w:hAnsi="宋体" w:cs="宋体"/>
          <w:sz w:val="24"/>
          <w:szCs w:val="24"/>
        </w:rPr>
        <w:t xml:space="preserve">（二）用工需求配置</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3232"/>
        <w:gridCol w:w="1531"/>
        <w:gridCol w:w="1100"/>
        <w:gridCol w:w="1145"/>
        <w:gridCol w:w="1206"/>
        <w:gridCol w:w="1206"/>
      </w:tblGrid>
      <w:tr>
        <w:trPr>
          <w:jc w:val="center"/>
          <w:trHeight w:val="778"/>
        </w:trPr>
        <w:tc>
          <w:tcPr>
            <w:tcBorders>
              <w:top w:val="single" w:color="000000" w:sz="4" w:space="0"/>
              <w:left w:val="single" w:color="000000" w:sz="4" w:space="0"/>
              <w:bottom w:val="single" w:color="000000" w:sz="4" w:space="0"/>
              <w:right w:val="single" w:color="000000" w:sz="4" w:space="0"/>
            </w:tcBorders>
            <w:tcW w:w="1714" w:type="pct"/>
            <w:vAlign w:val="center"/>
            <w:textDirection w:val="lrTb"/>
            <w:noWrap w:val="false"/>
          </w:tcPr>
          <w:p>
            <w:pPr>
              <w:pStyle w:val="838"/>
              <w:jc w:val="center"/>
              <w:spacing w:before="0" w:beforeAutospacing="0" w:after="0" w:afterAutospacing="0"/>
              <w:rPr>
                <w:b/>
              </w:rPr>
            </w:pPr>
            <w:r>
              <w:rPr>
                <w:b/>
              </w:rPr>
              <w:t xml:space="preserve">需求</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val="false"/>
          </w:tcPr>
          <w:p>
            <w:pPr>
              <w:pStyle w:val="838"/>
              <w:jc w:val="center"/>
              <w:spacing w:before="0" w:beforeAutospacing="0" w:after="0" w:afterAutospacing="0"/>
              <w:rPr>
                <w:rFonts w:hint="default"/>
                <w:b/>
              </w:rPr>
            </w:pPr>
            <w:r>
              <w:rPr>
                <w:b/>
              </w:rPr>
              <w:t xml:space="preserve">总用工数</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838"/>
              <w:jc w:val="center"/>
              <w:spacing w:before="0" w:beforeAutospacing="0" w:after="0" w:afterAutospacing="0"/>
              <w:rPr>
                <w:b/>
              </w:rPr>
            </w:pPr>
            <w:r>
              <w:rPr>
                <w:b/>
              </w:rPr>
              <w:t xml:space="preserve">站长（主任）</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pStyle w:val="838"/>
              <w:jc w:val="center"/>
              <w:spacing w:before="0" w:beforeAutospacing="0" w:after="0" w:afterAutospacing="0"/>
              <w:rPr>
                <w:b/>
              </w:rPr>
            </w:pPr>
            <w:r>
              <w:rPr>
                <w:b/>
              </w:rPr>
              <w:t xml:space="preserve">值班员</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pStyle w:val="838"/>
              <w:jc w:val="center"/>
              <w:spacing w:before="0" w:beforeAutospacing="0" w:after="0" w:afterAutospacing="0"/>
              <w:rPr>
                <w:b/>
              </w:rPr>
            </w:pPr>
            <w:r>
              <w:rPr>
                <w:b/>
              </w:rPr>
              <w:t xml:space="preserve">维修工</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pStyle w:val="838"/>
              <w:jc w:val="center"/>
              <w:spacing w:before="0" w:beforeAutospacing="0" w:after="0" w:afterAutospacing="0"/>
              <w:rPr>
                <w:b/>
              </w:rPr>
            </w:pPr>
            <w:r>
              <w:rPr>
                <w:b/>
              </w:rPr>
              <w:t xml:space="preserve">保洁员</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714" w:type="pct"/>
            <w:vAlign w:val="center"/>
            <w:textDirection w:val="lrTb"/>
            <w:noWrap w:val="false"/>
          </w:tcPr>
          <w:p>
            <w:pPr>
              <w:pStyle w:val="838"/>
              <w:jc w:val="center"/>
              <w:spacing w:before="0" w:beforeAutospacing="0" w:after="0" w:afterAutospacing="0"/>
              <w:rPr>
                <w:sz w:val="21"/>
                <w:szCs w:val="21"/>
              </w:rPr>
            </w:pPr>
            <w:r>
              <w:rPr>
                <w:sz w:val="21"/>
                <w:szCs w:val="21"/>
              </w:rPr>
              <w:t xml:space="preserve">公寓物业管理服务（紫薇苑、丹桂苑、樱花苑）</w:t>
            </w:r>
            <w:r/>
          </w:p>
        </w:tc>
        <w:tc>
          <w:tcPr>
            <w:tcBorders>
              <w:top w:val="single" w:color="000000" w:sz="4" w:space="0"/>
              <w:left w:val="single" w:color="000000" w:sz="4" w:space="0"/>
              <w:bottom w:val="single" w:color="000000" w:sz="4" w:space="0"/>
              <w:right w:val="single" w:color="auto" w:sz="4" w:space="0"/>
            </w:tcBorders>
            <w:tcW w:w="812" w:type="pct"/>
            <w:vAlign w:val="center"/>
            <w:textDirection w:val="lrTb"/>
            <w:noWrap w:val="false"/>
          </w:tcPr>
          <w:p>
            <w:pPr>
              <w:pStyle w:val="838"/>
              <w:jc w:val="center"/>
              <w:spacing w:before="0" w:beforeAutospacing="0" w:after="0" w:afterAutospacing="0"/>
              <w:rPr>
                <w:sz w:val="21"/>
                <w:szCs w:val="21"/>
              </w:rPr>
            </w:pPr>
            <w:r>
              <w:rPr>
                <w:sz w:val="21"/>
                <w:szCs w:val="21"/>
              </w:rPr>
              <w:t xml:space="preserve">27人</w:t>
            </w:r>
            <w:r/>
          </w:p>
        </w:tc>
        <w:tc>
          <w:tcPr>
            <w:tcBorders>
              <w:top w:val="single" w:color="000000" w:sz="4" w:space="0"/>
              <w:left w:val="single" w:color="auto" w:sz="4" w:space="0"/>
              <w:bottom w:val="single" w:color="000000" w:sz="4" w:space="0"/>
              <w:right w:val="single" w:color="auto" w:sz="4" w:space="0"/>
            </w:tcBorders>
            <w:tcW w:w="584" w:type="pct"/>
            <w:vAlign w:val="center"/>
            <w:textDirection w:val="lrTb"/>
            <w:noWrap w:val="false"/>
          </w:tcPr>
          <w:p>
            <w:pPr>
              <w:pStyle w:val="838"/>
              <w:jc w:val="center"/>
              <w:spacing w:before="0" w:beforeAutospacing="0" w:after="0" w:afterAutospacing="0"/>
              <w:rPr>
                <w:rFonts w:hint="default"/>
              </w:rPr>
            </w:pPr>
            <w:r>
              <w:rPr>
                <w:sz w:val="21"/>
                <w:szCs w:val="21"/>
              </w:rPr>
              <w:t xml:space="preserve">3</w:t>
            </w:r>
            <w:r/>
          </w:p>
        </w:tc>
        <w:tc>
          <w:tcPr>
            <w:tcBorders>
              <w:top w:val="single" w:color="000000" w:sz="4" w:space="0"/>
              <w:left w:val="single" w:color="auto" w:sz="4" w:space="0"/>
              <w:bottom w:val="single" w:color="000000" w:sz="4" w:space="0"/>
              <w:right w:val="single" w:color="auto" w:sz="4" w:space="0"/>
            </w:tcBorders>
            <w:tcW w:w="608" w:type="pct"/>
            <w:vAlign w:val="center"/>
            <w:textDirection w:val="lrTb"/>
            <w:noWrap w:val="false"/>
          </w:tcPr>
          <w:p>
            <w:pPr>
              <w:pStyle w:val="838"/>
              <w:jc w:val="center"/>
              <w:spacing w:before="0" w:beforeAutospacing="0" w:after="0" w:afterAutospacing="0"/>
            </w:pPr>
            <w:r>
              <w:t xml:space="preserve">18</w:t>
            </w:r>
            <w:r/>
          </w:p>
        </w:tc>
        <w:tc>
          <w:tcPr>
            <w:tcBorders>
              <w:top w:val="single" w:color="000000" w:sz="4" w:space="0"/>
              <w:left w:val="single" w:color="auto" w:sz="4" w:space="0"/>
              <w:bottom w:val="single" w:color="000000" w:sz="4" w:space="0"/>
              <w:right w:val="single" w:color="000000" w:sz="4" w:space="0"/>
            </w:tcBorders>
            <w:tcW w:w="640" w:type="pct"/>
            <w:vAlign w:val="center"/>
            <w:textDirection w:val="lrTb"/>
            <w:noWrap w:val="false"/>
          </w:tcPr>
          <w:p>
            <w:pPr>
              <w:pStyle w:val="838"/>
              <w:jc w:val="center"/>
              <w:spacing w:before="0" w:beforeAutospacing="0" w:after="0" w:afterAutospacing="0"/>
            </w:pPr>
            <w:r>
              <w:t xml:space="preserve">2</w:t>
            </w:r>
            <w:r/>
          </w:p>
        </w:tc>
        <w:tc>
          <w:tcPr>
            <w:tcBorders>
              <w:top w:val="single" w:color="000000" w:sz="4" w:space="0"/>
              <w:left w:val="single" w:color="auto" w:sz="4" w:space="0"/>
              <w:bottom w:val="single" w:color="000000" w:sz="4" w:space="0"/>
              <w:right w:val="single" w:color="000000" w:sz="4" w:space="0"/>
            </w:tcBorders>
            <w:tcW w:w="640" w:type="pct"/>
            <w:vAlign w:val="center"/>
            <w:textDirection w:val="lrTb"/>
            <w:noWrap w:val="false"/>
          </w:tcPr>
          <w:p>
            <w:pPr>
              <w:pStyle w:val="838"/>
              <w:jc w:val="center"/>
              <w:spacing w:before="0" w:beforeAutospacing="0" w:after="0" w:afterAutospacing="0"/>
            </w:pPr>
            <w:r>
              <w:t xml:space="preserve">4</w:t>
            </w:r>
            <w:r/>
          </w:p>
        </w:tc>
      </w:tr>
    </w:tbl>
    <w:p>
      <w:pPr>
        <w:spacing w:line="300" w:lineRule="exact"/>
        <w:widowControl/>
        <w:rPr>
          <w:rFonts w:hint="eastAsia" w:ascii="宋体" w:hAnsi="宋体" w:cs="宋体"/>
          <w:sz w:val="28"/>
          <w:szCs w:val="28"/>
        </w:rPr>
      </w:pPr>
      <w:r>
        <w:rPr>
          <w:rFonts w:hint="eastAsia" w:ascii="宋体" w:hAnsi="宋体" w:cs="宋体"/>
          <w:sz w:val="28"/>
          <w:szCs w:val="28"/>
        </w:rPr>
      </w:r>
      <w:r/>
    </w:p>
    <w:p>
      <w:pPr>
        <w:ind w:firstLine="560"/>
        <w:spacing w:line="460" w:lineRule="exact"/>
        <w:rPr>
          <w:rFonts w:hint="eastAsia" w:ascii="宋体" w:hAnsi="宋体" w:cs="宋体"/>
          <w:i/>
          <w:sz w:val="28"/>
          <w:szCs w:val="28"/>
          <w:u w:val="single"/>
        </w:rPr>
      </w:pPr>
      <w:r>
        <w:rPr>
          <w:rFonts w:hint="eastAsia" w:ascii="宋体" w:hAnsi="宋体" w:cs="宋体"/>
          <w:i/>
          <w:sz w:val="28"/>
          <w:szCs w:val="28"/>
          <w:u w:val="single"/>
        </w:rPr>
        <w:t xml:space="preserve">1.以上用工配置为最低配置要求，该项目必须配项目经理1人（不包含在用工人数）（即该物业公司南京区域负责人），其中紫薇苑、丹桂苑、樱花苑需配备站长3人，其他人员配置中维修人员2人、保洁员4人，值班员18人，总人数2</w:t>
      </w:r>
      <w:r>
        <w:rPr>
          <w:rFonts w:ascii="宋体" w:hAnsi="宋体" w:cs="宋体"/>
          <w:i/>
          <w:sz w:val="28"/>
          <w:szCs w:val="28"/>
          <w:u w:val="single"/>
        </w:rPr>
        <w:t xml:space="preserve">7</w:t>
      </w:r>
      <w:r>
        <w:rPr>
          <w:rFonts w:hint="eastAsia" w:ascii="宋体" w:hAnsi="宋体" w:cs="宋体"/>
          <w:i/>
          <w:sz w:val="28"/>
          <w:szCs w:val="28"/>
          <w:u w:val="single"/>
        </w:rPr>
        <w:t xml:space="preserve">人。须承诺如中标在签订合同后提供满足要求的用工人员配置信息，承诺函格式自拟，未提供承诺函的作无效响应处理。（人员工资不低于江苏省人社厅规定的采购人所在地最低工资标准，合同期间如遇最低工资标准调整，中标人必须按新调整后的最低工资标准执行，超出原工资标准的费用由中标人承担。）</w:t>
      </w:r>
      <w:r/>
    </w:p>
    <w:p>
      <w:pPr>
        <w:ind w:firstLine="422"/>
        <w:spacing w:line="360" w:lineRule="auto"/>
        <w:rPr>
          <w:rFonts w:ascii="宋体" w:hAnsi="宋体" w:cs="宋体"/>
          <w:sz w:val="24"/>
          <w:szCs w:val="24"/>
        </w:rPr>
      </w:pPr>
      <w:r>
        <w:rPr>
          <w:rFonts w:hint="eastAsia" w:ascii="宋体" w:hAnsi="宋体" w:cs="宋体"/>
          <w:sz w:val="24"/>
          <w:szCs w:val="24"/>
        </w:rPr>
        <w:t xml:space="preserve">（三）用工要求</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1.项目经理应具有本科（含）以上学历，且具备较高的管理素质和服务意识，具有高校公寓从业3年及以上经验；</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2.站长应具有大专（含）以上学历，</w:t>
      </w:r>
      <w:bookmarkStart w:id="161" w:name="_Hlk167803674"/>
      <w:r>
        <w:rPr>
          <w:rFonts w:hint="eastAsia" w:ascii="宋体" w:hAnsi="宋体" w:cs="宋体"/>
          <w:sz w:val="24"/>
          <w:szCs w:val="24"/>
        </w:rPr>
        <w:t xml:space="preserve">且具备较高政治思想素质和物业管理标准的能力，具有高校公寓从业3年及以上经验。能够熟练使用信息化系统，掌握与高职院校学生沟通的技能和技巧；掌握处置突发事件的处置能力，具备较高的服务意识</w:t>
      </w:r>
      <w:bookmarkEnd w:id="161"/>
      <w:r>
        <w:rPr>
          <w:rFonts w:hint="eastAsia" w:ascii="宋体" w:hAnsi="宋体" w:cs="宋体"/>
          <w:sz w:val="24"/>
          <w:szCs w:val="24"/>
        </w:rPr>
        <w:t xml:space="preserve">；</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3.值班员应具有高中（含）以上学历，</w:t>
      </w:r>
      <w:bookmarkStart w:id="162" w:name="_Hlk167803642"/>
      <w:r>
        <w:rPr>
          <w:rFonts w:hint="eastAsia" w:ascii="宋体" w:hAnsi="宋体" w:cs="宋体"/>
          <w:sz w:val="24"/>
          <w:szCs w:val="24"/>
        </w:rPr>
        <w:t xml:space="preserve">具备较高政治思想素质，能够熟练使用信息化系统，掌握与高职院校学生沟通的技能和技巧；掌握处置突发事件的处置能力，具备较高的服务意识</w:t>
      </w:r>
      <w:bookmarkEnd w:id="162"/>
      <w:r>
        <w:rPr>
          <w:rFonts w:hint="eastAsia" w:ascii="宋体" w:hAnsi="宋体" w:cs="宋体"/>
          <w:sz w:val="24"/>
          <w:szCs w:val="24"/>
        </w:rPr>
        <w:t xml:space="preserve">；</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4.维修人员应具备高低压电工作业证，能够熟悉公寓设施设备日常检修与维护；</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5.保洁员应具备初中（含）以上学历，具备吃苦耐劳的精神，确保责任片区干净整洁。</w:t>
      </w:r>
      <w:r/>
    </w:p>
    <w:p>
      <w:pPr>
        <w:ind w:firstLine="240"/>
        <w:spacing w:line="360" w:lineRule="auto"/>
        <w:rPr>
          <w:rFonts w:hint="eastAsia" w:ascii="宋体" w:hAnsi="宋体" w:cs="宋体"/>
          <w:sz w:val="24"/>
          <w:szCs w:val="24"/>
        </w:rPr>
      </w:pPr>
      <w:r>
        <w:rPr>
          <w:rFonts w:hint="eastAsia" w:ascii="宋体" w:hAnsi="宋体" w:cs="宋体"/>
          <w:sz w:val="24"/>
          <w:szCs w:val="24"/>
        </w:rPr>
        <w:t xml:space="preserve">（四）合同履行期限</w:t>
      </w:r>
      <w:r/>
    </w:p>
    <w:p>
      <w:pPr>
        <w:ind w:firstLine="422"/>
        <w:spacing w:line="360" w:lineRule="auto"/>
        <w:widowControl/>
        <w:rPr>
          <w:rFonts w:hint="eastAsia" w:ascii="宋体" w:hAnsi="宋体" w:cs="宋体"/>
          <w:color w:val="000000"/>
          <w:sz w:val="24"/>
          <w:szCs w:val="24"/>
        </w:rPr>
      </w:pPr>
      <w:r>
        <w:rPr>
          <w:rFonts w:hint="eastAsia" w:ascii="宋体" w:hAnsi="宋体" w:cs="宋体"/>
          <w:sz w:val="24"/>
          <w:szCs w:val="24"/>
        </w:rPr>
        <w:t xml:space="preserve">紫薇苑、丹桂苑、樱花苑项目服务期限最长可达二年（自合同签订起二年），服务合同每年签订一次，经过考核合格后签定下一年服务合同。</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二、委托管理服务要求及内容</w:t>
      </w:r>
      <w:r/>
    </w:p>
    <w:p>
      <w:pPr>
        <w:ind w:left="2" w:firstLine="422"/>
        <w:spacing w:line="360" w:lineRule="auto"/>
        <w:rPr>
          <w:rFonts w:hint="eastAsia" w:ascii="宋体" w:hAnsi="宋体" w:cs="宋体"/>
          <w:sz w:val="24"/>
          <w:szCs w:val="24"/>
        </w:rPr>
      </w:pPr>
      <w:r>
        <w:rPr>
          <w:rFonts w:hint="eastAsia" w:ascii="宋体" w:hAnsi="宋体" w:cs="宋体"/>
          <w:sz w:val="24"/>
          <w:szCs w:val="24"/>
        </w:rPr>
        <w:t xml:space="preserve">（一）管理体系与流程</w:t>
      </w:r>
      <w:r/>
    </w:p>
    <w:p>
      <w:pPr>
        <w:ind w:left="2" w:firstLine="422"/>
        <w:spacing w:line="360" w:lineRule="auto"/>
        <w:rPr>
          <w:rFonts w:hint="eastAsia" w:ascii="宋体" w:hAnsi="宋体" w:cs="宋体"/>
          <w:sz w:val="24"/>
          <w:szCs w:val="24"/>
        </w:rPr>
      </w:pPr>
      <w:r>
        <w:rPr>
          <w:rFonts w:hint="eastAsia" w:ascii="宋体" w:hAnsi="宋体" w:cs="宋体"/>
          <w:sz w:val="24"/>
          <w:szCs w:val="24"/>
        </w:rPr>
        <w:t xml:space="preserve">（1）全面负责公寓物业服务、保洁、安全和楼宇物业管理及物业周边环境的管理工作。</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（2）学生公寓实行封闭式管理，实施24小时管理员值班制度，师生进出凭证件，管理员必须认真核对证件，严格把关并随时巡查，异性学生和外单位人员不得进入公寓；每天做</w:t>
      </w:r>
      <w:r>
        <w:rPr>
          <w:rFonts w:hint="eastAsia" w:ascii="宋体" w:hAnsi="宋体" w:cs="宋体"/>
          <w:sz w:val="24"/>
          <w:szCs w:val="24"/>
        </w:rPr>
        <w:t xml:space="preserve">好值班和交接班记录，发现异常情况及时上报。确保日常管理的规范性和有序性。</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（3）按照我校学生公寓管理的标准和规范，建立和完善各类台账。</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（4）按照学校有关规定，主动配合学校开展学生公寓管理创新、服务创优工作。</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5）配合学校推进学生党团组织开展学生思想政治教育进公寓的工作；掌握学生的思想动态，并及时向有关部门和学生所在学院反映学生在公寓内的表现和动态。及时做好引导、教育工作，做到管理育人、服务育人。</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（6）制订学生公寓各类突发事件的处理预案，及时处理突发事件并迅速上报主管部门，确保学生人身和财产安全，公寓内无恶性治安案件发生。</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（二）环境卫生与安全保障</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（1）物业内每天清扫2次以上，并全天保持整洁，无结水、无垃圾、杂草；公寓楼门前车辆停放有序，无乱停、乱放现象。</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学生公寓走廊、楼梯、公共洗衣房、开水房等公共部位每天清扫2次以上，拖洗1次，并全天保持整洁。做到地面无积水、无污垢、无痰迹、无纸屑、无瓜皮果壳、无异味、无污垢；墙面保持整洁，无污迹、无乱悬挂、无乱张贴等现象。宿舍区垃圾桶无明显污渍、不过满，对垃圾进行分类处理后进行装袋，保证日产日清，清运过程中不得产生二次污染。每天垃圾清运至校垃圾中转站。</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（3）每学期末学生离校一周后，全面打扫宿舍内（含空调过滤网）、公共客厅、卫生间、洗浴室、门窗、水池区域卫生并消杀，疏通宿舍内各下水道，切断一切电源，做到清洁卫生、畅通无阻、安全防范。</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(4)开学前两周做好迎接开学的准备工作。公寓内外进行全面清洁和消毒工作，公寓内（水电供应、灯具、窗帘、床铺等）设施设备和消防器材进行全面检查。着力打造开学氛围，确保学生安全、舒适、温馨的住宿环境。</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（5)每天对学生寝室的内务进行1次检查并做好记录，每天巡视寝室2次以上，每周公布宿舍环境卫生成绩；有效制止学生在公寓内吸烟、酗酒；对宿舍环境卫生较差的宿舍做好教育工作，并帮助整改。</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(6)每日开展夜间巡查工作，巡查范围不少于两个单元或两层公寓，使用学校电子查寝对晚归、夜不归宿学生及时登记，并上报相关单位，做好各类突发事件的处理。 </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7）每周组织2次以上安全、消防检查，及时排除安全隐患，并做好相关记录；严禁任何人在公寓内使用明火，杜绝违章用电；组织开展消防安全学习，定期开展消防安全培训、消防安全演练和其他消防安全活动；做好消防器材维护保养，确保消防器材处于良好状态，消防通道畅通，公寓内无消防安全隐患。</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 (8)在物业内涉及安全的部位设立明显标志，保证师生在宿舍区内的活动安全。</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（三）设施设备管理与维护</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（1）负责公寓设施设备的维护和管理，确保设施设备正常使用。公寓公共财物齐全、无人为损坏。</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(2)负责物业内水电等设施维护，确保安全用水、用电。公共部位的照明和应急灯具必须每天巡查保证完好无缺；定期对水电设施、消防器材等公用设施进行检查、维护并做好记录。</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(3)建立严格的维修制度，配备专业维修人员，并建立报修档案；维修及时、快速，紧急维修响应不超过半小时，一般维修半个工作日内并且当天完成，确保学生学习、生活正常有序。</w:t>
      </w:r>
      <w:r/>
    </w:p>
    <w:p>
      <w:pPr>
        <w:ind w:firstLine="422"/>
        <w:spacing w:line="360" w:lineRule="auto"/>
        <w:rPr>
          <w:rFonts w:hint="eastAsia" w:ascii="宋体" w:hAnsi="宋体" w:cs="宋体"/>
          <w:i/>
          <w:sz w:val="28"/>
          <w:szCs w:val="28"/>
          <w:u w:val="single"/>
        </w:rPr>
      </w:pPr>
      <w:r>
        <w:rPr>
          <w:rFonts w:hint="eastAsia" w:ascii="宋体" w:hAnsi="宋体" w:cs="宋体"/>
          <w:i/>
          <w:sz w:val="28"/>
          <w:szCs w:val="28"/>
          <w:u w:val="single"/>
        </w:rPr>
        <w:t xml:space="preserve">（4)负责公寓管理区内单件500元以下（包括500元）的零星维修，包含一年2次清洗宿舍内空调过滤网。</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（5）设立并公布报修电话，及时维修，并达到质量标准；</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（四）宿舍管理团队建设</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（1）管理人员精神饱满，统一服装，规范整齐，有良好服务意识和态度。</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（2）宿舍文化氛围浓厚，学习气氛良好。设立宣传栏，注重管理和服务育人。</w:t>
      </w:r>
      <w:r/>
    </w:p>
    <w:p>
      <w:pPr>
        <w:ind w:left="2" w:firstLine="422"/>
        <w:spacing w:line="360" w:lineRule="auto"/>
        <w:rPr>
          <w:rFonts w:hint="eastAsia" w:ascii="宋体" w:hAnsi="宋体" w:cs="宋体"/>
          <w:sz w:val="24"/>
          <w:szCs w:val="24"/>
        </w:rPr>
      </w:pPr>
      <w:r>
        <w:rPr>
          <w:rFonts w:hint="eastAsia" w:ascii="宋体" w:hAnsi="宋体" w:cs="宋体"/>
          <w:sz w:val="24"/>
          <w:szCs w:val="24"/>
        </w:rPr>
        <w:t xml:space="preserve">（3）完成学院布置的任务，以及物业内相关的其它工作。</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（五）物业服务要求</w:t>
      </w:r>
      <w:r/>
    </w:p>
    <w:p>
      <w:pPr>
        <w:ind w:firstLine="560"/>
        <w:spacing w:line="360" w:lineRule="auto"/>
        <w:rPr>
          <w:rFonts w:hint="eastAsia" w:ascii="宋体" w:hAnsi="宋体" w:cs="宋体"/>
          <w:i/>
          <w:sz w:val="28"/>
          <w:szCs w:val="28"/>
          <w:u w:val="single"/>
        </w:rPr>
      </w:pPr>
      <w:r>
        <w:rPr>
          <w:rFonts w:hint="eastAsia" w:ascii="宋体" w:hAnsi="宋体" w:cs="宋体"/>
          <w:i/>
          <w:sz w:val="28"/>
          <w:szCs w:val="28"/>
          <w:u w:val="single"/>
        </w:rPr>
        <w:t xml:space="preserve">（1）物业服务须达到《江苏经贸职业技术学院学生公寓物业服务标准》的要求。</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2）物业服务日常根据《江苏经贸职业技术学院学生公寓物业量化考核体系》实施考核。每个合同期间，考核总分为300分，根据《江苏经贸职业技术学院学生公寓物业量化考核体系》扣减或加分。依据合同周期总分进行排名。</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（3）招标人保留根据管理需要修订《江苏经贸职业技术学院量化考核体系》的权利。</w:t>
      </w:r>
      <w:r/>
    </w:p>
    <w:p>
      <w:pPr>
        <w:ind w:firstLine="562"/>
        <w:spacing w:line="360" w:lineRule="auto"/>
        <w:rPr>
          <w:rFonts w:hint="eastAsia" w:ascii="宋体" w:hAnsi="宋体" w:cs="宋体"/>
          <w:b/>
          <w:sz w:val="24"/>
          <w:szCs w:val="24"/>
        </w:rPr>
      </w:pPr>
      <w:r>
        <w:rPr>
          <w:rFonts w:hint="eastAsia" w:ascii="宋体" w:hAnsi="宋体" w:cs="宋体"/>
          <w:b/>
          <w:sz w:val="24"/>
          <w:szCs w:val="24"/>
        </w:rPr>
        <w:t xml:space="preserve">三、其他内容</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（1）宿舍管理制度参照《江苏经贸职业技术学院学生公寓管理规定（修订）执行（见附件1）。</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（2）物业服务标准按照《江苏经贸职业技术学院学生公寓物业服务标准》执行（见附21）。</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(3)物业日常考核按照</w:t>
      </w:r>
      <w:bookmarkStart w:id="163" w:name="_Hlk165019501"/>
      <w:r>
        <w:rPr>
          <w:rFonts w:hint="eastAsia" w:ascii="宋体" w:hAnsi="宋体" w:cs="宋体"/>
          <w:sz w:val="24"/>
          <w:szCs w:val="24"/>
        </w:rPr>
        <w:t xml:space="preserve">《江苏经贸职业技术学院学生公寓物业量化考核体系》执行（见附件3）。</w:t>
      </w:r>
      <w:bookmarkEnd w:id="163"/>
      <w:r/>
    </w:p>
    <w:p>
      <w:pPr>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8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四、商务要求</w:t>
      </w:r>
      <w:r/>
    </w:p>
    <w:p>
      <w:pPr>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ind w:firstLine="560"/>
        <w:jc w:val="center"/>
        <w:spacing w:line="360" w:lineRule="auto"/>
        <w:rPr>
          <w:rFonts w:hint="eastAsia" w:hAnsi="宋体" w:cs="宋体"/>
          <w:b/>
          <w:sz w:val="24"/>
          <w:szCs w:val="24"/>
          <w:lang w:val="zh-CN"/>
        </w:rPr>
      </w:pPr>
      <w:r>
        <w:rPr>
          <w:rFonts w:hint="eastAsia" w:hAnsi="宋体" w:cs="宋体"/>
          <w:b/>
          <w:sz w:val="24"/>
          <w:szCs w:val="24"/>
          <w:lang w:val="zh-CN"/>
        </w:rPr>
      </w:r>
      <w:r/>
    </w:p>
    <w:p>
      <w:pPr>
        <w:ind w:firstLine="560"/>
        <w:spacing w:line="360" w:lineRule="auto"/>
        <w:rPr>
          <w:rFonts w:hint="eastAsia" w:hAnsi="宋体" w:cs="宋体"/>
          <w:b/>
          <w:sz w:val="24"/>
          <w:szCs w:val="24"/>
          <w:lang w:val="zh-CN"/>
        </w:rPr>
      </w:pPr>
      <w:r>
        <w:rPr>
          <w:rFonts w:hint="eastAsia" w:hAnsi="宋体" w:cs="宋体"/>
          <w:b/>
          <w:sz w:val="24"/>
          <w:szCs w:val="24"/>
          <w:lang w:val="zh-CN"/>
        </w:rPr>
        <w:t xml:space="preserve">一、付款方式</w:t>
      </w:r>
      <w:r/>
    </w:p>
    <w:p>
      <w:pPr>
        <w:pStyle w:val="839"/>
        <w:ind w:firstLine="560"/>
        <w:spacing w:line="520" w:lineRule="exact"/>
        <w:tabs>
          <w:tab w:val="right" w:pos="8953" w:leader="none"/>
        </w:tabs>
        <w:rPr>
          <w:rFonts w:hAnsi="宋体" w:cs="宋体"/>
          <w:color w:val="000000"/>
          <w:sz w:val="24"/>
          <w:szCs w:val="24"/>
        </w:rPr>
      </w:pPr>
      <w:r>
        <w:rPr>
          <w:rFonts w:hAnsi="宋体" w:cs="宋体"/>
          <w:color w:val="000000"/>
          <w:sz w:val="24"/>
          <w:szCs w:val="24"/>
        </w:rPr>
        <w:t xml:space="preserve">（1）合同款支付时间：按签订合同季度支付，最后一次物业费需根据合同年度考核结果进行一次性清算。</w:t>
      </w:r>
      <w:r/>
    </w:p>
    <w:p>
      <w:pPr>
        <w:pStyle w:val="839"/>
        <w:ind w:firstLine="560"/>
        <w:spacing w:line="520" w:lineRule="exact"/>
        <w:tabs>
          <w:tab w:val="right" w:pos="8953" w:leader="none"/>
        </w:tabs>
        <w:rPr>
          <w:rFonts w:hAnsi="宋体" w:cs="宋体"/>
          <w:color w:val="000000"/>
          <w:sz w:val="24"/>
          <w:szCs w:val="24"/>
        </w:rPr>
      </w:pPr>
      <w:r>
        <w:rPr>
          <w:rFonts w:hAnsi="宋体" w:cs="宋体"/>
          <w:color w:val="000000"/>
          <w:sz w:val="24"/>
          <w:szCs w:val="24"/>
        </w:rPr>
        <w:t xml:space="preserve">（2）合同款支付条件：季度考核分值达85分（含）以上为合格，按合同支付当季合同款，季度考核分值低于85分为不合格，如考核不合格，经整改后合格的，则不予扣款；如整改后仍不合格的，则扣除当季付款的10%，并不予退还。（若因财务封账等原因需要延后的，则延期支付，具体支付时间以财务部门开账时间为准，乙方应当予以充分理解。每季度应付款项于次月底前，由乙方提出书面付款申请，并提供合规的发票后，经甲方审核批准后十个工作日内，付清上季度应付款项，遇节假日顺延）。</w:t>
      </w:r>
      <w:r/>
    </w:p>
    <w:p>
      <w:pPr>
        <w:pStyle w:val="839"/>
        <w:ind w:firstLine="560"/>
        <w:spacing w:line="520" w:lineRule="exact"/>
        <w:tabs>
          <w:tab w:val="right" w:pos="8953" w:leader="none"/>
        </w:tabs>
        <w:rPr>
          <w:rFonts w:hAnsi="宋体" w:cs="宋体"/>
          <w:color w:val="000000"/>
          <w:sz w:val="24"/>
          <w:szCs w:val="24"/>
        </w:rPr>
      </w:pPr>
      <w:r>
        <w:rPr>
          <w:rFonts w:hAnsi="宋体" w:cs="宋体"/>
          <w:color w:val="000000"/>
          <w:sz w:val="24"/>
          <w:szCs w:val="24"/>
        </w:rPr>
        <w:t xml:space="preserve">（3）合同款支付方式：乙方开具等额合规的发票，由甲方汇款支付（因乙方开具的发票不合规造成甲方损失的，由乙方承担赔偿责任，甲方开票信息见合同签署页；乙方应当保证收款账户正确且有效，如因乙方收款账户异常、变动等原因，导致甲方汇款不能到账或逾期到账，不视为甲方违约，由此产生的损失由乙方自行承担）。</w:t>
      </w:r>
      <w:r/>
    </w:p>
    <w:p>
      <w:pPr>
        <w:pStyle w:val="839"/>
        <w:ind w:firstLine="560"/>
        <w:spacing w:line="520" w:lineRule="exact"/>
        <w:tabs>
          <w:tab w:val="right" w:pos="8953" w:leader="none"/>
        </w:tabs>
        <w:rPr>
          <w:rFonts w:hAnsi="宋体" w:cs="宋体"/>
          <w:color w:val="000000"/>
          <w:sz w:val="24"/>
          <w:szCs w:val="24"/>
        </w:rPr>
      </w:pPr>
      <w:r>
        <w:rPr>
          <w:rFonts w:hAnsi="宋体" w:cs="宋体"/>
          <w:color w:val="000000"/>
          <w:sz w:val="24"/>
          <w:szCs w:val="24"/>
        </w:rPr>
        <w:t xml:space="preserve">（4）合同款支付金额：合同共履行四季度。前三个季度，季度考核合格的，每次支付合同总额的25％，最后一次支付剩余合同款及考核费用。需保证履约结束无违约行为，若移交的设备等有损坏，从最后一次服务费中扣除相关维修费用后再行支付。若服务费不足以支付相关维修费用，从</w:t>
      </w:r>
      <w:bookmarkStart w:id="164" w:name="OLE_LINK1"/>
      <w:r>
        <w:rPr>
          <w:rFonts w:hAnsi="宋体" w:cs="宋体"/>
          <w:color w:val="000000"/>
          <w:sz w:val="24"/>
          <w:szCs w:val="24"/>
        </w:rPr>
        <w:t xml:space="preserve">履约保证金</w:t>
      </w:r>
      <w:bookmarkEnd w:id="164"/>
      <w:r>
        <w:rPr>
          <w:rFonts w:hAnsi="宋体" w:cs="宋体"/>
          <w:color w:val="000000"/>
          <w:sz w:val="24"/>
          <w:szCs w:val="24"/>
        </w:rPr>
        <w:t xml:space="preserve">中扣除不足部分的赔偿。</w:t>
      </w:r>
      <w:r/>
    </w:p>
    <w:p>
      <w:pPr>
        <w:pStyle w:val="839"/>
        <w:ind w:firstLine="562"/>
        <w:spacing w:line="520" w:lineRule="exact"/>
        <w:tabs>
          <w:tab w:val="right" w:pos="8953" w:leader="none"/>
        </w:tabs>
        <w:rPr>
          <w:rFonts w:hAnsi="宋体" w:cs="宋体"/>
          <w:b/>
          <w:i/>
          <w:sz w:val="28"/>
          <w:szCs w:val="28"/>
          <w:u w:val="single"/>
        </w:rPr>
      </w:pPr>
      <w:r>
        <w:rPr>
          <w:rFonts w:hAnsi="宋体" w:cs="宋体"/>
          <w:b/>
          <w:i/>
          <w:sz w:val="28"/>
          <w:szCs w:val="28"/>
          <w:u w:val="single"/>
        </w:rPr>
        <w:t xml:space="preserve">注：本项目在合同执行期间每年服务价款及合同总价款不变。</w:t>
      </w:r>
      <w:r/>
    </w:p>
    <w:p>
      <w:pPr>
        <w:pStyle w:val="839"/>
        <w:ind w:firstLine="562"/>
        <w:spacing w:line="520" w:lineRule="exact"/>
        <w:tabs>
          <w:tab w:val="right" w:pos="8953" w:leader="none"/>
        </w:tabs>
        <w:rPr>
          <w:rFonts w:hAnsi="宋体" w:cs="宋体"/>
          <w:b/>
          <w:sz w:val="24"/>
          <w:szCs w:val="24"/>
        </w:rPr>
      </w:pPr>
      <w:r>
        <w:rPr>
          <w:rFonts w:hAnsi="宋体" w:cs="宋体"/>
          <w:b/>
          <w:sz w:val="24"/>
          <w:szCs w:val="24"/>
        </w:rPr>
        <w:t xml:space="preserve">二、方案要求</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1.项目服务理念及整体实施方案</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须按照本招标文件和《江苏经贸职业技术学院学生公寓管理规定》，针对本项目的实际情况提出项目服务理念及整体实施策划方案，根据招标文件的相关要求及项目的特性，对本项目服务内容和项目进行总体分析，做好学生宿舍的管理服务、文明卫生、文化建设等综合育人工作。</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管理服务包括但不限于严格落实学生入住、调宿、退宿全流程规范管理，建立住宿台账，</w:t>
      </w:r>
      <w:r>
        <w:rPr>
          <w:rFonts w:hint="eastAsia" w:ascii="宋体" w:hAnsi="宋体" w:cs="宋体"/>
          <w:color w:val="000000"/>
          <w:sz w:val="24"/>
          <w:szCs w:val="24"/>
        </w:rPr>
        <w:t xml:space="preserve">规范手续办理。实行24小时楼栋值守与常态化安全巡查，严查违规电器、私拉电线、违规留宿等安全隐患，规范学生住宿秩序。建立设施日常巡检与快速报修运维机制，及时处置设备故障、突发问题，畅通学生诉求反馈渠道，提供便民暖心服务，筑牢公寓安全管理防线。</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文明卫生包括但不限于建立常态化保洁与消杀机制，对公寓楼道、大厅、公共卫浴等公共区域定时清扫、垃圾清运、重点消杀，全面清除卫生死角。常态化督导宿舍内务规范，引导学生自主整理、文明住宿。定期开展卫生检查与文明宿舍评比，劝导各类不文明行为，普及健康卫生知识，持续打造干净整洁、安全健康的住宿环境。</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文化建设包括但不限于立足文化育人，优化公寓宣传阵地，营造文明励志的住宿氛围。结合学期节点开展文明入住、安全教育、文明离校等主题活动，配合开展宿舍文化评比活动。积极培育优良宿舍学风风气，调解宿舍人际矛盾，落实人文关怀，塑造文明自律、团结友善的公寓风尚，实现物业服务与校园育人深度融合。</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2.项目管理规章制度及质量保证措施</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按工作需要制定切实可行的内部管理规章制度，科学合理的设置岗位，建立考核制度、明确奖惩措；加强工作人员的业务培训和管理，做好各个岗位员工的服务方案，建立好相关的工作台账，配备必要的工作设备，努力提高服务质量、工作效率和管理水平。</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考核制度包括但不限于建立标准化员工绩效考核体系，结合物业服务岗位职责、采购人管理要求，制定量化考核标准，涵盖日常值守、服务态度、卫生质量、安全巡查、问题处置、师生评价等核心指标。实行日巡查、周考评、月汇总的考核模式，全程记录员工履职情况。明确奖惩机制，对服务规范、履职到位、师生好评的员工予以表彰奖励；对脱岗怠工、服务不达标、造成管理隐患或师生投诉的人员，落实整改、绩效扣分及岗位调整等处罚，以考核倒逼服务质量提升。</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业务培训和管理制度包括但不限于结合项目岗位配置，科学设置管理、值守、保洁、维修等岗位，明确岗位职责、工作流程和服务标准。建立常态化内部管理制度，规范员工在岗履职、仪容仪表、服务礼仪和作业规范。定期开展全员业务培训，内容包含学校公寓管理规定、安全管控、应急处置、服务礼仪、作业技能等，持续提升员工专业能力和服务素养，统一服务标准，高效落实各项物业服务工作。</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工作台账及工作设备管理制度包括但不限于建立全品类工作台账体系，涵盖安全巡查、设施维保、报修处置、卫生消杀、考核考勤、问题整改等台账，做到事事有记录、闭环可追溯。落实工作设备专人管理制度，配齐保洁、维修、消杀、应急等必备工作设备，建立设备登记、使用、养护、检修台账，定期维护保养设备，保障设备完好可用，有效提升物业服务效率与规范化管理水平。</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质量保证措施包括但不限于建立全流程物业服务质量</w:t>
      </w:r>
      <w:r>
        <w:rPr>
          <w:rFonts w:hint="eastAsia" w:ascii="宋体" w:hAnsi="宋体" w:cs="宋体"/>
          <w:color w:val="000000"/>
          <w:sz w:val="24"/>
          <w:szCs w:val="24"/>
        </w:rPr>
        <w:t xml:space="preserve">保证体系，以标准化、常态化、闭环化管理严控服务品质。严格落实岗位作业标准，依托日常巡查、定期抽查、月度考核的质检机制，对公寓管理、卫生保洁、设施维保、文明服务等各项工作进行全面督查，及时发现服务短板并限期整改。建立完整工作台账记录制度，将巡查记录、问题整改、设备运维、师生反馈等内容统一归档，实现服务全过程可追溯、可核验。配齐各类作业与应急设备，落实专人保管、定期维保制度，保障服务硬件配套到位。同时结合师生评价、采购人抽检结果动态优化服务流程，持续整改提质，全方位保障物业服务质量、工作效率达到采购人招标标准。</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3.项目服务接管方案及合同到期时的交接方案</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为确保物业服务平稳过渡，服务商应做好服务启动及合同到期时的各项交接工作，制定详细的交接方案，明确交接时间、范围、步骤等关键内容。交接期间，须保障服务质量，妥善协调人员安排。交接过程应有序进行并做好记录，双方保持良好沟通，确保交接工作的连续性与平稳性。若因服务商原因未能按时完成交接，服务商应出具书面说明，因此产生的延迟交接时间及相关费用由服务商承担。</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交接期间人员协调包括但不限于制定平稳过渡交接机制，科学排布交接阶段人员岗位，合理配置管理、值守、保洁、维修等在岗人员，确保交接期间服务不缺位、标准不降低。全程坚守在岗值守制度，杜绝因人员变动出现服务断层、管理真空等问题。严格落实交接期间岗位职责，全员坚守工作标准，保障公寓日常管理、卫生保洁、安全巡查、设施运维等常规工作正常开展，全面保障过渡期物业服务平稳有序运行。</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交接台账管理包括但不限于建立规范化交接台账体系，明确交接时间、交接范围、工作步骤等关键内容。对设施设备台账、巡查记录、报修台账、物资物料、学生住宿资料、问题整改记录等逐项盘点登记、分类归档。全程做好交接记录，细化交接清单并由双方签字确认，实现交接内容可查、可溯、可核验。若因供应商原因造成交接延误，主动出具书面说明，自行承担延迟产生的全部费用及相关责任。</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交接期间沟通方案包括但不限于建立常态化双向沟通机制，安排专人对接采购人及对接单位，实时同步交接进度、反馈交接问题。主动对接各项工作衔接细节，及时协调解决交接过程中的各类隐患与分歧。全程保持高效、顺畅的沟通对接，严格按照既定流程有序推进交接工作，确保整体交接工作平稳闭环、无缝衔接，保障物业服务连续性与稳定性。</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4.公寓安全管理方案</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供应商根据招标文件中的学生宿舍日常安全管理相关要求，制定公寓安全管理方案，方案包含公寓日常安全管理、学生晚归及夜不归宿检查处理、安全设施巡视与维修、学生安全</w:t>
      </w:r>
      <w:r>
        <w:rPr>
          <w:rFonts w:hint="eastAsia" w:ascii="宋体" w:hAnsi="宋体" w:cs="宋体"/>
          <w:color w:val="000000"/>
          <w:sz w:val="24"/>
          <w:szCs w:val="24"/>
        </w:rPr>
        <w:t xml:space="preserve">意识培养、安全责任监督与落实；并建立突发事件反应预案，以便在突发事件发生时，能第一时间赶到现场，并井然有序地处理突发事件，在最大限度内控制事态的发展，制定托管区域内的学生公寓应急处理预案。</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常安全管理包括但不限于严格落实学生公寓常态化安全管控，常态化开展宿舍安全巡查，严查大功率违规电器、私拉乱接电线、易燃易爆物品等安全隐患。严格执行晚归、夜不归宿排查登记制度，每日做好人员核查、台账记录，发现违规情况及时劝导并上报学校。定期对消防器材、门窗锁具、水电设施等进行巡视检查，及时上报故障隐患。同时通过日常宣讲、温馨提示等方式，常态化开展学生安全教育，提升学生自我防护与安全自律意识，筑牢日常安全防线。</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安全责任监督与落实包括但不限于建立全员岗位安全责任制，明确各岗位安保、值守、运维人员安全职责，做到权责清晰、责任到人。实行每日自查、每周督查、月度汇总的安全监督机制，全程跟踪各项安全制度落地情况。建立安全工作台账，对隐患排查、问题整改、违规处置等情况全程记录、闭环管控。落实奖惩考核机制，将安全履职情况纳入员工月度考核，强化全员安全责任意识，杜绝履职松懈、管理缺位问题。</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突发事件反应预案包括但不限于建立完善公寓突发事件应急处置体系，针对火灾、漏水、设备故障、学生纠纷、突发意外等各类突发事件，制定标准化处置流程。实行24小时应急值守，突发事件发生后，工作人员第一时间抵达现场，快速开展现场管控、人员疏导、隐患处置工作，同步上报采购人管理部门。规范应急处置步骤，高效控制事态发展，做好善后对接与复盘整改，保障公寓整体安全稳定。</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5.环境卫生管理方案</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需要结合本项目实际情况，制定完善的环境卫生管理方案，做好学生宿舍内务卫生检查，每天通报每周覆盖和每月总结，公寓内外公共环境清扫、非机动车停放、毕业生、迎新房间清扫等内容。做好日常公共部位地面、墙面、楼梯、扶手、窗台等卫生工作，及时清理生活垃圾，做好消杀工作，提高学生对公共部位保洁服务工作的满意度。</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学生宿舍内务卫生检查管理包括但不限于建立宿舍内务常态化检查机制，落实每日抽查通报、每周全面覆盖、每月汇总总结的检查制度。重点核查宿舍地面、桌面、床铺收纳、物品摆放、卫浴整洁等内务情况，对卫生不合格宿舍现场督促整改，每日公示检查结果，压实学生自主保洁责任。针对迎新、毕业季专项场景，提前完成宿舍全面清扫、内务整理与卫生验收，保障新生入住、毕业生退宿环境卫生规范有序，持续提升宿舍内务整体风貌。</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公寓内外公共环境管理包括但不限于全面落实公寓公共区域保洁工作，每日对楼道、楼梯、扶手、窗台、墙面、大厅等公共部位进行清扫擦拭，及时清运生活垃圾，杜绝垃圾堆积、</w:t>
      </w:r>
      <w:r>
        <w:rPr>
          <w:rFonts w:hint="eastAsia" w:ascii="宋体" w:hAnsi="宋体" w:cs="宋体"/>
          <w:color w:val="000000"/>
          <w:sz w:val="24"/>
          <w:szCs w:val="24"/>
        </w:rPr>
        <w:t xml:space="preserve">卫生死角。规范公寓外围环境管控，重点整治非机动车乱停乱放问题，引导车辆有序停放，保持楼外环境整洁通畅。常态化开展公共区域卫生巡检，及时清理污渍、杂物，全方位保障公寓内外干净整洁、秩序规范，提升学生居住体验与服务满意度。</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消杀工作管理包括但不限于建立标准化、常态化消杀体系，制定专项消杀作业流程，定期对公寓楼道、卫浴、垃圾点位等重点区域开展消杀作业。做好消杀记录台账，明确消杀时间、区域、责任人，确保消杀工作规范落地。换季、节假日及特殊时段加密消杀频次，有效防范蚊虫滋生、病菌传播，持续净化公寓卫生环境，筑牢校园公共卫生安全防线。</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6.公寓文化建设及特色服务方案</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为提升学生公寓管理水平，供应商根据现有管理要求，从学生的特点、服务学生成长、满足学校育人需求的角度进行制定公寓文化建设及特色服务方案。</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公寓文化建设包括但不限于将公寓打造为沉浸式育人阵地。规范公寓公共空间文化布置，结合校风校训、文明礼仪、安全励志等主题更新宣传阵地，营造积极向上的住宿氛围。联动学校党建、学生工作，常态化开展公寓党建宣传、文明宿舍评比、学风建设等主题活动。深耕环境育人建设，结合公寓卫生整治、文明风尚培育，引导学生自律向善、团结互助，杜绝不良住宿风气。依托公寓阵地开展德育浸润教育，丰富公寓文化内涵，提升公寓整体文化品位，打造兼具整洁度、温度与深度的育人住宿环境。</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特色服务包括但不限于结合学生成长需求，优化公寓功能服务与人文服务体系。规范公共区域功能设置，为学生交流、自习、互助提供良好场地。增设心理健康暖心服务，配合学校开展学生情绪观察、人文关怀、宿舍矛盾调解，助力学生身心健康成长。同时建立学生诉求快速响应机制，精准对接学生生活、学习需求，以精细化、特色化服务赋能学生成长，全面适配学校多元化育人需求。</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7.新生接待、毕业生离校方案</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根据招标文件中新生接待（公寓迎新氛围营造、新生住宿床位安排、常见问题答疑解惑和帮困解难等）、毕业生离校（文明离校教育、相关物品清点、卫生保洁等）的相关要求，制定托管区域内的学生毕业文明离校、新生报到接待服务方案。</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新生接待包括但不限于提前统筹公寓迎新筹备工作，精心布置楼栋迎新氛围，打造整洁温馨的入住环境。提前核对新生住宿信息、规整床位布局，逐一检查宿舍设施、卫生状况，确保房间达标交付。迎新期间设置专属服务岗，安排专人引导新生入住，主动解答住宿手续、设施使用、校园生活等常见问题，精准对接学生困难诉求，提供帮拎行李、问题协调等暖心服务。同步宣讲公寓管理制度、安全须知，帮助新生快速适应校园住宿生活，高效完成迎新接待工作。</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毕业生离校包括但不限于开展文明离校宣传教育，引导毕业生遵守离校规定、文明有序搬迁。离校期间，逐间开展宿舍物品清点、设施核查工作，核对公物完好情况，做好登记存档。同步开展宿舍全方位卫生保洁、垃圾清运，彻底清理卫生死角，完成宿舍复原整理，为后续迎新工作做好铺垫。全程规范流程、耐心服务，及时协调解决离校各类问题，保障毕业生离校工作平稳、有序、高效开展。</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8.设施设备维修服务方案（包含公共设施设备管护）</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参照招标文件中具体要求制定设施设备维护和维修方案，负责物业内设施维护，确保安全用水、用电。公共部位的照明和应急灯具必须每天巡查保证完好无缺；定期对进行检查、维护并做好记录。建立严格的维修制度，配备专业维修人员，并建立报修档案；负责公寓管理区内单件500元以下（包括500元）的零星维修；维修及时、快速，紧急维修响应不超过半小时，一般维修半个工作日内并且当天完成，确保学生学习、生活正常有序。</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设施设备维护方案包括但不限于建立公寓设施常态化管护机制，全面负责托管区域水电、照明、应急灯具、宿舍配套及公共设施日常管护。落实每日巡查制度，重点检查公共部位照明、应急灯具，确保设备完好可用、应急功能正常。定期对给排水、供电线路、楼栋公共设施开展全面排查与保养，全程做好巡检、维保台账记录，实现全过程可追溯管理。通过常态化预防性维护，及时排查设备隐患，保障公寓安全用水、用电，有效降低设施故障发生率，保障学生日常学习生活秩序稳定。</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设施设备维修方案包括但不限于配备专业维修人员，建立标准化维修管理制度与完整报修档案，专项负责500元及以下零星维修工作。严格执行时效服务标准。畅通学生报修渠道，做到接单及时、处置规范、完工核验，全程登记归档。坚持快速处置、保质维修原则，及时解决各类设施故障，持续提升维修服务质量与效率，保障公寓设施设备稳定、安全运行。</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9.档案管理制度</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供应商应提供物业档案资料管理制度，物业档案资料管理制度科学合理，建立、收集、保存等流程健全、规范，有具体完善档案移交步骤。</w:t>
      </w:r>
      <w:r/>
    </w:p>
    <w:p>
      <w:pPr>
        <w:ind w:firstLine="422"/>
        <w:spacing w:line="360" w:lineRule="auto"/>
        <w:rPr>
          <w:rFonts w:hint="eastAsia" w:ascii="宋体" w:hAnsi="宋体" w:cs="宋体"/>
          <w:sz w:val="24"/>
          <w:szCs w:val="24"/>
        </w:rPr>
      </w:pPr>
      <w:r>
        <w:rPr>
          <w:rFonts w:hint="eastAsia" w:ascii="宋体" w:hAnsi="宋体" w:cs="宋体"/>
          <w:color w:val="000000"/>
          <w:sz w:val="24"/>
          <w:szCs w:val="24"/>
        </w:rPr>
        <w:t xml:space="preserve">物业档案资料建立、收集管理包括但不限于搭建规范化、系统化的公寓物业档案管理体系，结合项目物业服务内容，分类建立设施维保、安全巡查、卫生消杀、报修处置、人员考核、公寓管理、工作交接等全套专项档案，统一档案建立标准与分类规范。安排专人负</w:t>
      </w:r>
      <w:r>
        <w:rPr>
          <w:rFonts w:hint="eastAsia" w:ascii="宋体" w:hAnsi="宋体" w:cs="宋体"/>
          <w:sz w:val="24"/>
          <w:szCs w:val="24"/>
        </w:rPr>
        <w:t xml:space="preserve">责常态化档案归集工作，每日收集、整理各类工作台账、检查记录、整改资料、服务报表等资料，严格审核资料真实性、完整性与规范性，动态更新档案内容，确保物业服务各项工作全程留痕、有据可查、闭环可溯，实现档案管理标准化、常态化。</w:t>
      </w:r>
      <w:r/>
    </w:p>
    <w:p>
      <w:pPr>
        <w:ind w:firstLine="422"/>
        <w:spacing w:line="360" w:lineRule="auto"/>
        <w:rPr>
          <w:rFonts w:hint="eastAsia" w:ascii="宋体" w:hAnsi="宋体" w:cs="宋体"/>
          <w:color w:val="ff0000"/>
          <w:sz w:val="24"/>
          <w:szCs w:val="24"/>
        </w:rPr>
      </w:pPr>
      <w:r>
        <w:rPr>
          <w:rFonts w:hint="eastAsia" w:ascii="宋体" w:hAnsi="宋体" w:cs="宋体"/>
          <w:sz w:val="24"/>
          <w:szCs w:val="24"/>
        </w:rPr>
        <w:t xml:space="preserve">物业档案资料保存、移交步骤包括但不限于实行纸质、电子档案双线留存、专人保管制度，设置专用档案存放区域，落实防潮、防火、防尘、防盗防护措施。建立档案定期盘点、更新机制，严格执行档案查阅、借阅审批权限，杜绝档案丢失、篡改、外泄问题，保障档案安全长效留存。项目交接或合同到期时，严格执行标准化档案移交流程，全面梳理、分类整理所有档案资料，编制详细移交清单，经双方逐项核验、签字确认后完成全套档案移交，全程留存交接记录，确保资料完整、交接无缝、服务延续。</w:t>
      </w:r>
      <w:r/>
    </w:p>
    <w:p>
      <w:pPr>
        <w:ind w:firstLine="422"/>
        <w:spacing w:line="360" w:lineRule="auto"/>
        <w:rPr>
          <w:rFonts w:hint="eastAsia" w:hAnsi="宋体" w:cs="宋体"/>
          <w:b/>
          <w:sz w:val="24"/>
          <w:szCs w:val="24"/>
        </w:rPr>
      </w:pPr>
      <w:r>
        <w:rPr>
          <w:rFonts w:hint="eastAsia" w:hAnsi="宋体" w:cs="宋体"/>
          <w:b/>
          <w:sz w:val="24"/>
          <w:szCs w:val="24"/>
        </w:rPr>
        <w:t xml:space="preserve">三、履约能力</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1.供应商拟派驻项目经理（无需驻场）本项目的项目经理具有本科（含）以上学历。为给学生公寓提供全方位管理服务工作，第一时间妥善处理可能发生的突发纠纷事件，</w:t>
      </w:r>
      <w:r>
        <w:rPr>
          <w:rFonts w:hint="eastAsia" w:ascii="宋体" w:hAnsi="宋体" w:cs="宋体"/>
          <w:color w:val="000000"/>
          <w:sz w:val="24"/>
          <w:szCs w:val="24"/>
        </w:rPr>
        <w:t xml:space="preserve">同时具有从业3年及以上类似项目管理经验</w:t>
      </w:r>
      <w:r>
        <w:rPr>
          <w:rFonts w:hint="eastAsia" w:ascii="宋体" w:hAnsi="宋体" w:cs="宋体"/>
          <w:sz w:val="24"/>
          <w:szCs w:val="24"/>
        </w:rPr>
        <w:t xml:space="preserve">。</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2．供应商拟派驻本项目的站长应具有大专（含）以上学历。具有从业3年及以上类似项目管理经验。</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3．供应商承诺拟派驻本项目的所有值班员均应具有高中（含）以上学历，并在签订合同时提供人员学历证明材料。同时拟派驻本项目的值班员有被所服务业主单位通报表彰过。</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4．供应商拟派驻本项目的维修人员应具备高压电工作业证。</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 供应商承诺拟派驻本项目的所有保洁员均应具备初中（含）以上学历，并在签订合同时提供人员学历证明材料。</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 供应商提供自 2023年1月1日以来（以合同签订时间为准）管理的类似物业项目案例。</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7.供应商提供自 2023年1月1日以来（以合同签订时间为准）管理的不同单位的类似物业项目案例并获得服务方考核评价为优或优秀或满意的。</w:t>
      </w:r>
      <w:r/>
    </w:p>
    <w:p>
      <w:pPr>
        <w:ind w:firstLine="42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8.供应商拟投入本项目的的物业管理软件或物业管理信息化系统，须具备业主/客户管理、报修管理、费用查询等物业管理基本功能。。</w:t>
      </w:r>
      <w:r/>
    </w:p>
    <w:p>
      <w:pPr>
        <w:ind w:firstLine="422"/>
        <w:spacing w:line="360" w:lineRule="auto"/>
        <w:rPr>
          <w:rFonts w:hint="eastAsia" w:ascii="宋体" w:hAnsi="宋体" w:cs="宋体"/>
          <w:i/>
          <w:sz w:val="28"/>
          <w:szCs w:val="28"/>
          <w:u w:val="single"/>
        </w:rPr>
      </w:pPr>
      <w:r>
        <w:rPr>
          <w:rFonts w:hint="eastAsia" w:ascii="宋体" w:hAnsi="宋体" w:cs="宋体"/>
          <w:i/>
          <w:color w:val="000000"/>
          <w:sz w:val="28"/>
          <w:szCs w:val="28"/>
          <w:u w:val="single"/>
        </w:rPr>
        <w:t xml:space="preserve">9.投标人承诺成交后</w:t>
      </w:r>
      <w:r>
        <w:rPr>
          <w:rFonts w:hint="eastAsia" w:ascii="宋体" w:hAnsi="宋体" w:cs="宋体"/>
          <w:i/>
          <w:sz w:val="28"/>
          <w:szCs w:val="28"/>
          <w:u w:val="single"/>
        </w:rPr>
        <w:t xml:space="preserve">购买雇主责任险和公众责任险等商业险，保险条款中明确投标人在从物业服务过程中，造成第三方人身伤亡或财产损失或其他安全事故，投标人负责处理及赔偿事宜。（需提供承诺函并加盖公章，格式自拟）</w:t>
      </w:r>
      <w:r/>
    </w:p>
    <w:p>
      <w:pPr>
        <w:ind w:firstLine="482"/>
        <w:spacing w:line="240" w:lineRule="atLeast"/>
        <w:rPr>
          <w:rFonts w:hint="eastAsia" w:ascii="宋体" w:hAnsi="宋体"/>
          <w:b/>
          <w:sz w:val="24"/>
          <w:szCs w:val="24"/>
        </w:rPr>
      </w:pPr>
      <w:r>
        <w:rPr>
          <w:rFonts w:hint="eastAsia" w:ascii="宋体" w:hAnsi="宋体"/>
          <w:b/>
          <w:sz w:val="24"/>
          <w:szCs w:val="24"/>
        </w:rPr>
        <w:t xml:space="preserve">四、考核方式</w:t>
      </w:r>
      <w:r/>
    </w:p>
    <w:p>
      <w:pPr>
        <w:ind w:firstLine="240"/>
        <w:spacing w:line="360" w:lineRule="auto"/>
        <w:rPr>
          <w:rFonts w:hint="eastAsia" w:ascii="宋体" w:hAnsi="宋体" w:cs="宋体"/>
          <w:sz w:val="24"/>
          <w:szCs w:val="24"/>
        </w:rPr>
      </w:pPr>
      <w:r>
        <w:rPr>
          <w:rFonts w:hint="eastAsia" w:ascii="宋体" w:hAnsi="宋体" w:cs="宋体"/>
          <w:sz w:val="24"/>
          <w:szCs w:val="24"/>
        </w:rPr>
        <w:t xml:space="preserve">（一）考核办法</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考核由采购人主管部门对中标人随机进行，采取日常考核与满意度调查（包括问卷调查、线下访谈等方式）相结合的形式。具体考核要求详见《江苏经贸职业技术学院学生公寓物业量化考核体系》。</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（二）考核分值计算与结果运用</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1、考核分数：季度考核采用物业日常考核与满意度测评相结合的方式，其中日常考核占70%，满意度调查占30%，采用百分制计分。</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2、依据上述办法得出的季度考核得分，作为支付合同款项及实施奖惩的依据。</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3、满意度测评表满分为100分，取所有项目得分的平均值。</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4、季度考核得分达到85分（含）以上为合格，按合同正常支付该季度款项；季度考核得分低于85分为不合格。若考核不合格，经整改后合格的，不予扣款；若整改后仍不合格的，则扣除该季度应付金额的10%，且不予退还（相关保证金）。一年内，如累计有两个季度的考核得分均低于85分，采购人有权立即终止合同。终止合同当季的服务费按实际服务天数结算，并依据考核得分扣除相应款项。</w:t>
      </w:r>
      <w:r/>
    </w:p>
    <w:p>
      <w:pPr>
        <w:ind w:firstLine="422"/>
        <w:spacing w:line="360" w:lineRule="auto"/>
        <w:rPr>
          <w:rFonts w:hint="eastAsia" w:ascii="宋体" w:hAnsi="宋体" w:cs="宋体"/>
          <w:sz w:val="24"/>
          <w:szCs w:val="24"/>
        </w:rPr>
      </w:pPr>
      <w:r>
        <w:rPr>
          <w:rFonts w:hint="eastAsia" w:ascii="宋体" w:hAnsi="宋体" w:cs="宋体"/>
          <w:sz w:val="24"/>
          <w:szCs w:val="24"/>
        </w:rPr>
        <w:t xml:space="preserve">5、各季度考核得分的平均值作为年度考核结果。若年度考核结果低于85分，采购人有权提前终止合同。</w:t>
      </w:r>
      <w:r/>
    </w:p>
    <w:p>
      <w:pPr>
        <w:spacing w:line="400" w:lineRule="exact"/>
        <w:rPr>
          <w:rFonts w:ascii="宋体" w:hAnsi="宋体"/>
          <w:color w:val="000000"/>
          <w:sz w:val="28"/>
          <w:szCs w:val="28"/>
        </w:rPr>
      </w:pPr>
      <w:r>
        <w:rPr>
          <w:rFonts w:ascii="宋体" w:hAnsi="宋体"/>
          <w:color w:val="000000"/>
          <w:sz w:val="28"/>
          <w:szCs w:val="28"/>
        </w:rPr>
      </w:r>
      <w:r/>
    </w:p>
    <w:p>
      <w:pPr>
        <w:pStyle w:val="8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五、其他要求</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1.项目属性:服务类项目。</w:t>
      </w:r>
      <w:r/>
    </w:p>
    <w:p>
      <w:pPr>
        <w:ind w:firstLine="560"/>
        <w:spacing w:line="400" w:lineRule="exact"/>
        <w:rPr>
          <w:rFonts w:hint="eastAsia" w:ascii="方正仿宋_GBK" w:hAnsi="方正仿宋_GBK" w:eastAsia="方正仿宋_GBK" w:cs="方正仿宋_GBK"/>
          <w:bCs/>
          <w:color w:val="000000"/>
          <w:sz w:val="28"/>
          <w:szCs w:val="28"/>
        </w:rPr>
      </w:pPr>
      <w:r/>
      <w:bookmarkStart w:id="165" w:name="_Toc120614281"/>
      <w:r>
        <w:rPr>
          <w:rFonts w:hint="eastAsia" w:ascii="方正仿宋_GBK" w:hAnsi="方正仿宋_GBK" w:eastAsia="方正仿宋_GBK" w:cs="方正仿宋_GBK"/>
          <w:bCs/>
          <w:color w:val="000000"/>
          <w:sz w:val="28"/>
          <w:szCs w:val="28"/>
        </w:rPr>
        <w:t xml:space="preserve">2.进口产品参与投标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1485"/>
        <w:gridCol w:w="6030"/>
      </w:tblGrid>
      <w:tr>
        <w:trPr/>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Borders>
              <w:top w:val="single" w:color="000000" w:sz="4" w:space="0"/>
              <w:left w:val="single" w:color="000000" w:sz="4" w:space="0"/>
              <w:bottom w:val="single" w:color="000000" w:sz="4" w:space="0"/>
              <w:right w:val="single" w:color="000000" w:sz="4" w:space="0"/>
            </w:tcBorders>
            <w:tcW w:w="603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是否接受进口产品参与投标</w:t>
            </w:r>
            <w:r/>
          </w:p>
          <w:p>
            <w:pPr>
              <w:jc w:val="center"/>
              <w:rPr>
                <w:rFonts w:hint="eastAsia" w:ascii="宋体" w:hAnsi="宋体"/>
                <w:sz w:val="24"/>
                <w:szCs w:val="24"/>
              </w:rPr>
            </w:pPr>
            <w:r>
              <w:rPr>
                <w:rFonts w:hint="eastAsia" w:ascii="宋体" w:hAnsi="宋体"/>
                <w:sz w:val="24"/>
                <w:szCs w:val="24"/>
              </w:rPr>
              <w:t xml:space="preserve">（是/否）</w:t>
            </w:r>
            <w:r/>
          </w:p>
        </w:tc>
      </w:tr>
      <w:tr>
        <w:trPr>
          <w:trHeight w:val="524"/>
        </w:trPr>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03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否</w:t>
            </w:r>
            <w:r/>
          </w:p>
        </w:tc>
      </w:tr>
    </w:tbl>
    <w:p>
      <w:pPr>
        <w:pStyle w:val="791"/>
        <w:rPr>
          <w:rFonts w:hint="eastAsia" w:ascii="黑体" w:eastAsia="黑体"/>
          <w:bCs/>
          <w:sz w:val="44"/>
        </w:rPr>
      </w:pPr>
      <w:r>
        <w:rPr>
          <w:rFonts w:hint="eastAsia" w:ascii="黑体" w:eastAsia="黑体"/>
          <w:bCs/>
          <w:sz w:val="44"/>
        </w:rPr>
      </w:r>
      <w:r/>
    </w:p>
    <w:p>
      <w:pPr>
        <w:jc w:val="left"/>
        <w:rPr>
          <w:rFonts w:ascii="宋体" w:hAnsi="宋体" w:cs="宋体"/>
          <w:b/>
          <w:bCs/>
          <w:sz w:val="30"/>
          <w:szCs w:val="30"/>
        </w:rPr>
      </w:pPr>
      <w:r>
        <w:rPr>
          <w:rFonts w:hint="eastAsia" w:ascii="宋体" w:hAnsi="宋体" w:cs="宋体"/>
          <w:b/>
          <w:bCs/>
          <w:sz w:val="30"/>
          <w:szCs w:val="30"/>
        </w:rPr>
        <w:br w:type="page" w:clear="all"/>
      </w:r>
      <w:r>
        <w:rPr>
          <w:rFonts w:hint="eastAsia" w:ascii="宋体" w:hAnsi="宋体" w:cs="宋体"/>
          <w:b/>
          <w:bCs/>
          <w:sz w:val="30"/>
          <w:szCs w:val="30"/>
        </w:rPr>
        <w:t xml:space="preserve">附件1</w:t>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江苏经贸职业技术学院学生公寓管理规定 （修订）</w:t>
      </w:r>
      <w:r/>
    </w:p>
    <w:p>
      <w:pPr>
        <w:numPr>
          <w:ilvl w:val="0"/>
          <w:numId w:val="1"/>
        </w:numPr>
        <w:jc w:val="center"/>
        <w:spacing w:line="360" w:lineRule="auto"/>
        <w:rPr>
          <w:rFonts w:hint="eastAsia" w:ascii="宋体" w:hAnsi="宋体" w:cs="宋体"/>
          <w:b/>
          <w:sz w:val="28"/>
          <w:szCs w:val="28"/>
        </w:rPr>
      </w:pPr>
      <w:r>
        <w:rPr>
          <w:rFonts w:hint="eastAsia" w:ascii="宋体" w:hAnsi="宋体" w:cs="宋体"/>
          <w:b/>
          <w:color w:val="000000"/>
          <w:sz w:val="28"/>
          <w:szCs w:val="28"/>
        </w:rPr>
        <w:t xml:space="preserve">总则</w:t>
      </w:r>
      <w:r/>
    </w:p>
    <w:p>
      <w:pPr>
        <w:numPr>
          <w:ilvl w:val="0"/>
          <w:numId w:val="2"/>
        </w:num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为贯彻落实《普通高等学校学生管理规定》（教育部 2017 年 41 号令）和《江苏经贸职业技术学院学生管理规定》（经贸院〔2018〕11 号）文件精神，进一步加强学生公寓管理，提高公寓服务质量，促进育人环境建设，结合我校实际，特指定本办法。 </w:t>
      </w:r>
      <w:r/>
    </w:p>
    <w:p>
      <w:pPr>
        <w:numPr>
          <w:ilvl w:val="0"/>
          <w:numId w:val="2"/>
        </w:num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本办法适用于我院全日制普通高校学历教育在籍在校学生、借读生、交换生、专接本学生、外国留学生等入住学生公寓的各类学生群体。 </w:t>
      </w:r>
      <w:r/>
    </w:p>
    <w:p>
      <w:pPr>
        <w:numPr>
          <w:ilvl w:val="0"/>
          <w:numId w:val="1"/>
        </w:numPr>
        <w:jc w:val="center"/>
        <w:spacing w:before="240" w:line="360" w:lineRule="auto"/>
        <w:rPr>
          <w:rFonts w:hint="eastAsia" w:ascii="宋体" w:hAnsi="宋体" w:cs="宋体"/>
          <w:b/>
          <w:color w:val="000000"/>
          <w:sz w:val="28"/>
          <w:szCs w:val="28"/>
        </w:rPr>
      </w:pPr>
      <w:r>
        <w:rPr>
          <w:rFonts w:hint="eastAsia" w:ascii="宋体" w:hAnsi="宋体" w:cs="宋体"/>
          <w:b/>
          <w:color w:val="000000"/>
          <w:sz w:val="28"/>
          <w:szCs w:val="28"/>
        </w:rPr>
        <w:t xml:space="preserve">日常管理</w:t>
      </w:r>
      <w:r/>
    </w:p>
    <w:p>
      <w:pPr>
        <w:numPr>
          <w:ilvl w:val="0"/>
          <w:numId w:val="2"/>
        </w:num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学生工作处是学生公寓管理与服务的职能部门。 </w:t>
      </w:r>
      <w:r/>
    </w:p>
    <w:p>
      <w:pPr>
        <w:numPr>
          <w:ilvl w:val="0"/>
          <w:numId w:val="2"/>
        </w:num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学生入住宿舍、调整床位须个人申请，院系审核，并须由学生工作处审批同意后方可入住或调整。 </w:t>
      </w:r>
      <w:r/>
    </w:p>
    <w:p>
      <w:pPr>
        <w:numPr>
          <w:ilvl w:val="0"/>
          <w:numId w:val="2"/>
        </w:num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入住管理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1.新生入学时，应根据个人所选床位或者现场指定的宿舍 和床位履行入住手续；</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2.在办理入住时，须提交近期照片一张，并如实填写个人资料，由公寓管理站建立学生住宿档案；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3.入住时，学生须按照物业管理公司的有关规定，缴纳押金；</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4.原则上校外人员不得入住学生公寓。如相关部门因工作需要，确需安排校外人员入住学生公寓，由部门提交申请报告，经过分管院领导审批同意后，报学生工作处备案。由学生工作处在条件允许的情况下酌情安排； </w:t>
      </w:r>
      <w:r/>
    </w:p>
    <w:p>
      <w:p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5.原则上寒暑假期间不安排学生住宿。如确需住宿，须按照要求，由本人或留校部门提出申请，经过院系审核，报学生工作处审批后，方可留校住宿。申请人或申请部门须提供必要 的支撑材料，并负责留校住宿学生的管理。 </w:t>
      </w:r>
      <w:r/>
    </w:p>
    <w:p>
      <w:pPr>
        <w:numPr>
          <w:ilvl w:val="0"/>
          <w:numId w:val="2"/>
        </w:num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调宿管理</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 1.因学习和生活确需调整宿舍和床位的学生，应履行申请手续，经院系审核和学生工作处审批后，方可进行调整。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2.学生调整宿舍时，应保证原宿舍的各类家具、设施设备的完好。如发生人为损毁，须由学生本人修复或赔偿。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3.公寓管理员应负责核验原宿舍各类实施设备的完好性。 </w:t>
      </w:r>
      <w:r/>
    </w:p>
    <w:p>
      <w:p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4.调宿时如果发生住宿费标准变更，由财务处按照标准进行清算。 </w:t>
      </w:r>
      <w:r/>
    </w:p>
    <w:p>
      <w:pPr>
        <w:numPr>
          <w:ilvl w:val="0"/>
          <w:numId w:val="2"/>
        </w:num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退宿管理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1.学生因毕业、休学、退学时，须主动办理退宿手续，并 在规定的时间节点内清空个人物品。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2.学生在读期间因走读等原因办理退宿时，须经过个人申请，经院系审核和学生工作处审批后，方可搬离宿舍。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3.办理退宿时，学生本人应主动到公寓管理站登记退宿。 经公寓管理员核验公寓资产</w:t>
      </w:r>
      <w:r>
        <w:rPr>
          <w:rFonts w:hint="eastAsia" w:ascii="宋体" w:hAnsi="宋体" w:cs="宋体"/>
          <w:color w:val="000000"/>
          <w:sz w:val="24"/>
          <w:szCs w:val="24"/>
        </w:rPr>
        <w:t xml:space="preserve">的完好性后，退还押金和钥匙，并在规定的时限内清空个人物品。如原宿舍设施设备发生人为损毁，须由学生本人修复或赔偿。 </w:t>
      </w:r>
      <w:r/>
    </w:p>
    <w:p>
      <w:p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4.退宿后，由财务处按照规定清退住宿费。 </w:t>
      </w:r>
      <w:r/>
    </w:p>
    <w:p>
      <w:pPr>
        <w:numPr>
          <w:ilvl w:val="0"/>
          <w:numId w:val="2"/>
        </w:num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物业管理 </w:t>
      </w:r>
      <w:r/>
    </w:p>
    <w:p>
      <w:p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学生公寓物业管理由第三方物业公司负责。住宿学生须遵守本办法相关管理要求，配合物业公司做好日常管理工作。第三方物业公司日常管理应遵守《江苏经贸职业技术学院学生公 寓物业管理标准（2017 年版）》要求。学生工作处按照《江苏经贸职业技术学院学生公寓物业管理量化考核体系》进行日常监管。 </w:t>
      </w:r>
      <w:r/>
    </w:p>
    <w:p>
      <w:pPr>
        <w:numPr>
          <w:ilvl w:val="0"/>
          <w:numId w:val="2"/>
        </w:num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公寓物业管理员岗位职责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1.认真遵守《江苏经贸职业技术学院学生公寓物业管理标 准（2017 年版）》，并自觉按照《江苏经贸职业技术学院学生公寓物业管理量化考核体系》接受学生工作处和师生的监督，协助学生工作处和二级院系共同做好公寓工作；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2.按照标准做好入住管理、退宿管理、调宿管理和物业管理等日常管理工作； </w:t>
      </w:r>
      <w:r/>
    </w:p>
    <w:p>
      <w:pPr>
        <w:ind w:firstLine="42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3.重点做好公寓内学生考勤工作，做到“一日三查、即查即报”。同时，根据院系反馈最好登记和核销工作；抓好常态化安全管理工作，严禁学生携带违禁物品（包括违章电器、管制刀具、枪械、毒品等）。发现此类现象，及时阻止，并通报 院系和保卫处协同做好管理工作； </w:t>
      </w:r>
      <w:r/>
    </w:p>
    <w:p>
      <w:pPr>
        <w:ind w:firstLine="42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4.积极和妥善处置各类突发事件，并按照制定的预案内容第一时间上报相关职能部门和二级院系，先行制止或采取相应 的应急措施；  </w:t>
      </w:r>
      <w:r/>
    </w:p>
    <w:p>
      <w:pPr>
        <w:ind w:firstLine="42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5.关心和爱护学生，对学生提出的疑问要耐心解释，不准推诿，禁止与学生发生冲突或不文明的言行举止； </w:t>
      </w:r>
      <w:r/>
    </w:p>
    <w:p>
      <w:pPr>
        <w:ind w:firstLine="42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6.根据所管理的学生特点，自主开展公寓文化活动； </w:t>
      </w:r>
      <w:r/>
    </w:p>
    <w:p>
      <w:pPr>
        <w:ind w:firstLine="42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7.完成学校和管理部门交办的其它工作。 </w:t>
      </w:r>
      <w:r/>
    </w:p>
    <w:p>
      <w:pPr>
        <w:numPr>
          <w:ilvl w:val="0"/>
          <w:numId w:val="1"/>
        </w:numPr>
        <w:jc w:val="center"/>
        <w:spacing w:before="240" w:line="360" w:lineRule="auto"/>
        <w:rPr>
          <w:rFonts w:hint="eastAsia" w:ascii="宋体" w:hAnsi="宋体" w:cs="宋体"/>
          <w:b/>
          <w:color w:val="000000"/>
          <w:sz w:val="28"/>
          <w:szCs w:val="28"/>
        </w:rPr>
      </w:pPr>
      <w:r>
        <w:rPr>
          <w:rFonts w:hint="eastAsia" w:ascii="宋体" w:hAnsi="宋体" w:cs="宋体"/>
          <w:b/>
          <w:color w:val="000000"/>
          <w:sz w:val="28"/>
          <w:szCs w:val="28"/>
        </w:rPr>
        <w:t xml:space="preserve">常规管理</w:t>
      </w:r>
      <w:r/>
    </w:p>
    <w:p>
      <w:pPr>
        <w:numPr>
          <w:ilvl w:val="0"/>
          <w:numId w:val="2"/>
        </w:num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作息管理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1.公寓实行封闭式管理，学生只能在规定的时间内出入宿舍。宿舍开放的时间为 06：00-23：00 之间，23：00-次日 06：00 之间实行封闭管理。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2.迟于当日 23：00 进入宿舍为晚归，须在学生公寓管理站履行登记手续后，方可入内；当日24：00 之后仍未归，则视为夜不归宿。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3.学生必须严格遵守公寓的作息时间，宿舍大门的上锁时间是：每晚 23：00。凡超过关门时间回宿舍的，实名登记方可进入公寓，并一律按晚归论处；超过关门时间外出的，须实名 登记身份和外出原因，否则不准许外出。 </w:t>
      </w:r>
      <w:r/>
    </w:p>
    <w:p>
      <w:pPr>
        <w:numPr>
          <w:ilvl w:val="0"/>
          <w:numId w:val="2"/>
        </w:num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水电管理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1.学生公寓水电实行定额免费供应，超过定额由学生本人自行购买。水电定额按照《高等学校社会化学生公寓收费管理暂行办法》（苏价费[2002]369 号苏财综[2002]162 号）执 行。学生免费用电额度分两学期下达到相应宿舍。</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2.学生在公寓内仅允许使用功率小于800瓦的电器，不得使用违章电器。违章电器指</w:t>
      </w:r>
      <w:r>
        <w:rPr>
          <w:rFonts w:hint="eastAsia" w:ascii="宋体" w:hAnsi="宋体" w:cs="宋体"/>
          <w:color w:val="000000"/>
          <w:sz w:val="24"/>
          <w:szCs w:val="24"/>
        </w:rPr>
        <w:t xml:space="preserve">功率超过 800 瓦（含）的电冰箱、 电烤箱、电炒锅、电取暖器、电熨斗、电热毯、热得快等电 器。如使用违章电器，公寓管理员有权没收且不予归还，同时依据情节由学生工作处给与纪律处分。</w:t>
      </w:r>
      <w:r/>
    </w:p>
    <w:p>
      <w:p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3.学生应注意用电安全。在公寓内禁止私拉电线、另接灯头；禁止私接电源及其它偷电行为；禁止从宿舍内接线到室外用电；严禁在公寓内使用劣质电器，移动电源、台灯等要从正 规渠道购买；电器通电状态下，应有人在场，并与易燃物保持 必要的安全距离；人员离开寝室时，应切断电器电源。 </w:t>
      </w:r>
      <w:r/>
    </w:p>
    <w:p>
      <w:pPr>
        <w:numPr>
          <w:ilvl w:val="0"/>
          <w:numId w:val="2"/>
        </w:num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网络管理</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1.公寓内互联网开放时间：周一至周四、周日为 07：00- 23：00；周五至周六为 06：00-24：00。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2.学生应规范使用互联网，不得私自接入网络专线，禁止破坏网络设施设备。 </w:t>
      </w:r>
      <w:r/>
    </w:p>
    <w:p>
      <w:pPr>
        <w:numPr>
          <w:ilvl w:val="0"/>
          <w:numId w:val="2"/>
        </w:num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考勤管理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1.学生入住期间，由学生公寓物业管理单位负责考勤。公 寓管理员须在当日考勤结束后将考勤结果通过电话等方式告知 学生所在院系和辅导员，由学生所在院系和辅导员负责跟踪和反馈。</w:t>
      </w:r>
      <w:r/>
    </w:p>
    <w:p>
      <w:p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2.学生公寓管理员必须每天坚持考勤。若采取抽查方式，应采用随机方式且在一周内抽查的寝室要覆盖100%宿舍；若技术条件成熟时，采用人脸识别考勤方式，则每天根据人脸识别考勤结果进行普查，覆盖100%未归学生。 </w:t>
      </w:r>
      <w:r/>
    </w:p>
    <w:p>
      <w:pPr>
        <w:numPr>
          <w:ilvl w:val="0"/>
          <w:numId w:val="2"/>
        </w:num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设施设备管理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学生入住前，须检查宿舍内相关设施设备（含家具）完好性。住宿期间，住宿人员应使用和管理好相关设施设备。如发生非人为损坏，可在公寓管理站内进行报修登记，由管理站免费维修、更换或上报学生工作处进行处置；如果发生人为损坏或丢失，由学生本人赔偿，同时依据情节给予行政纪律处分。 </w:t>
      </w:r>
      <w:r/>
    </w:p>
    <w:p>
      <w:p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2.学生在住宿期间，不得擅自挪动、拆卸、改装公寓家具设备和其它设施设备，否则依据情节给予行政纪律处分。 </w:t>
      </w:r>
      <w:r/>
    </w:p>
    <w:p>
      <w:pPr>
        <w:numPr>
          <w:ilvl w:val="0"/>
          <w:numId w:val="2"/>
        </w:num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行为管理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学生在公寓内严禁出现以下行为，违者将依据情节给与相应行政纪律处分：</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1.严禁在公寓内打麻将、赌博、酗酒、抽烟、吸毒等违纪和违法行为；</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2.严禁在公寓内开展排球、篮球、足球等体育活动；</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3.严禁在公寓内高声弹奏乐器、制造噪音、喧哗起哄；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4.严禁在公寓内留宿异性、亲属以及校外人员；</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5.严禁在公寓墙面上涂画或损毁墙面的行为，严禁在公寓内发放、投递和张贴未经授权的海报或宣传品；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6.严禁在公寓内使用吊床、吊椅等；</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7.严禁在公寓内饲养或安置猫、狗、鼠类、鸟类、乌龟等 小动物；</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8.严禁从高空泼水及抛洒杂物，以及在公寓内随意丢弃垃 圾、杂物；</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9.严禁辱骂和殴打公寓管理人员；</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10.严禁向公寓内蹲坑、地漏等管道中丢弃杂物；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11.严禁在公共厅室内堆积杂物和垃圾；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12.严禁在公寓内售卖药品或其它商品；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13.严禁私自调换、出租宿舍或床位，严禁未经授权在校外住宿；</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14.严禁在宿舍内放置有毒、易燃及易爆等违禁物品；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15.严禁翻爬围墙、栏杆进入宿舍区，严禁破坏围墙、栏 杆、防爬丝、考勤和监控等设备；</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16.严禁在宿舍内吸烟、严禁在公寓内乱丢烟头；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17.严禁不文明使用电脑及在熄灯后超时使用电脑并造成不良影响；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18.严禁在公寓内成立非法组织或未经批准擅自组织游行、集会、示威等活动； </w:t>
      </w:r>
      <w:r/>
    </w:p>
    <w:p>
      <w:p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19.严禁在公寓内打架斗殴。 </w:t>
      </w:r>
      <w:r/>
    </w:p>
    <w:p>
      <w:pPr>
        <w:numPr>
          <w:ilvl w:val="0"/>
          <w:numId w:val="2"/>
        </w:num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卫生管理</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 1.宿舍内（含客厅、阳台、盥洗室、卫生间等公共区域） 卫生由学生负责。各二级院系应指定一名宿舍长，负责组织本 宿舍学生每天清扫宿舍内卫生；套间应安排值班表，各宿舍在 保持各自宿舍内卫生的同时轮流对套间公共区域进行打扫。公 寓管理员负责监督，并每天进行卫生检查和结果反馈。各二级 院系应每周对宿舍进行抽查、每月开展一次宿舍大扫除活动、每学期开展一次文明宿舍评选活动。</w:t>
      </w:r>
      <w:r/>
    </w:p>
    <w:p>
      <w:p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2.学生寝室卫生应达到如下标准:（1）宿舍地面干净，无垃圾、废品堆放；（2）床面平整，被褥等床上用品叠放整齐、标准一致；（3）桌凳</w:t>
      </w:r>
      <w:r>
        <w:rPr>
          <w:rFonts w:hint="eastAsia" w:ascii="宋体" w:hAnsi="宋体" w:cs="宋体"/>
          <w:color w:val="000000"/>
          <w:sz w:val="24"/>
          <w:szCs w:val="24"/>
        </w:rPr>
        <w:t xml:space="preserve">清洁，桌面、桌内、床下物品摆放整齐；（4）阳台整洁，窗台清洁，无杂物堆放，窗玻璃干净， 窗纱无破损，鞋架内物品摆放整齐。（5）洗漱用品、暖瓶摆放整齐美观、标准一致；（6）门及门上玻璃干净，无尘土、灰网等；（7）灯具干净明亮，无尘土、灰网等；（8）墙壁干净、无灰网，不随意张贴海报，衣、帽等物 品挂放整齐、美观；（9）室内装饰整体布局整齐、美观、健康、文明；（10）客厅整洁，不堆放杂物、废品和垃圾，客厅家具整洁、无破损；（11）盥洗室、卫生间无臭、无蚊蝇滋生、无乱写乱画乱贴、无积水，蹲坑定期清洁消毒，无污垢。 </w:t>
      </w:r>
      <w:r/>
    </w:p>
    <w:p>
      <w:pPr>
        <w:numPr>
          <w:ilvl w:val="0"/>
          <w:numId w:val="1"/>
        </w:numPr>
        <w:jc w:val="center"/>
        <w:spacing w:before="240" w:line="360" w:lineRule="auto"/>
        <w:rPr>
          <w:rFonts w:hint="eastAsia" w:ascii="宋体" w:hAnsi="宋体" w:cs="宋体"/>
          <w:b/>
          <w:color w:val="000000"/>
          <w:sz w:val="28"/>
          <w:szCs w:val="28"/>
        </w:rPr>
      </w:pPr>
      <w:r>
        <w:rPr>
          <w:rFonts w:hint="eastAsia" w:ascii="宋体" w:hAnsi="宋体" w:cs="宋体"/>
          <w:b/>
          <w:color w:val="000000"/>
          <w:sz w:val="28"/>
          <w:szCs w:val="28"/>
        </w:rPr>
        <w:t xml:space="preserve">违纪管理</w:t>
      </w:r>
      <w:r/>
    </w:p>
    <w:p>
      <w:pPr>
        <w:numPr>
          <w:ilvl w:val="0"/>
          <w:numId w:val="2"/>
        </w:num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学生公寓内发生打架斗殴、盗窃等违纪违法事件，由学校依据《江苏经贸职业技术学院学生违纪处理规定》 （经贸院〔2018〕12号）对当事人进行处理。 </w:t>
      </w:r>
      <w:r/>
    </w:p>
    <w:p>
      <w:pPr>
        <w:numPr>
          <w:ilvl w:val="0"/>
          <w:numId w:val="2"/>
        </w:num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学生在公寓内发生以下情形时，依据情节给与纪律处分。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1.学生不得私自将自己的床位转让或出租给其他人，一经 查处，将给予严重警告及以上处分。</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2.未经批准擅自在校外居住的，给予警告处分；在校外居 住违反有关规定，给学校造成不良影响的，给予记过或留校察看处分。</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3.未经批准擅自入住、调换床位或宿舍，经教育不改的，给予警告处分；调整宿舍时如发现家具、设施设备等丢失或人 为破坏的情况，除了给予警告处分外还将进行赔偿；当事人没有主动承认错误，且宿舍成员有互相包庇的情况，损失将由宿 舍全体人员共同负担其经济赔偿，并每人给予警告及以上处分。</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4.擅自在学校宿舍内留宿外人给予警告或严重警告处分，造成不良后果的给予记过或</w:t>
      </w:r>
      <w:r>
        <w:rPr>
          <w:rFonts w:hint="eastAsia" w:ascii="宋体" w:hAnsi="宋体" w:cs="宋体"/>
          <w:color w:val="000000"/>
          <w:sz w:val="24"/>
          <w:szCs w:val="24"/>
        </w:rPr>
        <w:t xml:space="preserve">留校察看处分；留宿异性，给予记过或留校察看处分。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5.校内异性学生未经许可进入公寓内，一经查处，将给予记过及以上处分。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6.协助、掩护、包庇未经许可的校外人员进入公寓内，校外人员移交学校保卫处和公安机关处理，还将视情节给予实施 协助、掩护、包庇的我校学生记过及以上处分。</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7.凡超过关门时间回宿舍的，实名登记方可进入公寓，并一律按晚归论处，每学期超过三次（含）晚归，将取消该生申请奖助学金资格，并对违纪学生视情节给予警告及以上处分。超过关门时间外出的，须实名登记身份和外出原因，否则不准 许外出。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8.严禁爬墙、爬栏杆、故意逃避人脸识别考勤等行为，一 经查处，将给予警告及以上处分；破坏围墙、栏杆、防爬丝、人脸识别考勤等设施设备的行为，将给予记过及以上处分并照价赔偿。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9.凡未经家长和学校同意，通宵在外活动者，将视情节给予警告及以上处分。每学期超过三次（含）夜不归宿，将取消该生申请奖助学金资格，对违纪学生视情节给予警告及以上处分。情节严重者，可给予开除学籍处分。</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10.凡弄虚作假或干扰、阻碍、殴打宿舍管理人员履行职 责者，将给予严重警告及以上处分。</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11.在公寓内存放有毒、易燃及易爆物品等，包括鞭炮、烟火、氢气球或化学试剂等，将视情节给予警告及以上处分。 如造成重大人身财产事故，还将依法追究刑事责任。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12.在公寓内墙面上涂画或损毁墙面，发放、投递和张贴具有营销性质的海报或广告单页，违者须清理干净，并将受到警告及以上处分。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13.严禁在公寓内从事贩卖、销售活动（包括线上推销活 动），一经查处，将给予警告及以上处分；严禁在公寓内囤积 任何用于在公寓内销售的商品、物品或宣传材料，违者须在规定时限内处理全部物品。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14.本宿舍钥匙须妥善保管，不准转借他人，钥匙丢失必须向管理人员汇报，不准擅自配置或冒领他人宿舍钥匙。凡发现非本宿舍人员持有本宿舍钥匙时，将追究钥匙流失人员的一切责任。</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15.在公寓内赌博、吸毒者，参照《江苏经贸职业技术学院学生违纪处理规定》第四章第三十八条给予相应处分；在公寓内酗酒滋事者，给予警告处分，造成严重后果的，给予留校 察看处分。</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16.在公寓内开展排球、篮球、足球等体育活动、高声弹 奏乐器、制造噪音、喧哗起哄者，将给予警告处分。</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17.在公寓内使用吊床、吊椅等，经教育不改的，给予警 告处分。</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18.在公寓内饲养或安置猫、狗、鼠类、鸟类、乌龟等小动物，将给予警告及以上处分。</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19.在公寓内从高空泼水及抛洒杂物，以及在公寓内随意 丢弃垃圾、杂物；在公共厅室内堆积杂物和垃圾；向公寓内蹲坑、地漏等管道中丢弃杂物，将视情节给予警告及以上处分。</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20.在宿舍内吸烟或随意丢弃烟头的，将视情节给予警告及以上处分，并承担所造成全部不良后果。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21.在公寓内不文明使用电脑及在熄灯后超时使用电脑并 造成不良影响者，将给予警</w:t>
      </w:r>
      <w:r>
        <w:rPr>
          <w:rFonts w:hint="eastAsia" w:ascii="宋体" w:hAnsi="宋体" w:cs="宋体"/>
          <w:color w:val="000000"/>
          <w:sz w:val="24"/>
          <w:szCs w:val="24"/>
        </w:rPr>
        <w:t xml:space="preserve">告处分。 </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22.每学期超过三次（含）卫生检查不合格宿舍（低于 60 分），将取消该宿舍全部学生申请奖助学金资格，如在规定的 期限内整改不到位，还将给予宿舍全部学生警告处分。</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23.不按时缴纳水电费者视情况给予警告及以上处分，直至取消用电（水）资格。</w:t>
      </w:r>
      <w:r/>
    </w:p>
    <w:p>
      <w:p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24.在公寓内违章使用电</w:t>
      </w:r>
      <w:r/>
    </w:p>
    <w:p>
      <w:pPr>
        <w:numPr>
          <w:ilvl w:val="0"/>
          <w:numId w:val="2"/>
        </w:num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-器的，除没收违章电器外，还将给予持有人和使用人警告处分；造成严重后果的，给予留校察看处分。在公寓内私拉乱接电线、另接灯头、私接电源及偷电者，将视情节给予警告及以上处分。 </w:t>
      </w:r>
      <w:r/>
    </w:p>
    <w:p>
      <w:pPr>
        <w:numPr>
          <w:ilvl w:val="0"/>
          <w:numId w:val="1"/>
        </w:numPr>
        <w:jc w:val="center"/>
        <w:spacing w:before="240" w:line="360" w:lineRule="auto"/>
        <w:rPr>
          <w:rFonts w:hint="eastAsia" w:ascii="宋体" w:hAnsi="宋体" w:cs="宋体"/>
          <w:b/>
          <w:color w:val="000000"/>
          <w:sz w:val="28"/>
          <w:szCs w:val="28"/>
        </w:rPr>
      </w:pPr>
      <w:r>
        <w:rPr>
          <w:rFonts w:hint="eastAsia" w:ascii="宋体" w:hAnsi="宋体" w:cs="宋体"/>
          <w:b/>
          <w:color w:val="000000"/>
          <w:sz w:val="28"/>
          <w:szCs w:val="28"/>
        </w:rPr>
        <w:t xml:space="preserve">其他</w:t>
      </w:r>
      <w:r/>
    </w:p>
    <w:p>
      <w:pPr>
        <w:numPr>
          <w:ilvl w:val="0"/>
          <w:numId w:val="2"/>
        </w:num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二级院系在学生公寓管理工作中的义务。</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1.各二级院系要通过新生入学教育、主题班会等形式，加 强公寓管理制度的宣传和教育。</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2.各二级院系要每周对宿舍进行抽查，定期开展文明宿舍 的创建活动，营造浓厚公寓文化氛围。</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3.各二级院系要积极响应公寓管理员每日考勤结果，并第 一时间进行处置和反馈；</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4.各二级院系每月不定期开展学生公寓考勤抽查工作；</w:t>
      </w:r>
      <w:r/>
    </w:p>
    <w:p>
      <w:pPr>
        <w:ind w:firstLine="56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5.各二级院系应第一时间响应公寓管理员反馈的各类突发事件，依规及时处理处置违纪违法学生，与学生工作处和公寓管理站保持良好的信息沟通，形成三方协同管理的工作机制。 </w:t>
      </w:r>
      <w:r/>
    </w:p>
    <w:p>
      <w:pPr>
        <w:numPr>
          <w:ilvl w:val="0"/>
          <w:numId w:val="2"/>
        </w:num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学生公寓自律管理委员会（简称自管会），它是由学生工作处指导的学生参与公寓宿舍管理的校级学生组织，主要职能包括在学生工作处和公寓管理站的指导下，对宿舍卫生、纪律、安全等方面的检查工作，同时组织和开展形式多样的公寓文化活动，为学生提供必要的帮助。</w:t>
      </w:r>
      <w:r/>
    </w:p>
    <w:p>
      <w:pPr>
        <w:numPr>
          <w:ilvl w:val="0"/>
          <w:numId w:val="2"/>
        </w:num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 每间宿舍选举宿舍长一名，须依据宿舍长工作职责对本宿舍的纪律、安全、卫生等事务负责；每栋宿舍楼层（单元）设置楼层（单元）长一名，对宿舍长的工作进行督导同时开展宿舍文化和党团建设等活动。宿舍长和楼层（单元）长还同时要协助宿管员和自管会开展相关工作。 </w:t>
      </w:r>
      <w:r/>
    </w:p>
    <w:p>
      <w:pPr>
        <w:numPr>
          <w:ilvl w:val="0"/>
          <w:numId w:val="2"/>
        </w:numPr>
        <w:ind w:firstLine="560"/>
        <w:spacing w:line="380" w:lineRule="exact"/>
        <w:rPr>
          <w:rFonts w:hint="eastAsia" w:ascii="宋体" w:hAnsi="宋体" w:cs="宋体"/>
          <w:sz w:val="24"/>
          <w:szCs w:val="24"/>
        </w:rPr>
      </w:pPr>
      <w:r>
        <w:rPr>
          <w:rFonts w:hint="eastAsia" w:ascii="宋体" w:hAnsi="宋体" w:cs="宋体"/>
          <w:color w:val="000000"/>
          <w:sz w:val="24"/>
          <w:szCs w:val="24"/>
        </w:rPr>
        <w:t xml:space="preserve">本规定从颁布之日起执行。</w:t>
      </w:r>
      <w:r/>
    </w:p>
    <w:p>
      <w:pPr>
        <w:pStyle w:val="840"/>
        <w:rPr>
          <w:rFonts w:hint="eastAsia" w:hAnsi="宋体" w:cs="宋体"/>
          <w:b/>
          <w:sz w:val="24"/>
          <w:szCs w:val="24"/>
          <w:highlight w:val="cyan"/>
        </w:rPr>
      </w:pPr>
      <w:r>
        <w:rPr>
          <w:rFonts w:hint="eastAsia" w:hAnsi="宋体" w:cs="宋体"/>
          <w:b/>
          <w:sz w:val="24"/>
          <w:szCs w:val="24"/>
          <w:highlight w:val="cyan"/>
        </w:rPr>
      </w:r>
      <w:r/>
    </w:p>
    <w:p>
      <w:pPr>
        <w:pStyle w:val="840"/>
        <w:ind w:firstLine="482"/>
        <w:rPr>
          <w:rFonts w:hint="eastAsia" w:hAnsi="宋体" w:cs="宋体"/>
          <w:b/>
          <w:sz w:val="24"/>
          <w:szCs w:val="24"/>
          <w:highlight w:val="cyan"/>
        </w:rPr>
        <w:sectPr>
          <w:footerReference w:type="default" r:id="rId11"/>
          <w:footnotePr/>
          <w:endnotePr/>
          <w:type w:val="nextPage"/>
          <w:pgSz w:w="11906" w:h="16838" w:orient="portrait"/>
          <w:pgMar w:top="1100" w:right="1236" w:bottom="1100" w:left="1236" w:header="737" w:footer="737" w:gutter="0"/>
          <w:pgNumType w:start="1"/>
          <w:cols w:num="1" w:sep="0" w:space="720" w:equalWidth="1"/>
          <w:docGrid w:linePitch="360"/>
        </w:sectPr>
      </w:pPr>
      <w:r>
        <w:rPr>
          <w:rFonts w:hint="eastAsia" w:hAnsi="宋体" w:cs="宋体"/>
          <w:b/>
          <w:sz w:val="24"/>
          <w:szCs w:val="24"/>
          <w:highlight w:val="cyan"/>
        </w:rPr>
      </w:r>
      <w:r/>
    </w:p>
    <w:p>
      <w:pPr>
        <w:pStyle w:val="837"/>
        <w:jc w:val="left"/>
        <w:rPr>
          <w:rFonts w:hint="eastAsia" w:ascii="宋体" w:hAnsi="宋体" w:eastAsia="宋体" w:cs="宋体"/>
          <w:b/>
          <w:bCs/>
          <w:sz w:val="30"/>
          <w:szCs w:val="30"/>
        </w:rPr>
      </w:pPr>
      <w:r>
        <w:rPr>
          <w:rFonts w:hint="eastAsia" w:ascii="宋体" w:hAnsi="宋体" w:eastAsia="宋体" w:cs="宋体"/>
          <w:b/>
          <w:bCs/>
          <w:sz w:val="30"/>
          <w:szCs w:val="30"/>
        </w:rPr>
        <w:t xml:space="preserve">附件2</w:t>
      </w:r>
      <w:r/>
    </w:p>
    <w:p>
      <w:pPr>
        <w:pStyle w:val="837"/>
        <w:jc w:val="center"/>
        <w:rPr>
          <w:rFonts w:hint="eastAsia" w:ascii="宋体" w:hAnsi="宋体" w:eastAsia="宋体" w:cs="宋体"/>
          <w:b/>
          <w:bCs/>
          <w:sz w:val="30"/>
          <w:szCs w:val="30"/>
        </w:rPr>
      </w:pPr>
      <w:r>
        <w:rPr>
          <w:rFonts w:hint="eastAsia" w:ascii="宋体" w:hAnsi="宋体" w:eastAsia="宋体" w:cs="宋体"/>
          <w:sz w:val="24"/>
          <w:szCs w:val="24"/>
        </w:rPr>
        <w:t xml:space="preserve"> </w:t>
      </w:r>
      <w:r>
        <w:rPr>
          <w:rFonts w:hint="eastAsia" w:ascii="宋体" w:hAnsi="宋体" w:eastAsia="宋体" w:cs="宋体"/>
          <w:b/>
          <w:bCs/>
          <w:sz w:val="30"/>
          <w:szCs w:val="30"/>
        </w:rPr>
        <w:t xml:space="preserve">《江苏经贸职业技术学院学生公寓物业服务标准》</w:t>
      </w:r>
      <w:r/>
    </w:p>
    <w:p>
      <w:pPr>
        <w:pStyle w:val="837"/>
        <w:jc w:val="center"/>
        <w:rPr>
          <w:rFonts w:hint="eastAsia" w:ascii="宋体" w:hAnsi="宋体" w:eastAsia="宋体" w:cs="宋体"/>
          <w:b/>
          <w:bCs/>
          <w:sz w:val="30"/>
          <w:szCs w:val="30"/>
        </w:rPr>
      </w:pPr>
      <w:r>
        <w:rPr>
          <w:rFonts w:hint="eastAsia" w:ascii="宋体" w:hAnsi="宋体" w:eastAsia="宋体" w:cs="宋体"/>
          <w:b/>
          <w:bCs/>
          <w:sz w:val="30"/>
          <w:szCs w:val="30"/>
        </w:rPr>
        <w:t xml:space="preserve">零星维修项目范围、服务质量标准明细</w:t>
      </w:r>
      <w:r/>
    </w:p>
    <w:p>
      <w:pPr>
        <w:ind w:firstLine="560"/>
        <w:spacing w:before="26" w:line="400" w:lineRule="exact"/>
        <w:rPr>
          <w:rFonts w:hint="eastAsia" w:ascii="宋体" w:hAnsi="宋体" w:cs="宋体"/>
          <w:sz w:val="24"/>
          <w:szCs w:val="24"/>
        </w:rPr>
      </w:pPr>
      <w:r>
        <w:rPr>
          <w:rFonts w:hint="eastAsia" w:ascii="宋体" w:hAnsi="宋体" w:cs="宋体"/>
          <w:sz w:val="24"/>
          <w:szCs w:val="24"/>
        </w:rPr>
        <w:t xml:space="preserve">一、房屋土建及设备零星维修标准</w:t>
      </w:r>
      <w:r/>
    </w:p>
    <w:p>
      <w:pPr>
        <w:ind w:firstLine="560"/>
        <w:spacing w:before="26" w:line="400" w:lineRule="exact"/>
        <w:rPr>
          <w:rFonts w:hint="eastAsia" w:ascii="宋体" w:hAnsi="宋体" w:cs="宋体"/>
          <w:sz w:val="24"/>
          <w:szCs w:val="24"/>
        </w:rPr>
      </w:pPr>
      <w:r>
        <w:rPr>
          <w:rFonts w:hint="eastAsia" w:ascii="宋体" w:hAnsi="宋体" w:cs="宋体"/>
          <w:sz w:val="24"/>
          <w:szCs w:val="24"/>
        </w:rPr>
        <w:t xml:space="preserve">急迫性零星维修项目包括：卫生间排污管道堵塞；室内给水系统零星（含爆管）维修、换管。</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时限要求:自接到报修之时起 2小时内到达现场处置得当。除急迫性零星维修之外 的零修项目为维护性零星维修：自接到报修之日起，三日之内处理或与使用方预约修复日期。</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（一）室内地面、散水</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零星维修内容：普通水泥楼面和地面起砂空鼓、影响使用，楼面或地面的块料面层松动的、散水严重破损影响其功能的，应修补。 </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质量标准：普通水泥楼面地面及散维修后应平整、光滑、接槎平顺。 </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（二）室内墙面及顶棚</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零星维修内容：内墙及踢脚线抹灰空鼓、剥落的应修补；顶棚抹灰空鼓、剥落的应修补。</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质量标准：修缮后的内墙面及灰顶棚应恢复原有使用功能，抹面应接槎平整、不开 裂、不空鼓、不起泡、不翘边，面层与基层结合牢固。</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（三）检修门窗</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零星维修内容：钢木门窗框松动、门窗扇开关不灵活、脱榫、 糟朽、开焊、小五 金缺损的应进行修补。</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质量标准：修后的钢木门窗应开关灵活不松动，框与墙体结合牢固，五金齐全。玻 璃装钉牢固，腻子饱满，窗纱绷紧，不露纱头。</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（四）清扫屋面、露台、采光井、雨落管等</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零星维修内容：每年至少两次将屋面、雨水口、露台及采光井积存的杂物清扫干净；雨落管局部残缺、破损应更换。</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质量标准：屋面、露台采光井应清扫干净，雨落管修缮后应补齐五金配件。 </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（五）阳台、雨罩等结构构件</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零星维修内容：阳台、雨罩、梁等结构构件保护层开裂的，应封堵裂缝，防止钢筋锈蚀：保护层剥落的，应补抹。</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质量标准：经维修后的结构构件应不再有裂缝及露筋现象。</w:t>
      </w:r>
      <w:r/>
    </w:p>
    <w:p>
      <w:pPr>
        <w:ind w:firstLine="560"/>
        <w:spacing w:before="26" w:line="400" w:lineRule="exact"/>
        <w:rPr>
          <w:rFonts w:hint="eastAsia" w:ascii="宋体" w:hAnsi="宋体" w:cs="宋体"/>
          <w:sz w:val="24"/>
          <w:szCs w:val="24"/>
        </w:rPr>
      </w:pPr>
      <w:r>
        <w:rPr>
          <w:rFonts w:hint="eastAsia" w:ascii="宋体" w:hAnsi="宋体" w:cs="宋体"/>
          <w:sz w:val="24"/>
          <w:szCs w:val="24"/>
        </w:rPr>
        <w:t xml:space="preserve">二、上下水系统零星维修标准 </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(一)室内给水系统(含爆管)零星维修、局部换管</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零星维修内容：给水系统漏水的，应进行修理，严重的，予以更换，零件残缺的应予以补齐。</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质量标准：经修缮的给水系统畅通，部件应配齐全，无跑、冒、滴、漏现象，能正 常使用。</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（二）卫生设备</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零星维修内容：卫生设备及配件（水龙头、延时阀等）残缺的应配齐，破损的应维修。</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质量标准：修缮后应做到给排水畅通，各部位零件齐全、灵活、有效，无跑、冒、 漏、滴现象，能正常使用。</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（三）排水管道、化粪池，检查井等</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零星维修内容：楼房排污管道堵塞，排污不畅通的应疏通。</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质量标准：楼房排污管道经疏通后，应达到排污管道畅通，不滴水；化粪池检查井局部损坏的应修好，达到井体、池体、井圈、井盖、池盖完好。 </w:t>
      </w:r>
      <w:r/>
    </w:p>
    <w:p>
      <w:pPr>
        <w:ind w:firstLine="560"/>
        <w:spacing w:before="266" w:line="400" w:lineRule="exact"/>
        <w:rPr>
          <w:rFonts w:hint="eastAsia" w:ascii="宋体" w:hAnsi="宋体" w:cs="宋体"/>
          <w:sz w:val="24"/>
          <w:szCs w:val="24"/>
        </w:rPr>
      </w:pPr>
      <w:r>
        <w:rPr>
          <w:rFonts w:hint="eastAsia" w:ascii="宋体" w:hAnsi="宋体" w:cs="宋体"/>
          <w:sz w:val="24"/>
          <w:szCs w:val="24"/>
        </w:rPr>
        <w:t xml:space="preserve">三、楼宇内设施设备零星维修标准</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(一)供电设备及配电线路</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零星维修内容：(1)闸具、(2)电源插座、(3)开关、(4)灯头、(5)导线、(6)支持物（7）一年清洗2次宿舍内空调过滤网；</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质量标准：正常使用；绝缘良好完整可靠。</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时限要求：报修后30分钟到达现场并及时处理。</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（二）其他设施</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零星维修内容：办公桌椅、课桌椅、讲台、黑板、开水炉、锁具、电扇、灯具、窗帘、窗帘轨道等单件 500 元以下（含500元）的及时维修。</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质量标准：正常使用。</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时限要求：报修后30分钟到达现场，并于24小时维修到位（如需特殊配件应向使 用方说明，并在预约维修时间内完成。</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注： </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1.零星维修指及时修复房屋在使用过程中其结构、部件小的损坏，以保持房屋原有完损等级的日常养护； </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2.房屋及设施设备零星维修维护不含电梯、空调、电话、二次供水及高度大于等于2米的土建及非功能性设施设备外的修饰性维修。</w:t>
      </w:r>
      <w:r/>
    </w:p>
    <w:p>
      <w:pPr>
        <w:pStyle w:val="837"/>
        <w:ind w:firstLine="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3.人为损坏物品（含排水堵塞）由乙方落实责任人，可收取维修成本性费用；恶意破坏的，乙方可制定合理处罚制度。</w:t>
      </w:r>
      <w:r/>
    </w:p>
    <w:p>
      <w:pPr>
        <w:pStyle w:val="837"/>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837"/>
        <w:jc w:val="left"/>
        <w:rPr>
          <w:rFonts w:hint="eastAsia" w:ascii="宋体" w:hAnsi="宋体" w:eastAsia="宋体" w:cs="宋体"/>
          <w:b/>
          <w:bCs/>
          <w:sz w:val="30"/>
          <w:szCs w:val="30"/>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宋体" w:cs="宋体"/>
          <w:b/>
          <w:bCs/>
          <w:sz w:val="30"/>
          <w:szCs w:val="30"/>
        </w:rPr>
      </w:r>
      <w:r/>
    </w:p>
    <w:p>
      <w:pPr>
        <w:pStyle w:val="837"/>
        <w:jc w:val="left"/>
        <w:rPr>
          <w:rFonts w:hint="eastAsia" w:ascii="宋体" w:hAnsi="宋体" w:eastAsia="宋体" w:cs="宋体"/>
          <w:b/>
          <w:bCs/>
          <w:sz w:val="30"/>
          <w:szCs w:val="30"/>
        </w:rPr>
      </w:pPr>
      <w:r>
        <w:rPr>
          <w:rFonts w:hint="eastAsia" w:ascii="宋体" w:hAnsi="宋体" w:eastAsia="宋体" w:cs="宋体"/>
          <w:b/>
          <w:bCs/>
          <w:sz w:val="30"/>
          <w:szCs w:val="30"/>
        </w:rPr>
        <w:t xml:space="preserve">附件3</w:t>
      </w:r>
      <w:r/>
    </w:p>
    <w:p>
      <w:pPr>
        <w:pStyle w:val="837"/>
        <w:jc w:val="center"/>
        <w:rPr>
          <w:rFonts w:hint="eastAsia" w:ascii="宋体" w:hAnsi="宋体" w:eastAsia="宋体" w:cs="宋体"/>
          <w:b/>
          <w:bCs/>
          <w:sz w:val="30"/>
          <w:szCs w:val="30"/>
        </w:rPr>
      </w:pPr>
      <w:r>
        <w:rPr>
          <w:rFonts w:hint="eastAsia" w:ascii="宋体" w:hAnsi="宋体" w:eastAsia="宋体" w:cs="宋体"/>
          <w:b/>
          <w:bCs/>
          <w:sz w:val="32"/>
          <w:szCs w:val="32"/>
        </w:rPr>
        <w:t xml:space="preserve">《</w:t>
      </w:r>
      <w:r>
        <w:rPr>
          <w:rFonts w:hint="eastAsia" w:ascii="宋体" w:hAnsi="宋体" w:eastAsia="宋体" w:cs="宋体"/>
          <w:b/>
          <w:bCs/>
          <w:sz w:val="30"/>
          <w:szCs w:val="30"/>
        </w:rPr>
        <w:t xml:space="preserve">江苏经贸职业技术学院学生公寓物业量化考核体系》</w:t>
      </w:r>
      <w:r/>
    </w:p>
    <w:p>
      <w:pPr>
        <w:pStyle w:val="837"/>
        <w:jc w:val="center"/>
        <w:rPr>
          <w:rFonts w:hint="eastAsia" w:ascii="宋体" w:hAnsi="宋体" w:eastAsia="宋体" w:cs="宋体"/>
          <w:b/>
          <w:bCs/>
          <w:sz w:val="30"/>
          <w:szCs w:val="30"/>
        </w:rPr>
      </w:pPr>
      <w:r>
        <w:rPr>
          <w:rFonts w:hint="eastAsia" w:ascii="宋体" w:hAnsi="宋体" w:eastAsia="宋体" w:cs="宋体"/>
          <w:b/>
          <w:bCs/>
          <w:sz w:val="30"/>
          <w:szCs w:val="30"/>
        </w:rPr>
        <w:t xml:space="preserve">学生公寓物业管理量化考核体系</w:t>
      </w:r>
      <w:r/>
    </w:p>
    <w:tbl>
      <w:tblPr>
        <w:tblW w:w="14653" w:type="dxa"/>
        <w:tblBorders>
          <w:top w:val="single" w:color="000000" w:sz="12" w:space="0"/>
          <w:left w:val="single" w:color="000000" w:sz="4" w:space="0"/>
          <w:bottom w:val="single" w:color="000000" w:sz="12" w:space="0"/>
          <w:right w:val="single" w:color="000000" w:sz="4" w:space="0"/>
          <w:insideH w:val="single" w:color="000000" w:sz="8" w:space="0"/>
          <w:insideV w:val="single" w:color="000000" w:sz="8" w:space="0"/>
        </w:tblBorders>
        <w:tblLayout w:type="fixed"/>
        <w:tblCellMar>
          <w:left w:w="15" w:type="dxa"/>
          <w:top w:w="15" w:type="dxa"/>
          <w:right w:w="15" w:type="dxa"/>
          <w:bottom w:w="15" w:type="dxa"/>
        </w:tblCellMar>
        <w:tblLook w:val="0000" w:firstRow="0" w:lastRow="0" w:firstColumn="0" w:lastColumn="0" w:noHBand="0" w:noVBand="0"/>
      </w:tblPr>
      <w:tblGrid>
        <w:gridCol w:w="1288"/>
        <w:gridCol w:w="240"/>
        <w:gridCol w:w="1950"/>
        <w:gridCol w:w="4800"/>
        <w:gridCol w:w="2850"/>
        <w:gridCol w:w="1590"/>
        <w:gridCol w:w="1935"/>
      </w:tblGrid>
      <w:tr>
        <w:trPr>
          <w:trHeight w:val="419"/>
          <w:tblHeader/>
        </w:trPr>
        <w:tc>
          <w:tcPr>
            <w:tcBorders>
              <w:top w:val="single" w:color="000000" w:sz="12" w:space="0"/>
              <w:left w:val="single" w:color="000000" w:sz="4" w:space="0"/>
              <w:bottom w:val="single" w:color="000000" w:sz="8" w:space="0"/>
              <w:right w:val="single" w:color="000000" w:sz="8" w:space="0"/>
            </w:tcBorders>
            <w:tcW w:w="1288" w:type="dxa"/>
            <w:vAlign w:val="center"/>
            <w:textDirection w:val="lrTb"/>
            <w:noWrap w:val="false"/>
          </w:tcPr>
          <w:p>
            <w:pPr>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一级指标</w:t>
            </w:r>
            <w:r/>
          </w:p>
        </w:tc>
        <w:tc>
          <w:tcPr>
            <w:gridSpan w:val="2"/>
            <w:tcBorders>
              <w:top w:val="single" w:color="000000" w:sz="12" w:space="0"/>
              <w:left w:val="single" w:color="000000" w:sz="8" w:space="0"/>
              <w:bottom w:val="single" w:color="000000" w:sz="8" w:space="0"/>
              <w:right w:val="single" w:color="000000" w:sz="8" w:space="0"/>
            </w:tcBorders>
            <w:tcW w:w="2190" w:type="dxa"/>
            <w:vAlign w:val="center"/>
            <w:textDirection w:val="lrTb"/>
            <w:noWrap w:val="false"/>
          </w:tcPr>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二级指标</w:t>
            </w:r>
            <w:r/>
          </w:p>
        </w:tc>
        <w:tc>
          <w:tcPr>
            <w:tcBorders>
              <w:top w:val="single" w:color="000000" w:sz="12" w:space="0"/>
              <w:left w:val="single" w:color="000000" w:sz="8" w:space="0"/>
              <w:bottom w:val="single" w:color="000000" w:sz="8" w:space="0"/>
              <w:right w:val="single" w:color="000000" w:sz="8" w:space="0"/>
            </w:tcBorders>
            <w:tcW w:w="4800" w:type="dxa"/>
            <w:vAlign w:val="center"/>
            <w:textDirection w:val="lrTb"/>
            <w:noWrap w:val="false"/>
          </w:tcPr>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指标内涵</w:t>
            </w:r>
            <w:r/>
          </w:p>
        </w:tc>
        <w:tc>
          <w:tcPr>
            <w:tcBorders>
              <w:top w:val="single" w:color="000000" w:sz="12" w:space="0"/>
              <w:left w:val="single" w:color="000000" w:sz="8" w:space="0"/>
              <w:bottom w:val="single" w:color="000000" w:sz="8" w:space="0"/>
              <w:right w:val="single" w:color="000000" w:sz="8" w:space="0"/>
            </w:tcBorders>
            <w:tcW w:w="2850" w:type="dxa"/>
            <w:vAlign w:val="center"/>
            <w:textDirection w:val="lrTb"/>
            <w:noWrap w:val="false"/>
          </w:tcPr>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观测点</w:t>
            </w:r>
            <w:r/>
          </w:p>
        </w:tc>
        <w:tc>
          <w:tcPr>
            <w:tcBorders>
              <w:top w:val="single" w:color="000000" w:sz="12" w:space="0"/>
              <w:left w:val="single" w:color="000000" w:sz="8" w:space="0"/>
              <w:bottom w:val="single" w:color="000000" w:sz="8" w:space="0"/>
              <w:right w:val="single" w:color="000000" w:sz="8" w:space="0"/>
            </w:tcBorders>
            <w:tcW w:w="1590" w:type="dxa"/>
            <w:vAlign w:val="center"/>
            <w:textDirection w:val="lrTb"/>
            <w:noWrap w:val="false"/>
          </w:tcPr>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考核方式</w:t>
            </w:r>
            <w:r/>
          </w:p>
        </w:tc>
        <w:tc>
          <w:tcPr>
            <w:tcBorders>
              <w:top w:val="single" w:color="000000" w:sz="12" w:space="0"/>
              <w:left w:val="single" w:color="000000" w:sz="8" w:space="0"/>
              <w:bottom w:val="single" w:color="000000" w:sz="8" w:space="0"/>
              <w:right w:val="single" w:color="000000" w:sz="4" w:space="0"/>
            </w:tcBorders>
            <w:tcW w:w="1935" w:type="dxa"/>
            <w:vAlign w:val="center"/>
            <w:textDirection w:val="lrTb"/>
            <w:noWrap w:val="false"/>
          </w:tcPr>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打分标准</w:t>
            </w:r>
            <w:r/>
          </w:p>
        </w:tc>
      </w:tr>
      <w:tr>
        <w:trPr>
          <w:cantSplit/>
          <w:trHeight w:val="1768"/>
        </w:trPr>
        <w:tc>
          <w:tcPr>
            <w:tcBorders>
              <w:top w:val="single" w:color="000000" w:sz="8" w:space="0"/>
              <w:left w:val="single" w:color="000000" w:sz="4" w:space="0"/>
              <w:bottom w:val="single" w:color="000000" w:sz="8" w:space="0"/>
              <w:right w:val="single" w:color="000000" w:sz="8" w:space="0"/>
            </w:tcBorders>
            <w:tcW w:w="1288" w:type="dxa"/>
            <w:vAlign w:val="center"/>
            <w:vMerge w:val="restart"/>
            <w:textDirection w:val="lrTb"/>
            <w:noWrap w:val="false"/>
          </w:tcPr>
          <w:p>
            <w:pPr>
              <w:ind w:firstLine="361"/>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内部</w:t>
            </w:r>
            <w:r/>
          </w:p>
          <w:p>
            <w:pPr>
              <w:ind w:firstLine="361"/>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管理</w:t>
            </w:r>
            <w:r/>
          </w:p>
          <w:p>
            <w:pPr>
              <w:ind w:firstLine="361"/>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制度</w:t>
            </w:r>
            <w:r/>
          </w:p>
          <w:p>
            <w:pPr>
              <w:ind w:firstLine="120"/>
              <w:spacing w:line="360" w:lineRule="exac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（30分）</w:t>
            </w:r>
            <w:r/>
          </w:p>
        </w:tc>
        <w:tc>
          <w:tcPr>
            <w:gridSpan w:val="2"/>
            <w:tcBorders>
              <w:top w:val="single" w:color="000000" w:sz="8" w:space="0"/>
              <w:left w:val="single" w:color="000000" w:sz="8" w:space="0"/>
              <w:bottom w:val="single" w:color="000000" w:sz="8" w:space="0"/>
              <w:right w:val="single" w:color="000000" w:sz="8" w:space="0"/>
            </w:tcBorders>
            <w:tcW w:w="2190" w:type="dxa"/>
            <w:vAlign w:val="center"/>
            <w:textDirection w:val="lrTb"/>
            <w:noWrap w:val="false"/>
          </w:tcPr>
          <w:p>
            <w:pPr>
              <w:ind w:firstLine="653"/>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管理架构</w:t>
            </w:r>
            <w:r/>
          </w:p>
          <w:p>
            <w:pPr>
              <w:ind w:firstLine="653"/>
              <w:spacing w:line="360" w:lineRule="exac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（5分）</w:t>
            </w:r>
            <w:r/>
          </w:p>
        </w:tc>
        <w:tc>
          <w:tcPr>
            <w:tcBorders>
              <w:top w:val="single" w:color="000000" w:sz="8" w:space="0"/>
              <w:left w:val="single" w:color="000000" w:sz="8" w:space="0"/>
              <w:bottom w:val="single" w:color="000000" w:sz="8" w:space="0"/>
              <w:right w:val="single" w:color="000000" w:sz="8" w:space="0"/>
            </w:tcBorders>
            <w:tcW w:w="4800" w:type="dxa"/>
            <w:vAlign w:val="center"/>
            <w:textDirection w:val="lrTb"/>
            <w:noWrap w:val="false"/>
          </w:tcPr>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1.物业管理基层单位（管理站）组织运转有序。</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2.公司获得社会认可的质量认证体系。</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3.物业基层管理单位（管理站）岗位设置完善，站长.管理员.保洁员.维修员等人员配置完整。</w:t>
            </w:r>
            <w:r/>
          </w:p>
        </w:tc>
        <w:tc>
          <w:tcPr>
            <w:tcBorders>
              <w:top w:val="single" w:color="000000" w:sz="8" w:space="0"/>
              <w:left w:val="single" w:color="000000" w:sz="8" w:space="0"/>
              <w:bottom w:val="single" w:color="000000" w:sz="8" w:space="0"/>
              <w:right w:val="single" w:color="000000" w:sz="8" w:space="0"/>
            </w:tcBorders>
            <w:tcW w:w="2850" w:type="dxa"/>
            <w:vAlign w:val="center"/>
            <w:textDirection w:val="lrTb"/>
            <w:noWrap w:val="false"/>
          </w:tcPr>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1.物业基层管理人员可清晰表述。</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2.物业基层管理人员流动率。</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3.证书复印件及人员花名册。</w:t>
            </w:r>
            <w:r/>
          </w:p>
        </w:tc>
        <w:tc>
          <w:tcPr>
            <w:tcBorders>
              <w:top w:val="single" w:color="000000" w:sz="8" w:space="0"/>
              <w:left w:val="single" w:color="000000" w:sz="8" w:space="0"/>
              <w:bottom w:val="single" w:color="000000" w:sz="8" w:space="0"/>
              <w:right w:val="single" w:color="000000" w:sz="8" w:space="0"/>
            </w:tcBorders>
            <w:tcW w:w="1590" w:type="dxa"/>
            <w:vAlign w:val="center"/>
            <w:textDirection w:val="lrTb"/>
            <w:noWrap w:val="false"/>
          </w:tcPr>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1.抽样调查</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2.统计数据</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3.查阅资料</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4.实地考察</w:t>
            </w:r>
            <w:r/>
          </w:p>
        </w:tc>
        <w:tc>
          <w:tcPr>
            <w:tcBorders>
              <w:top w:val="single" w:color="000000" w:sz="8" w:space="0"/>
              <w:left w:val="single" w:color="000000" w:sz="8" w:space="0"/>
              <w:bottom w:val="single" w:color="000000" w:sz="8" w:space="0"/>
              <w:right w:val="single" w:color="000000" w:sz="4" w:space="0"/>
            </w:tcBorders>
            <w:tcW w:w="1935" w:type="dxa"/>
            <w:vAlign w:val="center"/>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无质量认证体系扣5分；人员结构不合理扣5分；</w:t>
            </w:r>
            <w:r/>
          </w:p>
        </w:tc>
      </w:tr>
      <w:tr>
        <w:trPr>
          <w:cantSplit/>
          <w:trHeight w:val="90"/>
        </w:trPr>
        <w:tc>
          <w:tcPr>
            <w:tcBorders>
              <w:top w:val="single" w:color="000000" w:sz="8" w:space="0"/>
              <w:left w:val="single" w:color="000000" w:sz="4" w:space="0"/>
              <w:bottom w:val="single" w:color="000000" w:sz="8" w:space="0"/>
              <w:right w:val="single" w:color="000000" w:sz="8" w:space="0"/>
            </w:tcBorders>
            <w:tcW w:w="1288" w:type="dxa"/>
            <w:vAlign w:val="center"/>
            <w:vMerge w:val="continue"/>
            <w:textDirection w:val="lrTb"/>
            <w:noWrap w:val="false"/>
          </w:tcPr>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W w:w="2190" w:type="dxa"/>
            <w:vAlign w:val="center"/>
            <w:textDirection w:val="lrTb"/>
            <w:noWrap w:val="false"/>
          </w:tcPr>
          <w:p>
            <w:pPr>
              <w:ind w:firstLine="653"/>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岗位职责</w:t>
            </w:r>
            <w:r/>
          </w:p>
          <w:p>
            <w:pPr>
              <w:ind w:firstLine="653"/>
              <w:spacing w:line="360" w:lineRule="exac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（5分）</w:t>
            </w:r>
            <w:r/>
          </w:p>
        </w:tc>
        <w:tc>
          <w:tcPr>
            <w:tcBorders>
              <w:top w:val="single" w:color="000000" w:sz="8" w:space="0"/>
              <w:left w:val="single" w:color="000000" w:sz="8" w:space="0"/>
              <w:bottom w:val="single" w:color="000000" w:sz="8" w:space="0"/>
              <w:right w:val="single" w:color="000000" w:sz="8" w:space="0"/>
            </w:tcBorders>
            <w:tcW w:w="4800" w:type="dxa"/>
            <w:vAlign w:val="center"/>
            <w:textDirection w:val="lrTb"/>
            <w:noWrap w:val="false"/>
          </w:tcPr>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1.物业基层管理单位各岗位工作职责明确，并上墙公示。</w:t>
            </w:r>
            <w:r/>
          </w:p>
        </w:tc>
        <w:tc>
          <w:tcPr>
            <w:tcBorders>
              <w:top w:val="single" w:color="000000" w:sz="8" w:space="0"/>
              <w:left w:val="single" w:color="000000" w:sz="8" w:space="0"/>
              <w:bottom w:val="single" w:color="000000" w:sz="8" w:space="0"/>
              <w:right w:val="single" w:color="000000" w:sz="8" w:space="0"/>
            </w:tcBorders>
            <w:tcW w:w="2850" w:type="dxa"/>
            <w:vAlign w:val="center"/>
            <w:textDirection w:val="lrTb"/>
            <w:noWrap w:val="false"/>
          </w:tcPr>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1.物业基层管理人员熟知各自岗位职责。</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2.各岗位工作职责有规定并在站内公示。</w:t>
            </w:r>
            <w:r/>
          </w:p>
        </w:tc>
        <w:tc>
          <w:tcPr>
            <w:tcBorders>
              <w:top w:val="single" w:color="000000" w:sz="8" w:space="0"/>
              <w:left w:val="single" w:color="000000" w:sz="8" w:space="0"/>
              <w:bottom w:val="single" w:color="000000" w:sz="8" w:space="0"/>
              <w:right w:val="single" w:color="000000" w:sz="8" w:space="0"/>
            </w:tcBorders>
            <w:tcW w:w="1590" w:type="dxa"/>
            <w:vAlign w:val="center"/>
            <w:textDirection w:val="lrTb"/>
            <w:noWrap w:val="false"/>
          </w:tcPr>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1.抽样调查</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2.实地考察</w:t>
            </w:r>
            <w:r/>
          </w:p>
        </w:tc>
        <w:tc>
          <w:tcPr>
            <w:tcBorders>
              <w:top w:val="single" w:color="000000" w:sz="8" w:space="0"/>
              <w:left w:val="single" w:color="000000" w:sz="8" w:space="0"/>
              <w:bottom w:val="single" w:color="000000" w:sz="8" w:space="0"/>
              <w:right w:val="single" w:color="000000" w:sz="4" w:space="0"/>
            </w:tcBorders>
            <w:tcW w:w="1935" w:type="dxa"/>
            <w:vAlign w:val="center"/>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无岗位职责扣5分；有岗位职责未公示扣2分。</w:t>
            </w:r>
            <w:r/>
          </w:p>
        </w:tc>
      </w:tr>
      <w:tr>
        <w:trPr>
          <w:cantSplit/>
          <w:trHeight w:val="1424"/>
        </w:trPr>
        <w:tc>
          <w:tcPr>
            <w:tcBorders>
              <w:top w:val="single" w:color="000000" w:sz="8" w:space="0"/>
              <w:left w:val="single" w:color="000000" w:sz="4" w:space="0"/>
              <w:bottom w:val="single" w:color="000000" w:sz="8" w:space="0"/>
              <w:right w:val="single" w:color="000000" w:sz="8" w:space="0"/>
            </w:tcBorders>
            <w:tcW w:w="1288" w:type="dxa"/>
            <w:vAlign w:val="center"/>
            <w:vMerge w:val="continue"/>
            <w:textDirection w:val="lrTb"/>
            <w:noWrap w:val="false"/>
          </w:tcPr>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W w:w="2190" w:type="dxa"/>
            <w:vAlign w:val="center"/>
            <w:textDirection w:val="lrTb"/>
            <w:noWrap w:val="false"/>
          </w:tcPr>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岗位</w:t>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服务</w:t>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标准</w:t>
            </w:r>
            <w:r/>
          </w:p>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（5分）</w:t>
            </w:r>
            <w:r/>
          </w:p>
        </w:tc>
        <w:tc>
          <w:tcPr>
            <w:tcBorders>
              <w:top w:val="single" w:color="000000" w:sz="8" w:space="0"/>
              <w:left w:val="single" w:color="000000" w:sz="8" w:space="0"/>
              <w:bottom w:val="single" w:color="000000" w:sz="8" w:space="0"/>
              <w:right w:val="single" w:color="000000" w:sz="8" w:space="0"/>
            </w:tcBorders>
            <w:tcW w:w="4800" w:type="dxa"/>
            <w:vAlign w:val="center"/>
            <w:textDirection w:val="lrTb"/>
            <w:noWrap w:val="false"/>
          </w:tcPr>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1.物业基层管理单位各岗位人员挂牌上岗。</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2.物业基层管理单位各岗位有明确的服务规范，且达到合同规定标准。</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3.物业基层管理单位建立了岗位服务监督体系（监督与投诉电话等形式）。</w:t>
            </w:r>
            <w:r/>
          </w:p>
        </w:tc>
        <w:tc>
          <w:tcPr>
            <w:tcBorders>
              <w:top w:val="single" w:color="000000" w:sz="8" w:space="0"/>
              <w:left w:val="single" w:color="000000" w:sz="8" w:space="0"/>
              <w:bottom w:val="single" w:color="000000" w:sz="8" w:space="0"/>
              <w:right w:val="single" w:color="000000" w:sz="8" w:space="0"/>
            </w:tcBorders>
            <w:tcW w:w="2850" w:type="dxa"/>
            <w:vAlign w:val="center"/>
            <w:textDirection w:val="lrTb"/>
            <w:noWrap w:val="false"/>
          </w:tcPr>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1.基层管理服务人员佩戴可识别工作牌。</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2.服务制度</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3.物业基层管理单位服务监督体系模式。</w:t>
            </w:r>
            <w:r/>
          </w:p>
        </w:tc>
        <w:tc>
          <w:tcPr>
            <w:tcBorders>
              <w:top w:val="single" w:color="000000" w:sz="8" w:space="0"/>
              <w:left w:val="single" w:color="000000" w:sz="8" w:space="0"/>
              <w:bottom w:val="single" w:color="000000" w:sz="8" w:space="0"/>
              <w:right w:val="single" w:color="000000" w:sz="8" w:space="0"/>
            </w:tcBorders>
            <w:tcW w:w="1590" w:type="dxa"/>
            <w:vAlign w:val="center"/>
            <w:textDirection w:val="lrTb"/>
            <w:noWrap w:val="false"/>
          </w:tcPr>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1.实地查看</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2查阅资料</w:t>
            </w:r>
            <w:r/>
          </w:p>
          <w:p>
            <w:pPr>
              <w:ind w:firstLine="301"/>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3.日常检查</w:t>
            </w:r>
            <w:r/>
          </w:p>
          <w:p>
            <w:pPr>
              <w:ind w:firstLine="301"/>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8" w:space="0"/>
              <w:left w:val="single" w:color="000000" w:sz="8" w:space="0"/>
              <w:bottom w:val="single" w:color="000000" w:sz="8" w:space="0"/>
              <w:right w:val="single" w:color="000000" w:sz="4" w:space="0"/>
            </w:tcBorders>
            <w:tcW w:w="1935" w:type="dxa"/>
            <w:vAlign w:val="center"/>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未挂牌扣1分/人；未明示监督和投诉电话扣5分。</w:t>
            </w:r>
            <w:r/>
          </w:p>
        </w:tc>
      </w:tr>
      <w:tr>
        <w:trPr>
          <w:cantSplit/>
          <w:trHeight w:val="1424"/>
        </w:trPr>
        <w:tc>
          <w:tcPr>
            <w:tcBorders>
              <w:top w:val="single" w:color="000000" w:sz="8" w:space="0"/>
              <w:left w:val="single" w:color="000000" w:sz="4" w:space="0"/>
              <w:bottom w:val="single" w:color="000000" w:sz="8" w:space="0"/>
              <w:right w:val="single" w:color="000000" w:sz="8" w:space="0"/>
            </w:tcBorders>
            <w:tcW w:w="1288" w:type="dxa"/>
            <w:vAlign w:val="center"/>
            <w:vMerge w:val="continue"/>
            <w:textDirection w:val="lrTb"/>
            <w:noWrap w:val="false"/>
          </w:tcPr>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W w:w="2190" w:type="dxa"/>
            <w:vAlign w:val="center"/>
            <w:textDirection w:val="lrTb"/>
            <w:noWrap w:val="false"/>
          </w:tcPr>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员工</w:t>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培训</w:t>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体系</w:t>
            </w:r>
            <w:r/>
          </w:p>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（5分）</w:t>
            </w:r>
            <w:r/>
          </w:p>
        </w:tc>
        <w:tc>
          <w:tcPr>
            <w:tcBorders>
              <w:top w:val="single" w:color="000000" w:sz="8" w:space="0"/>
              <w:left w:val="single" w:color="000000" w:sz="8" w:space="0"/>
              <w:bottom w:val="single" w:color="000000" w:sz="8" w:space="0"/>
              <w:right w:val="single" w:color="000000" w:sz="8" w:space="0"/>
            </w:tcBorders>
            <w:tcW w:w="4800"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1.物业管理公司有完整的培训体系。</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2.物业基层管理单位上岗人员接受培训的覆盖面及频次。</w:t>
            </w:r>
            <w:r/>
          </w:p>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3.物业基层管理单位上岗人员获得社会认可的职业资格证书情况。</w:t>
            </w:r>
            <w:r/>
          </w:p>
        </w:tc>
        <w:tc>
          <w:tcPr>
            <w:tcBorders>
              <w:top w:val="single" w:color="000000" w:sz="8" w:space="0"/>
              <w:left w:val="single" w:color="000000" w:sz="8" w:space="0"/>
              <w:bottom w:val="single" w:color="000000" w:sz="8" w:space="0"/>
              <w:right w:val="single" w:color="000000" w:sz="8" w:space="0"/>
            </w:tcBorders>
            <w:tcW w:w="2850" w:type="dxa"/>
            <w:vAlign w:val="center"/>
            <w:textDirection w:val="lrTb"/>
            <w:noWrap w:val="false"/>
          </w:tcPr>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1.物业公司培训制度文本。</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2.物业公司培训原始记录。</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3.职业资格证书。</w:t>
            </w:r>
            <w:r/>
          </w:p>
        </w:tc>
        <w:tc>
          <w:tcPr>
            <w:tcBorders>
              <w:top w:val="single" w:color="000000" w:sz="8" w:space="0"/>
              <w:left w:val="single" w:color="000000" w:sz="8" w:space="0"/>
              <w:bottom w:val="single" w:color="000000" w:sz="8" w:space="0"/>
              <w:right w:val="single" w:color="000000" w:sz="8" w:space="0"/>
            </w:tcBorders>
            <w:tcW w:w="1590" w:type="dxa"/>
            <w:vAlign w:val="center"/>
            <w:textDirection w:val="lrTb"/>
            <w:noWrap w:val="false"/>
          </w:tcPr>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1.查阅资料</w:t>
            </w:r>
            <w:r/>
          </w:p>
        </w:tc>
        <w:tc>
          <w:tcPr>
            <w:tcBorders>
              <w:top w:val="single" w:color="000000" w:sz="8" w:space="0"/>
              <w:left w:val="single" w:color="000000" w:sz="8" w:space="0"/>
              <w:bottom w:val="single" w:color="000000" w:sz="8" w:space="0"/>
              <w:right w:val="single" w:color="000000" w:sz="4" w:space="0"/>
            </w:tcBorders>
            <w:tcW w:w="1935" w:type="dxa"/>
            <w:vAlign w:val="center"/>
            <w:textDirection w:val="lrTb"/>
            <w:noWrap w:val="false"/>
          </w:tcPr>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无培训或上岗人员无相关资质扣5分。</w:t>
            </w:r>
            <w:r/>
          </w:p>
        </w:tc>
      </w:tr>
      <w:tr>
        <w:trPr>
          <w:cantSplit/>
          <w:trHeight w:val="1990"/>
        </w:trPr>
        <w:tc>
          <w:tcPr>
            <w:tcBorders>
              <w:top w:val="single" w:color="000000" w:sz="8" w:space="0"/>
              <w:left w:val="single" w:color="000000" w:sz="4" w:space="0"/>
              <w:bottom w:val="single" w:color="000000" w:sz="8" w:space="0"/>
              <w:right w:val="single" w:color="000000" w:sz="8" w:space="0"/>
            </w:tcBorders>
            <w:tcW w:w="1288" w:type="dxa"/>
            <w:vAlign w:val="center"/>
            <w:vMerge w:val="continue"/>
            <w:textDirection w:val="lrTb"/>
            <w:noWrap w:val="false"/>
          </w:tcPr>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W w:w="2190" w:type="dxa"/>
            <w:vAlign w:val="center"/>
            <w:textDirection w:val="lrTb"/>
            <w:noWrap w:val="false"/>
          </w:tcPr>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劳务</w:t>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关系管理</w:t>
            </w:r>
            <w:r/>
          </w:p>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（10分）</w:t>
            </w:r>
            <w:r/>
          </w:p>
        </w:tc>
        <w:tc>
          <w:tcPr>
            <w:tcBorders>
              <w:top w:val="single" w:color="000000" w:sz="8" w:space="0"/>
              <w:left w:val="single" w:color="000000" w:sz="8" w:space="0"/>
              <w:bottom w:val="single" w:color="000000" w:sz="8" w:space="0"/>
              <w:right w:val="single" w:color="000000" w:sz="8" w:space="0"/>
            </w:tcBorders>
            <w:tcW w:w="4800"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1.物业公司有规范的人事.劳资管理体系。</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2.物业基层管理单位上岗人员人事和劳资管理规范（签订规范的劳动合同，符合劳动法规定）。</w:t>
            </w:r>
            <w:r/>
          </w:p>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3.物业基层管理单位上岗人员无人事和劳资纠纷。</w:t>
            </w:r>
            <w:r/>
          </w:p>
        </w:tc>
        <w:tc>
          <w:tcPr>
            <w:tcBorders>
              <w:top w:val="single" w:color="000000" w:sz="8" w:space="0"/>
              <w:left w:val="single" w:color="000000" w:sz="8" w:space="0"/>
              <w:bottom w:val="single" w:color="000000" w:sz="8" w:space="0"/>
              <w:right w:val="single" w:color="000000" w:sz="8" w:space="0"/>
            </w:tcBorders>
            <w:tcW w:w="2850" w:type="dxa"/>
            <w:vAlign w:val="center"/>
            <w:textDirection w:val="lrTb"/>
            <w:noWrap w:val="false"/>
          </w:tcPr>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1.物业公司人事和劳资关系管理制度。</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2.物业公司劳动合同文本。</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3.物业基层管理上岗人员投诉情况。</w:t>
            </w:r>
            <w:r/>
          </w:p>
        </w:tc>
        <w:tc>
          <w:tcPr>
            <w:tcBorders>
              <w:top w:val="single" w:color="000000" w:sz="8" w:space="0"/>
              <w:left w:val="single" w:color="000000" w:sz="8" w:space="0"/>
              <w:bottom w:val="single" w:color="000000" w:sz="8" w:space="0"/>
              <w:right w:val="single" w:color="000000" w:sz="8" w:space="0"/>
            </w:tcBorders>
            <w:tcW w:w="1590"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1.查阅资料</w:t>
            </w:r>
            <w:r/>
          </w:p>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2.历史资料</w:t>
            </w:r>
            <w:r/>
          </w:p>
        </w:tc>
        <w:tc>
          <w:tcPr>
            <w:tcBorders>
              <w:top w:val="single" w:color="000000" w:sz="8" w:space="0"/>
              <w:left w:val="single" w:color="000000" w:sz="8" w:space="0"/>
              <w:bottom w:val="single" w:color="000000" w:sz="8" w:space="0"/>
              <w:right w:val="single" w:color="000000" w:sz="4" w:space="0"/>
            </w:tcBorders>
            <w:tcW w:w="1935" w:type="dxa"/>
            <w:vAlign w:val="center"/>
            <w:textDirection w:val="lrTb"/>
            <w:noWrap w:val="false"/>
          </w:tcPr>
          <w:p>
            <w:pPr>
              <w:ind w:firstLine="301"/>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未签订用工合同扣10分；员工投诉扣2分/次。</w:t>
            </w:r>
            <w:r/>
          </w:p>
        </w:tc>
      </w:tr>
      <w:tr>
        <w:trPr>
          <w:cantSplit/>
          <w:trHeight w:val="1321"/>
        </w:trPr>
        <w:tc>
          <w:tcPr>
            <w:tcBorders>
              <w:top w:val="single" w:color="000000" w:sz="8" w:space="0"/>
              <w:left w:val="single" w:color="000000" w:sz="4" w:space="0"/>
              <w:bottom w:val="single" w:color="000000" w:sz="8" w:space="0"/>
              <w:right w:val="single" w:color="000000" w:sz="8" w:space="0"/>
            </w:tcBorders>
            <w:tcW w:w="1288" w:type="dxa"/>
            <w:vAlign w:val="center"/>
            <w:vMerge w:val="restart"/>
            <w:textDirection w:val="lrTb"/>
            <w:noWrap w:val="false"/>
          </w:tcPr>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left"/>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left"/>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left"/>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left"/>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left"/>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left"/>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left"/>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left"/>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物业</w:t>
            </w:r>
            <w:r/>
          </w:p>
          <w:p>
            <w:pPr>
              <w:ind w:firstLine="360"/>
              <w:jc w:val="left"/>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服务</w:t>
            </w:r>
            <w:r/>
          </w:p>
          <w:p>
            <w:pPr>
              <w:ind w:firstLine="360"/>
              <w:jc w:val="left"/>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规范</w:t>
            </w:r>
            <w:r/>
          </w:p>
          <w:p>
            <w:pPr>
              <w:jc w:val="left"/>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（200分）</w:t>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1"/>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1"/>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1"/>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1"/>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1"/>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1"/>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1"/>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1"/>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1"/>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1"/>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1"/>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物业</w:t>
            </w:r>
            <w:r/>
          </w:p>
          <w:p>
            <w:pPr>
              <w:ind w:firstLine="361"/>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服务</w:t>
            </w:r>
            <w:r/>
          </w:p>
          <w:p>
            <w:pPr>
              <w:ind w:firstLine="361"/>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规范</w:t>
            </w:r>
            <w:r/>
          </w:p>
          <w:p>
            <w:pP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（200分）</w:t>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tc>
        <w:tc>
          <w:tcPr>
            <w:gridSpan w:val="2"/>
            <w:tcBorders>
              <w:top w:val="single" w:color="000000" w:sz="8" w:space="0"/>
              <w:left w:val="single" w:color="000000" w:sz="8" w:space="0"/>
              <w:bottom w:val="single" w:color="000000" w:sz="8" w:space="0"/>
              <w:right w:val="single" w:color="000000" w:sz="8" w:space="0"/>
            </w:tcBorders>
            <w:tcW w:w="2190" w:type="dxa"/>
            <w:vAlign w:val="center"/>
            <w:textDirection w:val="lrTb"/>
            <w:noWrap w:val="false"/>
          </w:tcPr>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物业服务</w:t>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团队形象</w:t>
            </w:r>
            <w:r/>
          </w:p>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（5分）</w:t>
            </w:r>
            <w:r/>
          </w:p>
        </w:tc>
        <w:tc>
          <w:tcPr>
            <w:tcBorders>
              <w:top w:val="single" w:color="000000" w:sz="8" w:space="0"/>
              <w:left w:val="single" w:color="000000" w:sz="8" w:space="0"/>
              <w:bottom w:val="single" w:color="000000" w:sz="8" w:space="0"/>
              <w:right w:val="single" w:color="000000" w:sz="8" w:space="0"/>
            </w:tcBorders>
            <w:tcW w:w="4800" w:type="dxa"/>
            <w:vAlign w:val="center"/>
            <w:textDirection w:val="lrTb"/>
            <w:noWrap w:val="false"/>
          </w:tcPr>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1.物业基层服务团队精神饱满，内部配合有序，工作开展顺畅。</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2.物业基层服务团队衣着整洁，着装统一。</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3.物业基层服务团队年龄结构合理，平均年龄水平年轻化。</w:t>
            </w:r>
            <w:r/>
          </w:p>
        </w:tc>
        <w:tc>
          <w:tcPr>
            <w:tcBorders>
              <w:top w:val="single" w:color="000000" w:sz="8" w:space="0"/>
              <w:left w:val="single" w:color="000000" w:sz="8" w:space="0"/>
              <w:bottom w:val="single" w:color="000000" w:sz="8" w:space="0"/>
              <w:right w:val="single" w:color="000000" w:sz="8" w:space="0"/>
            </w:tcBorders>
            <w:tcW w:w="2850" w:type="dxa"/>
            <w:vAlign w:val="center"/>
            <w:textDirection w:val="lrTb"/>
            <w:noWrap w:val="false"/>
          </w:tcPr>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1.物业基层服务团队整体状态。</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2.物业基层服务团队衣着。</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3.物业基层服务团队年龄结构。</w:t>
            </w:r>
            <w:r/>
          </w:p>
        </w:tc>
        <w:tc>
          <w:tcPr>
            <w:tcBorders>
              <w:top w:val="single" w:color="000000" w:sz="8" w:space="0"/>
              <w:left w:val="single" w:color="000000" w:sz="8" w:space="0"/>
              <w:bottom w:val="single" w:color="000000" w:sz="8" w:space="0"/>
              <w:right w:val="single" w:color="000000" w:sz="8" w:space="0"/>
            </w:tcBorders>
            <w:tcW w:w="1590" w:type="dxa"/>
            <w:vAlign w:val="center"/>
            <w:textDirection w:val="lrTb"/>
            <w:noWrap w:val="false"/>
          </w:tcPr>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1.实地查看.</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2.日常检查</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3.查阅资料</w:t>
            </w:r>
            <w:r/>
          </w:p>
        </w:tc>
        <w:tc>
          <w:tcPr>
            <w:tcBorders>
              <w:top w:val="single" w:color="000000" w:sz="8" w:space="0"/>
              <w:left w:val="single" w:color="000000" w:sz="8" w:space="0"/>
              <w:bottom w:val="single" w:color="000000" w:sz="8" w:space="0"/>
              <w:right w:val="single" w:color="000000" w:sz="4" w:space="0"/>
            </w:tcBorders>
            <w:tcW w:w="1935" w:type="dxa"/>
            <w:vAlign w:val="center"/>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衣着未统一扣3分；平均年龄超过50岁，每增加一岁扣2分。</w:t>
            </w:r>
            <w:r/>
          </w:p>
        </w:tc>
      </w:tr>
      <w:tr>
        <w:trPr>
          <w:cantSplit/>
          <w:trHeight w:val="1260"/>
        </w:trPr>
        <w:tc>
          <w:tcPr>
            <w:tcBorders>
              <w:top w:val="single" w:color="000000" w:sz="8" w:space="0"/>
              <w:left w:val="single" w:color="000000" w:sz="4" w:space="0"/>
              <w:bottom w:val="single" w:color="000000" w:sz="8" w:space="0"/>
              <w:right w:val="single" w:color="000000" w:sz="8" w:space="0"/>
            </w:tcBorders>
            <w:tcW w:w="1288" w:type="dxa"/>
            <w:vAlign w:val="center"/>
            <w:vMerge w:val="continue"/>
            <w:textDirection w:val="tbRlV"/>
            <w:noWrap w:val="false"/>
          </w:tcPr>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W w:w="2190" w:type="dxa"/>
            <w:vAlign w:val="center"/>
            <w:textDirection w:val="lrTb"/>
            <w:noWrap w:val="false"/>
          </w:tcPr>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物业服务</w:t>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行为规范</w:t>
            </w:r>
            <w:r/>
          </w:p>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（5分）</w:t>
            </w:r>
            <w:r/>
          </w:p>
        </w:tc>
        <w:tc>
          <w:tcPr>
            <w:tcBorders>
              <w:top w:val="single" w:color="000000" w:sz="8" w:space="0"/>
              <w:left w:val="single" w:color="000000" w:sz="8" w:space="0"/>
              <w:bottom w:val="single" w:color="000000" w:sz="8" w:space="0"/>
              <w:right w:val="single" w:color="000000" w:sz="8" w:space="0"/>
            </w:tcBorders>
            <w:tcW w:w="4800" w:type="dxa"/>
            <w:vAlign w:val="center"/>
            <w:textDirection w:val="lrTb"/>
            <w:noWrap w:val="false"/>
          </w:tcPr>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1.物业基层服务人员言语文明规范，礼貌亲切，热情大方。无辱骂、殴打学生等现象。</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2.物业基层服务人员在岗期间不存在吸烟、打毛衣、玩手机、看影视剧等现象。</w:t>
            </w:r>
            <w:r/>
          </w:p>
          <w:p>
            <w:pPr>
              <w:jc w:val="left"/>
              <w:spacing w:line="360" w:lineRule="exact"/>
              <w:widowControl/>
              <w:rPr>
                <w:szCs w:val="22"/>
              </w:rPr>
            </w:pPr>
            <w:r>
              <w:rPr>
                <w:rFonts w:hint="eastAsia" w:ascii="宋体" w:hAnsi="宋体" w:cs="宋体"/>
                <w:color w:val="000000"/>
                <w:sz w:val="24"/>
                <w:szCs w:val="24"/>
                <w:lang w:bidi="ar"/>
              </w:rPr>
              <w:t xml:space="preserve">3.物业基层服务人员无脱岗、迟到、早退等现象。</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4.物业基层服务人员保持通讯畅通，确保个人、基层管理单位.公司和学校之间的信息互通，协同处理各类事件。</w:t>
            </w:r>
            <w:r/>
          </w:p>
        </w:tc>
        <w:tc>
          <w:tcPr>
            <w:tcBorders>
              <w:top w:val="single" w:color="000000" w:sz="8" w:space="0"/>
              <w:left w:val="single" w:color="000000" w:sz="8" w:space="0"/>
              <w:bottom w:val="single" w:color="000000" w:sz="8" w:space="0"/>
              <w:right w:val="single" w:color="000000" w:sz="8" w:space="0"/>
            </w:tcBorders>
            <w:tcW w:w="2850" w:type="dxa"/>
            <w:vAlign w:val="center"/>
            <w:textDirection w:val="lrTb"/>
            <w:noWrap w:val="false"/>
          </w:tcPr>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1.师生日常反馈          2.物业基层服务人员在岗状态。</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3.物业基层服务人员考勤情况。</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4.物业基层服务人员信息传递及时性。</w:t>
            </w:r>
            <w:r/>
          </w:p>
        </w:tc>
        <w:tc>
          <w:tcPr>
            <w:tcBorders>
              <w:top w:val="single" w:color="000000" w:sz="8" w:space="0"/>
              <w:left w:val="single" w:color="000000" w:sz="8" w:space="0"/>
              <w:bottom w:val="single" w:color="000000" w:sz="8" w:space="0"/>
              <w:right w:val="single" w:color="000000" w:sz="8" w:space="0"/>
            </w:tcBorders>
            <w:tcW w:w="1590" w:type="dxa"/>
            <w:vAlign w:val="center"/>
            <w:textDirection w:val="lrTb"/>
            <w:noWrap w:val="false"/>
          </w:tcPr>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1.日常检查</w:t>
            </w:r>
            <w:r/>
          </w:p>
          <w:p>
            <w:pPr>
              <w:ind w:firstLine="301"/>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8" w:space="0"/>
              <w:left w:val="single" w:color="000000" w:sz="8" w:space="0"/>
              <w:bottom w:val="single" w:color="000000" w:sz="8" w:space="0"/>
              <w:right w:val="single" w:color="000000" w:sz="4" w:space="0"/>
            </w:tcBorders>
            <w:tcW w:w="1935" w:type="dxa"/>
            <w:vAlign w:val="center"/>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物业基层管理单位物业服务人员违纪2分/人；通讯不畅2分/人。</w:t>
            </w:r>
            <w:r/>
          </w:p>
        </w:tc>
      </w:tr>
      <w:tr>
        <w:trPr>
          <w:cantSplit/>
          <w:trHeight w:val="90"/>
        </w:trPr>
        <w:tc>
          <w:tcPr>
            <w:tcBorders>
              <w:top w:val="single" w:color="000000" w:sz="8" w:space="0"/>
              <w:left w:val="single" w:color="000000" w:sz="4" w:space="0"/>
              <w:bottom w:val="single" w:color="000000" w:sz="8" w:space="0"/>
              <w:right w:val="single" w:color="000000" w:sz="8" w:space="0"/>
            </w:tcBorders>
            <w:tcW w:w="1288" w:type="dxa"/>
            <w:vAlign w:val="center"/>
            <w:vMerge w:val="continue"/>
            <w:textDirection w:val="tbRlV"/>
            <w:noWrap w:val="false"/>
          </w:tcPr>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r>
            <w:r/>
          </w:p>
        </w:tc>
        <w:tc>
          <w:tcPr>
            <w:tcBorders>
              <w:top w:val="single" w:color="000000" w:sz="8" w:space="0"/>
              <w:left w:val="single" w:color="000000" w:sz="8" w:space="0"/>
              <w:bottom w:val="single" w:color="000000" w:sz="8" w:space="0"/>
              <w:right w:val="single" w:color="000000" w:sz="8" w:space="0"/>
            </w:tcBorders>
            <w:tcW w:w="240" w:type="dxa"/>
            <w:vAlign w:val="center"/>
            <w:vMerge w:val="restart"/>
            <w:textDirection w:val="lrTb"/>
            <w:noWrap w:val="false"/>
          </w:tcPr>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tc>
        <w:tc>
          <w:tcPr>
            <w:tcBorders>
              <w:top w:val="single" w:color="000000" w:sz="8" w:space="0"/>
              <w:left w:val="single" w:color="000000" w:sz="8" w:space="0"/>
              <w:bottom w:val="single" w:color="000000" w:sz="8" w:space="0"/>
              <w:right w:val="single" w:color="000000" w:sz="8" w:space="0"/>
            </w:tcBorders>
            <w:tcW w:w="1950" w:type="dxa"/>
            <w:vAlign w:val="center"/>
            <w:textDirection w:val="lrTb"/>
            <w:noWrap w:val="false"/>
          </w:tcPr>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241"/>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秩序管理</w:t>
            </w:r>
            <w:r/>
          </w:p>
          <w:p>
            <w:pPr>
              <w:ind w:firstLine="360"/>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（30分）</w:t>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tc>
        <w:tc>
          <w:tcPr>
            <w:tcBorders>
              <w:top w:val="single" w:color="000000" w:sz="8" w:space="0"/>
              <w:left w:val="single" w:color="000000" w:sz="8" w:space="0"/>
              <w:bottom w:val="single" w:color="000000" w:sz="8" w:space="0"/>
              <w:right w:val="single" w:color="000000" w:sz="8" w:space="0"/>
            </w:tcBorders>
            <w:tcW w:w="4800" w:type="dxa"/>
            <w:vAlign w:val="center"/>
            <w:textDirection w:val="lrTb"/>
            <w:noWrap w:val="false"/>
          </w:tcPr>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1.物业基层管理单位实行封闭式管理，全天24小时实行“双岗制”。</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2.物业基层管理单位管理有序，各班次交接顺畅，且符合规范。</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3.物业基层管理单位日常管理台账记录清晰，管理规范有序。</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4.物业基层管理单位要做好站内大厅.公共出入口.周边环境美化工作，无违章海报、传单等张贴。</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5.每日开展宿舍检查工作，及时处置并上报宿舍内的违章电器、私拉乱接等违纪行为。</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6.每日开展夜间巡查工作，巡查范围不少于一个单元或一层公寓。对晚归、夜不归宿等现象要及时登记，并上报相关单位。</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7.对公寓内学生不文明现象要及时劝导，做好引导、说服和教育工作。</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8.要经常深入学生公寓，及时掌握学生动态。对本站学生的识别率较高。</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9.在常规管理中发现的异常情况，要及时做好信息报送工作。</w:t>
            </w:r>
            <w:r/>
          </w:p>
        </w:tc>
        <w:tc>
          <w:tcPr>
            <w:tcBorders>
              <w:top w:val="single" w:color="000000" w:sz="8" w:space="0"/>
              <w:left w:val="single" w:color="000000" w:sz="8" w:space="0"/>
              <w:bottom w:val="single" w:color="000000" w:sz="8" w:space="0"/>
              <w:right w:val="single" w:color="000000" w:sz="8" w:space="0"/>
            </w:tcBorders>
            <w:tcW w:w="2850" w:type="dxa"/>
            <w:vAlign w:val="center"/>
            <w:textDirection w:val="lrTb"/>
            <w:noWrap w:val="false"/>
          </w:tcPr>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1.物业基层管理单位“双岗制”值班情况。</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2.物业基层管理单位交接班记录。</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3.物业基层管理单位值班室无脱岗现象。</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4.物业基层管理单位站内大厅美化及周边环境整治。</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5.物业基层管理单位安全管理规范。</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6.物业基层管理单位夜间巡查情况。</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7.物业基层管理单位管理育人情况。</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8.物业基层管理服务人员对学生的熟知度。</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9.物业基层管理单位信息报送情况。</w:t>
            </w:r>
            <w:r/>
          </w:p>
        </w:tc>
        <w:tc>
          <w:tcPr>
            <w:tcBorders>
              <w:top w:val="single" w:color="000000" w:sz="8" w:space="0"/>
              <w:left w:val="single" w:color="000000" w:sz="8" w:space="0"/>
              <w:bottom w:val="single" w:color="000000" w:sz="8" w:space="0"/>
              <w:right w:val="single" w:color="000000" w:sz="8" w:space="0"/>
            </w:tcBorders>
            <w:tcW w:w="1590" w:type="dxa"/>
            <w:vAlign w:val="center"/>
            <w:textDirection w:val="lrTb"/>
            <w:noWrap w:val="false"/>
          </w:tcPr>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1.日常检查</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2.电话抽查</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3.学生反馈</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4.台账资料</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5.特殊案例</w:t>
            </w:r>
            <w:r/>
          </w:p>
          <w:p>
            <w:pPr>
              <w:jc w:val="left"/>
              <w:spacing w:line="360" w:lineRule="exact"/>
              <w:widowControl/>
              <w:rPr>
                <w:rFonts w:ascii="宋体" w:hAnsi="宋体" w:cs="宋体"/>
                <w:color w:val="000000"/>
                <w:sz w:val="24"/>
                <w:szCs w:val="24"/>
              </w:rPr>
            </w:pPr>
            <w:r>
              <w:rPr>
                <w:rFonts w:hint="eastAsia" w:ascii="宋体" w:hAnsi="宋体" w:cs="宋体"/>
                <w:color w:val="000000"/>
                <w:sz w:val="24"/>
                <w:szCs w:val="24"/>
                <w:lang w:bidi="ar"/>
              </w:rPr>
              <w:t xml:space="preserve">6.考核抽查</w:t>
            </w:r>
            <w:r/>
          </w:p>
        </w:tc>
        <w:tc>
          <w:tcPr>
            <w:tcBorders>
              <w:top w:val="single" w:color="000000" w:sz="8" w:space="0"/>
              <w:left w:val="single" w:color="000000" w:sz="8" w:space="0"/>
              <w:bottom w:val="single" w:color="000000" w:sz="8" w:space="0"/>
              <w:right w:val="single" w:color="000000" w:sz="4" w:space="0"/>
            </w:tcBorders>
            <w:tcW w:w="1935" w:type="dxa"/>
            <w:vAlign w:val="center"/>
            <w:textDirection w:val="lrTb"/>
            <w:noWrap w:val="false"/>
          </w:tcPr>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未落实“双岗制”本项不得分；脱岗10分/次；门厅及周边管理不规范扣5分/次；夜间巡查率不达标5分/次；异常情况未报送扣5分/起；人员识别率不高酌情扣分。</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有特殊教育案例的每项加5分。</w:t>
            </w:r>
            <w:r/>
          </w:p>
        </w:tc>
      </w:tr>
      <w:tr>
        <w:trPr>
          <w:cantSplit/>
          <w:trHeight w:val="90"/>
        </w:trPr>
        <w:tc>
          <w:tcPr>
            <w:tcBorders>
              <w:top w:val="single" w:color="000000" w:sz="8" w:space="0"/>
              <w:left w:val="single" w:color="000000" w:sz="4" w:space="0"/>
              <w:bottom w:val="single" w:color="000000" w:sz="8" w:space="0"/>
              <w:right w:val="single" w:color="000000" w:sz="8" w:space="0"/>
            </w:tcBorders>
            <w:tcW w:w="1288" w:type="dxa"/>
            <w:vAlign w:val="center"/>
            <w:vMerge w:val="continue"/>
            <w:textDirection w:val="tbRlV"/>
            <w:noWrap w:val="false"/>
          </w:tcPr>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r>
            <w:r/>
          </w:p>
        </w:tc>
        <w:tc>
          <w:tcPr>
            <w:tcBorders>
              <w:top w:val="single" w:color="000000" w:sz="8" w:space="0"/>
              <w:left w:val="single" w:color="000000" w:sz="8" w:space="0"/>
              <w:bottom w:val="single" w:color="000000" w:sz="8" w:space="0"/>
              <w:right w:val="single" w:color="000000" w:sz="8" w:space="0"/>
            </w:tcBorders>
            <w:tcW w:w="240" w:type="dxa"/>
            <w:vAlign w:val="center"/>
            <w:vMerge w:val="continue"/>
            <w:textDirection w:val="tbRlV"/>
            <w:noWrap w:val="false"/>
          </w:tcPr>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r>
            <w:r/>
          </w:p>
        </w:tc>
        <w:tc>
          <w:tcPr>
            <w:tcBorders>
              <w:top w:val="single" w:color="000000" w:sz="8" w:space="0"/>
              <w:left w:val="single" w:color="000000" w:sz="8" w:space="0"/>
              <w:bottom w:val="single" w:color="000000" w:sz="8" w:space="0"/>
              <w:right w:val="single" w:color="000000" w:sz="8" w:space="0"/>
            </w:tcBorders>
            <w:tcW w:w="1950" w:type="dxa"/>
            <w:vAlign w:val="center"/>
            <w:textDirection w:val="lrTb"/>
            <w:noWrap w:val="false"/>
          </w:tcPr>
          <w:p>
            <w:pPr>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环境卫生</w:t>
            </w:r>
            <w:r/>
          </w:p>
          <w:p>
            <w:pPr>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（30分）</w:t>
            </w:r>
            <w:r/>
          </w:p>
        </w:tc>
        <w:tc>
          <w:tcPr>
            <w:tcBorders>
              <w:top w:val="single" w:color="000000" w:sz="8" w:space="0"/>
              <w:left w:val="single" w:color="000000" w:sz="8" w:space="0"/>
              <w:bottom w:val="single" w:color="000000" w:sz="8" w:space="0"/>
              <w:right w:val="single" w:color="000000" w:sz="8" w:space="0"/>
            </w:tcBorders>
            <w:tcW w:w="4800"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1.做好门厅、站内公共部位的卫生保洁工作，保持全天干净整洁，每天清扫不少于2次。</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2.做好楼宇周边和草坪的清扫工作，保持全天整洁、无积水、无垃圾、无杂草。</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3.做好公共洗衣房、开水房的保洁工作，每天清扫、拖洗不少于2次，保持全天整洁，做到地面无积水、无污垢、无异味。墙面保持整洁，无乱悬挂、乱张贴等现象。</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4.做好公共车棚的保洁和整理工作，楼前车辆停放有序、规范，无乱停乱放现象。</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5.做到垃圾日产日清，每天清运垃圾不少于2次。保持垃圾堆放处整洁、无污水、无异味。垃圾桶无明显污渍、不过满。清运过程中不得产生二次污染。</w:t>
            </w:r>
            <w:r/>
          </w:p>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6.物业基层管理单位每天对学生寝室内务进行检查，每天检查不少于一个单元或一层公寓楼。检查记录规范。每日公布宿舍环境卫生情况。</w:t>
            </w:r>
            <w:r/>
          </w:p>
        </w:tc>
        <w:tc>
          <w:tcPr>
            <w:tcBorders>
              <w:top w:val="single" w:color="000000" w:sz="8" w:space="0"/>
              <w:left w:val="single" w:color="000000" w:sz="8" w:space="0"/>
              <w:bottom w:val="single" w:color="000000" w:sz="8" w:space="0"/>
              <w:right w:val="single" w:color="000000" w:sz="8" w:space="0"/>
            </w:tcBorders>
            <w:tcW w:w="2850"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1.物业基层管理单位楼内公共部位及周边环境保洁。</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2.物业基层管理单位公共洗衣房、开水房保洁状况。</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3.物业基层管理单位公共车棚管理。</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4.物业基层管理单位垃圾堆放处卫生及垃圾清运情况。</w:t>
            </w:r>
            <w:r/>
          </w:p>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5.物业基层管理单位学生寝室内务管理水平。</w:t>
            </w:r>
            <w:r/>
          </w:p>
        </w:tc>
        <w:tc>
          <w:tcPr>
            <w:tcBorders>
              <w:top w:val="single" w:color="000000" w:sz="8" w:space="0"/>
              <w:left w:val="single" w:color="000000" w:sz="8" w:space="0"/>
              <w:bottom w:val="single" w:color="000000" w:sz="8" w:space="0"/>
              <w:right w:val="single" w:color="000000" w:sz="8" w:space="0"/>
            </w:tcBorders>
            <w:tcW w:w="1590"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1.实地查看</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2.日常检查</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3.学生反馈</w:t>
            </w:r>
            <w:r/>
          </w:p>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4.查阅资料</w:t>
            </w:r>
            <w:r/>
          </w:p>
        </w:tc>
        <w:tc>
          <w:tcPr>
            <w:tcBorders>
              <w:top w:val="single" w:color="000000" w:sz="8" w:space="0"/>
              <w:left w:val="single" w:color="000000" w:sz="8" w:space="0"/>
              <w:bottom w:val="single" w:color="000000" w:sz="8" w:space="0"/>
              <w:right w:val="single" w:color="000000" w:sz="4" w:space="0"/>
            </w:tcBorders>
            <w:tcW w:w="1935" w:type="dxa"/>
            <w:vAlign w:val="center"/>
            <w:textDirection w:val="lrTb"/>
            <w:noWrap w:val="false"/>
          </w:tcPr>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公共部位保洁未达到标准扣2分/次；内务检查率不达标扣5分/次。</w:t>
            </w:r>
            <w:r/>
          </w:p>
        </w:tc>
      </w:tr>
      <w:tr>
        <w:trPr>
          <w:cantSplit/>
          <w:trHeight w:val="3411"/>
        </w:trPr>
        <w:tc>
          <w:tcPr>
            <w:tcBorders>
              <w:top w:val="single" w:color="000000" w:sz="8" w:space="0"/>
              <w:left w:val="single" w:color="000000" w:sz="4" w:space="0"/>
              <w:bottom w:val="single" w:color="000000" w:sz="8" w:space="0"/>
              <w:right w:val="single" w:color="000000" w:sz="8" w:space="0"/>
            </w:tcBorders>
            <w:tcW w:w="1288" w:type="dxa"/>
            <w:vAlign w:val="center"/>
            <w:vMerge w:val="continue"/>
            <w:textDirection w:val="tbRlV"/>
            <w:noWrap w:val="false"/>
          </w:tcPr>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r>
            <w:r/>
          </w:p>
        </w:tc>
        <w:tc>
          <w:tcPr>
            <w:tcBorders>
              <w:top w:val="single" w:color="000000" w:sz="8" w:space="0"/>
              <w:left w:val="single" w:color="000000" w:sz="8" w:space="0"/>
              <w:bottom w:val="single" w:color="000000" w:sz="8" w:space="0"/>
              <w:right w:val="single" w:color="000000" w:sz="8" w:space="0"/>
            </w:tcBorders>
            <w:tcW w:w="240" w:type="dxa"/>
            <w:vAlign w:val="center"/>
            <w:vMerge w:val="continue"/>
            <w:textDirection w:val="tbRlV"/>
            <w:noWrap w:val="false"/>
          </w:tcPr>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r>
            <w:r/>
          </w:p>
        </w:tc>
        <w:tc>
          <w:tcPr>
            <w:tcBorders>
              <w:top w:val="single" w:color="000000" w:sz="8" w:space="0"/>
              <w:left w:val="single" w:color="000000" w:sz="8" w:space="0"/>
              <w:bottom w:val="single" w:color="000000" w:sz="8" w:space="0"/>
              <w:right w:val="single" w:color="000000" w:sz="8" w:space="0"/>
            </w:tcBorders>
            <w:tcW w:w="1950" w:type="dxa"/>
            <w:vAlign w:val="center"/>
            <w:textDirection w:val="lrTb"/>
            <w:noWrap w:val="false"/>
          </w:tcPr>
          <w:p>
            <w:pPr>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安全保障</w:t>
            </w:r>
            <w:r/>
          </w:p>
          <w:p>
            <w:pPr>
              <w:ind w:firstLine="241"/>
              <w:spacing w:line="360" w:lineRule="exac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（30分）</w:t>
            </w:r>
            <w:r/>
          </w:p>
        </w:tc>
        <w:tc>
          <w:tcPr>
            <w:tcBorders>
              <w:top w:val="single" w:color="000000" w:sz="8" w:space="0"/>
              <w:left w:val="single" w:color="000000" w:sz="8" w:space="0"/>
              <w:bottom w:val="single" w:color="000000" w:sz="8" w:space="0"/>
              <w:right w:val="single" w:color="000000" w:sz="8" w:space="0"/>
            </w:tcBorders>
            <w:tcW w:w="4800"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1.安全保障设备齐备（应急手电等），且存放有序。</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2.安全检查台账齐全，且记录清晰。</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3.应建立每日巡查制度，对公共部门进行巡检，及时排除安全隐患。</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4.公寓服务人员要熟悉消防设施位置，熟练使用消防设施。</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5.需坚持每天夜间巡查制度，加强对站内公共部门、周边围栏隐秘部位的巡查。</w:t>
            </w:r>
            <w:r/>
          </w:p>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6.应熟悉安全事件的处置流程，及时处理，及时上报各相关部门，不迟报、误报。</w:t>
            </w:r>
            <w:r/>
          </w:p>
        </w:tc>
        <w:tc>
          <w:tcPr>
            <w:tcBorders>
              <w:top w:val="single" w:color="000000" w:sz="8" w:space="0"/>
              <w:left w:val="single" w:color="000000" w:sz="8" w:space="0"/>
              <w:bottom w:val="single" w:color="000000" w:sz="8" w:space="0"/>
              <w:right w:val="single" w:color="000000" w:sz="8" w:space="0"/>
            </w:tcBorders>
            <w:tcW w:w="2850"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1.物业基层管理单位安全保障设备管理情况。</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2.物业基层管理单位安全检查台账管理。</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3.物业基层管理单位安全巡查制度（夜间）及执行情况</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4.物业基层管理服务人员熟知公寓安全部位，掌握必备的安全知识。</w:t>
            </w:r>
            <w:r/>
          </w:p>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5.物业基层管理单位安全事件处置情况。</w:t>
            </w:r>
            <w:r/>
          </w:p>
        </w:tc>
        <w:tc>
          <w:tcPr>
            <w:tcBorders>
              <w:top w:val="single" w:color="000000" w:sz="8" w:space="0"/>
              <w:left w:val="single" w:color="000000" w:sz="8" w:space="0"/>
              <w:bottom w:val="single" w:color="000000" w:sz="8" w:space="0"/>
              <w:right w:val="single" w:color="000000" w:sz="8" w:space="0"/>
            </w:tcBorders>
            <w:tcW w:w="1590"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1.实地查看</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2.查阅资料</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3.日常检查</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4.抽样调查</w:t>
            </w:r>
            <w:r/>
          </w:p>
          <w:p>
            <w:pPr>
              <w:ind w:firstLine="301"/>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8" w:space="0"/>
              <w:left w:val="single" w:color="000000" w:sz="8" w:space="0"/>
              <w:bottom w:val="single" w:color="000000" w:sz="8" w:space="0"/>
              <w:right w:val="single" w:color="000000" w:sz="4" w:space="0"/>
            </w:tcBorders>
            <w:tcW w:w="1935" w:type="dxa"/>
            <w:vAlign w:val="center"/>
            <w:textDirection w:val="lrTb"/>
            <w:noWrap w:val="false"/>
          </w:tcPr>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未配备必要的安全保障设备扣10分；安全管理规范不达标扣2分/次；突发安全事件处置不利扣5分/次；不会使用安全设施5分/人。</w:t>
            </w:r>
            <w:r/>
          </w:p>
        </w:tc>
      </w:tr>
      <w:tr>
        <w:trPr>
          <w:cantSplit/>
          <w:trHeight w:val="1980"/>
        </w:trPr>
        <w:tc>
          <w:tcPr>
            <w:tcBorders>
              <w:top w:val="single" w:color="000000" w:sz="8" w:space="0"/>
              <w:left w:val="single" w:color="000000" w:sz="4" w:space="0"/>
              <w:bottom w:val="single" w:color="000000" w:sz="8" w:space="0"/>
              <w:right w:val="single" w:color="000000" w:sz="8" w:space="0"/>
            </w:tcBorders>
            <w:tcW w:w="1288" w:type="dxa"/>
            <w:vAlign w:val="center"/>
            <w:vMerge w:val="continue"/>
            <w:textDirection w:val="tbRlV"/>
            <w:noWrap w:val="false"/>
          </w:tcPr>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r>
            <w:r/>
          </w:p>
        </w:tc>
        <w:tc>
          <w:tcPr>
            <w:tcBorders>
              <w:top w:val="single" w:color="000000" w:sz="8" w:space="0"/>
              <w:left w:val="single" w:color="000000" w:sz="8" w:space="0"/>
              <w:bottom w:val="single" w:color="000000" w:sz="8" w:space="0"/>
              <w:right w:val="single" w:color="000000" w:sz="8" w:space="0"/>
            </w:tcBorders>
            <w:tcW w:w="240" w:type="dxa"/>
            <w:vAlign w:val="center"/>
            <w:vMerge w:val="continue"/>
            <w:textDirection w:val="tbRlV"/>
            <w:noWrap w:val="false"/>
          </w:tcPr>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r>
            <w:r/>
          </w:p>
        </w:tc>
        <w:tc>
          <w:tcPr>
            <w:tcBorders>
              <w:top w:val="single" w:color="000000" w:sz="8" w:space="0"/>
              <w:left w:val="single" w:color="000000" w:sz="8" w:space="0"/>
              <w:bottom w:val="single" w:color="000000" w:sz="8" w:space="0"/>
              <w:right w:val="single" w:color="000000" w:sz="8" w:space="0"/>
            </w:tcBorders>
            <w:tcW w:w="1950" w:type="dxa"/>
            <w:vAlign w:val="center"/>
            <w:textDirection w:val="lrTb"/>
            <w:noWrap w:val="false"/>
          </w:tcPr>
          <w:p>
            <w:pPr>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应急处置</w:t>
            </w:r>
            <w:r/>
          </w:p>
          <w:p>
            <w:pPr>
              <w:ind w:firstLine="241"/>
              <w:spacing w:line="360" w:lineRule="exac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（10分）</w:t>
            </w:r>
            <w:r/>
          </w:p>
        </w:tc>
        <w:tc>
          <w:tcPr>
            <w:tcBorders>
              <w:top w:val="single" w:color="000000" w:sz="8" w:space="0"/>
              <w:left w:val="single" w:color="000000" w:sz="8" w:space="0"/>
              <w:bottom w:val="single" w:color="000000" w:sz="8" w:space="0"/>
              <w:right w:val="single" w:color="000000" w:sz="8" w:space="0"/>
            </w:tcBorders>
            <w:tcW w:w="4800"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1.要有突发事件应急处置预案。</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2.应熟记校园内相关应急电话            3.物业基层管理单位服务人员应掌握必备的应急救治常识和技能。</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3.应配备相应的应急处置物资，定期检查相关物资不过期。</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4.对各类突发事件要及时上报和记录（含处置措施），做好应急处置工作。</w:t>
            </w:r>
            <w:r/>
          </w:p>
        </w:tc>
        <w:tc>
          <w:tcPr>
            <w:tcBorders>
              <w:top w:val="single" w:color="000000" w:sz="8" w:space="0"/>
              <w:left w:val="single" w:color="000000" w:sz="8" w:space="0"/>
              <w:bottom w:val="single" w:color="000000" w:sz="8" w:space="0"/>
              <w:right w:val="single" w:color="000000" w:sz="8" w:space="0"/>
            </w:tcBorders>
            <w:tcW w:w="2850"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1.针对突发事件应急处置预案。</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2.服务人员急救流程和急救知识掌握情况。</w:t>
            </w:r>
            <w:r/>
          </w:p>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3.应急处置物资配备及管理情况。</w:t>
            </w:r>
            <w:r/>
          </w:p>
        </w:tc>
        <w:tc>
          <w:tcPr>
            <w:tcBorders>
              <w:top w:val="single" w:color="000000" w:sz="8" w:space="0"/>
              <w:left w:val="single" w:color="000000" w:sz="8" w:space="0"/>
              <w:bottom w:val="single" w:color="000000" w:sz="8" w:space="0"/>
              <w:right w:val="single" w:color="000000" w:sz="8" w:space="0"/>
            </w:tcBorders>
            <w:tcW w:w="1590"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1.查阅资料</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2.抽样调查</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3.实地查看</w:t>
            </w:r>
            <w:r/>
          </w:p>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4.日常检查</w:t>
            </w:r>
            <w:r/>
          </w:p>
        </w:tc>
        <w:tc>
          <w:tcPr>
            <w:tcBorders>
              <w:top w:val="single" w:color="000000" w:sz="8" w:space="0"/>
              <w:left w:val="single" w:color="000000" w:sz="8" w:space="0"/>
              <w:bottom w:val="single" w:color="000000" w:sz="8" w:space="0"/>
              <w:right w:val="single" w:color="000000" w:sz="4" w:space="0"/>
            </w:tcBorders>
            <w:tcW w:w="1935"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不熟知应急电话扣5分/人；无突发事件应急处预案扣10分；未提供必要的应急处置物质扣10分；各类突发事件未及时上报扣5分/起。</w:t>
            </w:r>
            <w:r/>
          </w:p>
        </w:tc>
      </w:tr>
      <w:tr>
        <w:trPr>
          <w:cantSplit/>
          <w:trHeight w:val="90"/>
        </w:trPr>
        <w:tc>
          <w:tcPr>
            <w:tcBorders>
              <w:top w:val="single" w:color="000000" w:sz="8" w:space="0"/>
              <w:left w:val="single" w:color="000000" w:sz="4" w:space="0"/>
              <w:bottom w:val="single" w:color="000000" w:sz="8" w:space="0"/>
              <w:right w:val="single" w:color="000000" w:sz="8" w:space="0"/>
            </w:tcBorders>
            <w:tcW w:w="1288" w:type="dxa"/>
            <w:vAlign w:val="center"/>
            <w:vMerge w:val="continue"/>
            <w:textDirection w:val="tbRlV"/>
            <w:noWrap w:val="false"/>
          </w:tcPr>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r>
            <w:r/>
          </w:p>
        </w:tc>
        <w:tc>
          <w:tcPr>
            <w:tcBorders>
              <w:top w:val="single" w:color="000000" w:sz="8" w:space="0"/>
              <w:left w:val="single" w:color="000000" w:sz="8" w:space="0"/>
              <w:bottom w:val="single" w:color="000000" w:sz="8" w:space="0"/>
              <w:right w:val="single" w:color="000000" w:sz="8" w:space="0"/>
            </w:tcBorders>
            <w:tcW w:w="240" w:type="dxa"/>
            <w:vAlign w:val="center"/>
            <w:vMerge w:val="continue"/>
            <w:textDirection w:val="tbRlV"/>
            <w:noWrap w:val="false"/>
          </w:tcPr>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r>
            <w:r/>
          </w:p>
        </w:tc>
        <w:tc>
          <w:tcPr>
            <w:tcBorders>
              <w:top w:val="single" w:color="000000" w:sz="8" w:space="0"/>
              <w:left w:val="single" w:color="000000" w:sz="8" w:space="0"/>
              <w:bottom w:val="single" w:color="000000" w:sz="8" w:space="0"/>
              <w:right w:val="single" w:color="000000" w:sz="8" w:space="0"/>
            </w:tcBorders>
            <w:tcW w:w="1950" w:type="dxa"/>
            <w:vAlign w:val="center"/>
            <w:textDirection w:val="lrTb"/>
            <w:noWrap w:val="false"/>
          </w:tcPr>
          <w:p>
            <w:pPr>
              <w:ind w:firstLine="241"/>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维修服务</w:t>
            </w:r>
            <w:r/>
          </w:p>
          <w:p>
            <w:pPr>
              <w:ind w:firstLine="241"/>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（40分）</w:t>
            </w:r>
            <w:r/>
          </w:p>
          <w:p>
            <w:pPr>
              <w:ind w:firstLine="27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27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27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27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r>
            <w:r/>
          </w:p>
        </w:tc>
        <w:tc>
          <w:tcPr>
            <w:tcBorders>
              <w:top w:val="single" w:color="000000" w:sz="8" w:space="0"/>
              <w:left w:val="single" w:color="000000" w:sz="8" w:space="0"/>
              <w:bottom w:val="single" w:color="000000" w:sz="8" w:space="0"/>
              <w:right w:val="single" w:color="000000" w:sz="8" w:space="0"/>
            </w:tcBorders>
            <w:tcW w:w="4800" w:type="dxa"/>
            <w:vAlign w:val="center"/>
            <w:textDirection w:val="lrTb"/>
            <w:noWrap w:val="false"/>
          </w:tcPr>
          <w:p>
            <w:pPr>
              <w:spacing w:line="3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1.物业基层管理单位维修服务制度健全，设立统一报修服务电话，报修顺畅。</w:t>
            </w:r>
            <w:r/>
          </w:p>
          <w:p>
            <w:pPr>
              <w:spacing w:line="3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2.物业基层管理单位维修服务台账记录规范。</w:t>
            </w:r>
            <w:r/>
          </w:p>
          <w:p>
            <w:pPr>
              <w:spacing w:line="3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3.物业基层管理单位维修服务收费规范。</w:t>
            </w:r>
            <w:r/>
          </w:p>
          <w:p>
            <w:pPr>
              <w:spacing w:line="3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（1）易耗品（水龙头.灯泡等）及时维修.更换，不收费。</w:t>
            </w:r>
            <w:r/>
          </w:p>
          <w:p>
            <w:pPr>
              <w:spacing w:line="3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（2）家具维修除学生恶意破坏，及时修缮，不收费。</w:t>
            </w:r>
            <w:r/>
          </w:p>
          <w:p>
            <w:pPr>
              <w:spacing w:line="3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（3）公共部位单件在500元以下的设施和设备（除消防设施.公共洗衣和开水设施）须及时维修或更换。</w:t>
            </w:r>
            <w:r/>
          </w:p>
          <w:p>
            <w:pPr>
              <w:spacing w:line="3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（4）对于楼宇内单件500元以上（不含500元）的小型维修项目报甲方备案确认后，由甲方组织维修，物业基层管理单位做好协助工作。</w:t>
            </w:r>
            <w:r/>
          </w:p>
          <w:p>
            <w:pPr>
              <w:spacing w:line="3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物业基层管理单位应承担的维修项目确保维修及时、快速，紧急维修响应不超过半个小时，一般维修半个工作日内并且当天完成，大型维修及时上报，并做好学生解释工作，配合做好维修实施工作，确保学生学习、生活正常秩序。</w:t>
            </w:r>
            <w:r/>
          </w:p>
          <w:p>
            <w:pPr>
              <w:spacing w:line="34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5.物业基层管理单位在提供维修服务时，要及时做好与保修人信息沟通工作，对无法及时维修的项目，要做好学生解释和说明工作。</w:t>
            </w:r>
            <w:r/>
          </w:p>
        </w:tc>
        <w:tc>
          <w:tcPr>
            <w:tcBorders>
              <w:top w:val="single" w:color="000000" w:sz="8" w:space="0"/>
              <w:left w:val="single" w:color="000000" w:sz="8" w:space="0"/>
              <w:bottom w:val="single" w:color="000000" w:sz="8" w:space="0"/>
              <w:right w:val="single" w:color="000000" w:sz="8" w:space="0"/>
            </w:tcBorders>
            <w:tcW w:w="2850"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1.物业基层管理单位维修制度及报修接待情况</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2.物业基层管理单位维修服务台账</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3.物业基层管理单位维修服务收费情况。</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4.物业基层管理单位对学生报修的反应情况及维修情况。</w:t>
            </w:r>
            <w:r/>
          </w:p>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5.物业基层管理单位对无法及时维修项目的处理情况。</w:t>
            </w:r>
            <w:r/>
          </w:p>
        </w:tc>
        <w:tc>
          <w:tcPr>
            <w:tcBorders>
              <w:top w:val="single" w:color="000000" w:sz="8" w:space="0"/>
              <w:left w:val="single" w:color="000000" w:sz="8" w:space="0"/>
              <w:bottom w:val="single" w:color="000000" w:sz="8" w:space="0"/>
              <w:right w:val="single" w:color="000000" w:sz="8" w:space="0"/>
            </w:tcBorders>
            <w:tcW w:w="1590"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1.查阅资料</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2.查阅台账</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3.学生反馈</w:t>
            </w:r>
            <w:r/>
          </w:p>
          <w:p>
            <w:pPr>
              <w:ind w:firstLine="301"/>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301"/>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301"/>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301"/>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8" w:space="0"/>
              <w:left w:val="single" w:color="000000" w:sz="8" w:space="0"/>
              <w:bottom w:val="single" w:color="000000" w:sz="8" w:space="0"/>
              <w:right w:val="single" w:color="000000" w:sz="4" w:space="0"/>
            </w:tcBorders>
            <w:tcW w:w="1935" w:type="dxa"/>
            <w:vAlign w:val="center"/>
            <w:textDirection w:val="lrTb"/>
            <w:noWrap w:val="false"/>
          </w:tcPr>
          <w:p>
            <w:pPr>
              <w:ind w:firstLine="301"/>
              <w:jc w:val="cente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301"/>
              <w:jc w:val="cente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301"/>
              <w:jc w:val="cente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301"/>
              <w:jc w:val="cente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301"/>
              <w:jc w:val="cente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301"/>
              <w:jc w:val="cente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301"/>
              <w:jc w:val="cente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301"/>
              <w:jc w:val="cente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301"/>
              <w:jc w:val="cente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301"/>
              <w:jc w:val="cente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301"/>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违规收费扣10分/次；物业维修处置不规范5分/次；未设立报修服务和监督电话扣10分。</w:t>
            </w:r>
            <w:r/>
          </w:p>
        </w:tc>
      </w:tr>
      <w:tr>
        <w:trPr>
          <w:cantSplit/>
          <w:trHeight w:val="1531"/>
        </w:trPr>
        <w:tc>
          <w:tcPr>
            <w:tcBorders>
              <w:top w:val="single" w:color="000000" w:sz="8" w:space="0"/>
              <w:left w:val="single" w:color="000000" w:sz="4" w:space="0"/>
              <w:bottom w:val="single" w:color="000000" w:sz="8" w:space="0"/>
              <w:right w:val="single" w:color="000000" w:sz="8" w:space="0"/>
            </w:tcBorders>
            <w:tcW w:w="1288" w:type="dxa"/>
            <w:vAlign w:val="center"/>
            <w:vMerge w:val="continue"/>
            <w:textDirection w:val="tbRlV"/>
            <w:noWrap w:val="false"/>
          </w:tcPr>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W w:w="2190" w:type="dxa"/>
            <w:vAlign w:val="center"/>
            <w:textDirection w:val="lrTb"/>
            <w:noWrap w:val="false"/>
          </w:tcPr>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物业人员</w:t>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信息化水平</w:t>
            </w:r>
            <w:r/>
          </w:p>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（5分）</w:t>
            </w:r>
            <w:r/>
          </w:p>
        </w:tc>
        <w:tc>
          <w:tcPr>
            <w:tcBorders>
              <w:top w:val="single" w:color="000000" w:sz="8" w:space="0"/>
              <w:left w:val="single" w:color="000000" w:sz="8" w:space="0"/>
              <w:bottom w:val="single" w:color="000000" w:sz="8" w:space="0"/>
              <w:right w:val="single" w:color="000000" w:sz="8" w:space="0"/>
            </w:tcBorders>
            <w:tcW w:w="4800"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1.物业基层管理单位服务人员应熟悉公寓管理系统的使用，熟练开展相关工作。</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2.物业基层管理单位服务人员应熟练运用OFFICE软件，处理相关数据。</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3.物业基层管理单位应及时查看并反馈公寓管理群的信息。</w:t>
            </w:r>
            <w:r/>
          </w:p>
        </w:tc>
        <w:tc>
          <w:tcPr>
            <w:tcBorders>
              <w:top w:val="single" w:color="000000" w:sz="8" w:space="0"/>
              <w:left w:val="single" w:color="000000" w:sz="8" w:space="0"/>
              <w:bottom w:val="single" w:color="000000" w:sz="8" w:space="0"/>
              <w:right w:val="single" w:color="000000" w:sz="8" w:space="0"/>
            </w:tcBorders>
            <w:tcW w:w="2850"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1.公共配置计算机专用。</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2.熟练使用公寓管理系统。</w:t>
            </w:r>
            <w:r/>
          </w:p>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3.文件和数据处理质量。</w:t>
            </w:r>
            <w:r/>
          </w:p>
        </w:tc>
        <w:tc>
          <w:tcPr>
            <w:tcBorders>
              <w:top w:val="single" w:color="000000" w:sz="8" w:space="0"/>
              <w:left w:val="single" w:color="000000" w:sz="8" w:space="0"/>
              <w:bottom w:val="single" w:color="000000" w:sz="8" w:space="0"/>
              <w:right w:val="single" w:color="000000" w:sz="8" w:space="0"/>
            </w:tcBorders>
            <w:tcW w:w="1590"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1.实地查看</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2.日常检查</w:t>
            </w:r>
            <w:r/>
          </w:p>
          <w:p>
            <w:pPr>
              <w:ind w:firstLine="301"/>
              <w:jc w:val="cente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8" w:space="0"/>
              <w:left w:val="single" w:color="000000" w:sz="8" w:space="0"/>
              <w:bottom w:val="single" w:color="000000" w:sz="8" w:space="0"/>
              <w:right w:val="single" w:color="000000" w:sz="4" w:space="0"/>
            </w:tcBorders>
            <w:tcW w:w="1935" w:type="dxa"/>
            <w:vAlign w:val="center"/>
            <w:textDirection w:val="lrTb"/>
            <w:noWrap w:val="false"/>
          </w:tcPr>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计算机未专用扣2分；未通过公寓管理系统上报信息扣3分。</w:t>
            </w:r>
            <w:r/>
          </w:p>
        </w:tc>
      </w:tr>
      <w:tr>
        <w:trPr>
          <w:cantSplit/>
          <w:trHeight w:val="1174"/>
        </w:trPr>
        <w:tc>
          <w:tcPr>
            <w:tcBorders>
              <w:top w:val="single" w:color="000000" w:sz="8" w:space="0"/>
              <w:left w:val="single" w:color="000000" w:sz="4" w:space="0"/>
              <w:bottom w:val="single" w:color="000000" w:sz="8" w:space="0"/>
              <w:right w:val="single" w:color="000000" w:sz="8" w:space="0"/>
            </w:tcBorders>
            <w:tcW w:w="1288" w:type="dxa"/>
            <w:vAlign w:val="center"/>
            <w:vMerge w:val="continue"/>
            <w:textDirection w:val="tbRlV"/>
            <w:noWrap w:val="false"/>
          </w:tcPr>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W w:w="2190" w:type="dxa"/>
            <w:vAlign w:val="center"/>
            <w:textDirection w:val="lrTb"/>
            <w:noWrap w:val="false"/>
          </w:tcPr>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学生公寓</w:t>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文化建设</w:t>
            </w:r>
            <w:r/>
          </w:p>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（30分）</w:t>
            </w:r>
            <w:r/>
          </w:p>
        </w:tc>
        <w:tc>
          <w:tcPr>
            <w:tcBorders>
              <w:top w:val="single" w:color="000000" w:sz="8" w:space="0"/>
              <w:left w:val="single" w:color="000000" w:sz="8" w:space="0"/>
              <w:bottom w:val="single" w:color="000000" w:sz="8" w:space="0"/>
              <w:right w:val="single" w:color="000000" w:sz="8" w:space="0"/>
            </w:tcBorders>
            <w:tcW w:w="4800"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1.物业基层管理单位积极营造学生公寓文化氛围，为学生公寓文化提供必要的设施和设备。</w:t>
            </w:r>
            <w:r/>
          </w:p>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2.物业基层管理单位定期举办公寓社区文化活动，每学期公寓文化活动不少于2次。</w:t>
            </w:r>
            <w:r/>
          </w:p>
        </w:tc>
        <w:tc>
          <w:tcPr>
            <w:tcBorders>
              <w:top w:val="single" w:color="000000" w:sz="8" w:space="0"/>
              <w:left w:val="single" w:color="000000" w:sz="8" w:space="0"/>
              <w:bottom w:val="single" w:color="000000" w:sz="8" w:space="0"/>
              <w:right w:val="single" w:color="000000" w:sz="8" w:space="0"/>
            </w:tcBorders>
            <w:tcW w:w="2850"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1.公寓文化设施和设备</w:t>
            </w:r>
            <w:r/>
          </w:p>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2.公寓文化活动</w:t>
            </w:r>
            <w:r/>
          </w:p>
        </w:tc>
        <w:tc>
          <w:tcPr>
            <w:tcBorders>
              <w:top w:val="single" w:color="000000" w:sz="8" w:space="0"/>
              <w:left w:val="single" w:color="000000" w:sz="8" w:space="0"/>
              <w:bottom w:val="single" w:color="000000" w:sz="8" w:space="0"/>
              <w:right w:val="single" w:color="000000" w:sz="8" w:space="0"/>
            </w:tcBorders>
            <w:tcW w:w="1590"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1.实地查看</w:t>
            </w:r>
            <w:r/>
          </w:p>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2.现场查看</w:t>
            </w:r>
            <w:r/>
          </w:p>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3.活动台账</w:t>
            </w:r>
            <w:r/>
          </w:p>
        </w:tc>
        <w:tc>
          <w:tcPr>
            <w:tcBorders>
              <w:top w:val="single" w:color="000000" w:sz="8" w:space="0"/>
              <w:left w:val="single" w:color="000000" w:sz="8" w:space="0"/>
              <w:bottom w:val="single" w:color="000000" w:sz="8" w:space="0"/>
              <w:right w:val="single" w:color="000000" w:sz="4" w:space="0"/>
            </w:tcBorders>
            <w:tcW w:w="1935" w:type="dxa"/>
            <w:vAlign w:val="center"/>
            <w:textDirection w:val="lrTb"/>
            <w:noWrap w:val="false"/>
          </w:tcPr>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未提供必要的设施和设备扣10分；未按照标准举办文体活动每次扣5分；</w:t>
            </w:r>
            <w:r/>
          </w:p>
        </w:tc>
      </w:tr>
      <w:tr>
        <w:trPr>
          <w:cantSplit/>
          <w:trHeight w:val="615"/>
        </w:trPr>
        <w:tc>
          <w:tcPr>
            <w:tcBorders>
              <w:top w:val="single" w:color="000000" w:sz="8" w:space="0"/>
              <w:left w:val="single" w:color="000000" w:sz="4" w:space="0"/>
              <w:bottom w:val="single" w:color="000000" w:sz="8" w:space="0"/>
              <w:right w:val="single" w:color="000000" w:sz="8" w:space="0"/>
            </w:tcBorders>
            <w:tcW w:w="1288" w:type="dxa"/>
            <w:vAlign w:val="center"/>
            <w:vMerge w:val="continue"/>
            <w:textDirection w:val="tbRlV"/>
            <w:noWrap w:val="false"/>
          </w:tcPr>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W w:w="2190" w:type="dxa"/>
            <w:vAlign w:val="center"/>
            <w:textDirection w:val="lrTb"/>
            <w:noWrap w:val="false"/>
          </w:tcPr>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学校事务</w:t>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管理响应</w:t>
            </w:r>
            <w:r/>
          </w:p>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（15分）</w:t>
            </w:r>
            <w:r/>
          </w:p>
        </w:tc>
        <w:tc>
          <w:tcPr>
            <w:tcBorders>
              <w:top w:val="single" w:color="000000" w:sz="8" w:space="0"/>
              <w:left w:val="single" w:color="000000" w:sz="8" w:space="0"/>
              <w:bottom w:val="single" w:color="000000" w:sz="8" w:space="0"/>
              <w:right w:val="single" w:color="000000" w:sz="8" w:space="0"/>
            </w:tcBorders>
            <w:tcW w:w="4800" w:type="dxa"/>
            <w:vAlign w:val="center"/>
            <w:textDirection w:val="lrTb"/>
            <w:noWrap w:val="false"/>
          </w:tcPr>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积极参与并保质保量地做好学校各部门、学院安排的相关工作。</w:t>
            </w:r>
            <w:r/>
          </w:p>
        </w:tc>
        <w:tc>
          <w:tcPr>
            <w:tcBorders>
              <w:top w:val="single" w:color="000000" w:sz="8" w:space="0"/>
              <w:left w:val="single" w:color="000000" w:sz="8" w:space="0"/>
              <w:bottom w:val="single" w:color="000000" w:sz="8" w:space="0"/>
              <w:right w:val="single" w:color="000000" w:sz="8" w:space="0"/>
            </w:tcBorders>
            <w:tcW w:w="2850" w:type="dxa"/>
            <w:vAlign w:val="center"/>
            <w:textDirection w:val="lrTb"/>
            <w:noWrap w:val="false"/>
          </w:tcPr>
          <w:p>
            <w:pPr>
              <w:ind w:firstLine="301"/>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工作完成质量和时效。</w:t>
            </w:r>
            <w:r/>
          </w:p>
        </w:tc>
        <w:tc>
          <w:tcPr>
            <w:tcBorders>
              <w:top w:val="single" w:color="000000" w:sz="8" w:space="0"/>
              <w:left w:val="single" w:color="000000" w:sz="8" w:space="0"/>
              <w:bottom w:val="single" w:color="000000" w:sz="8" w:space="0"/>
              <w:right w:val="single" w:color="000000" w:sz="8" w:space="0"/>
            </w:tcBorders>
            <w:tcW w:w="1590"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1.日常检查</w:t>
            </w:r>
            <w:r/>
          </w:p>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2.部门反馈</w:t>
            </w:r>
            <w:r/>
          </w:p>
        </w:tc>
        <w:tc>
          <w:tcPr>
            <w:tcBorders>
              <w:top w:val="single" w:color="000000" w:sz="8" w:space="0"/>
              <w:left w:val="single" w:color="000000" w:sz="8" w:space="0"/>
              <w:bottom w:val="single" w:color="000000" w:sz="8" w:space="0"/>
              <w:right w:val="single" w:color="000000" w:sz="4" w:space="0"/>
            </w:tcBorders>
            <w:tcW w:w="1935" w:type="dxa"/>
            <w:vAlign w:val="center"/>
            <w:textDirection w:val="lrTb"/>
            <w:noWrap w:val="false"/>
          </w:tcPr>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相应不及时或质量不高每次扣5分。</w:t>
            </w:r>
            <w:r/>
          </w:p>
        </w:tc>
      </w:tr>
      <w:tr>
        <w:trPr>
          <w:cantSplit/>
          <w:trHeight w:val="978"/>
        </w:trPr>
        <w:tc>
          <w:tcPr>
            <w:tcBorders>
              <w:top w:val="single" w:color="000000" w:sz="8" w:space="0"/>
              <w:left w:val="single" w:color="000000" w:sz="4" w:space="0"/>
              <w:bottom w:val="single" w:color="000000" w:sz="8" w:space="0"/>
              <w:right w:val="single" w:color="000000" w:sz="8" w:space="0"/>
            </w:tcBorders>
            <w:tcW w:w="1288" w:type="dxa"/>
            <w:vAlign w:val="center"/>
            <w:vMerge w:val="restart"/>
            <w:textDirection w:val="lrTb"/>
            <w:noWrap w:val="false"/>
          </w:tcPr>
          <w:p>
            <w:pPr>
              <w:ind w:firstLine="361"/>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物业</w:t>
            </w:r>
            <w:r/>
          </w:p>
          <w:p>
            <w:pPr>
              <w:ind w:firstLine="361"/>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服务</w:t>
            </w:r>
            <w:r/>
          </w:p>
          <w:p>
            <w:pPr>
              <w:ind w:firstLine="361"/>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成效</w:t>
            </w:r>
            <w:r/>
          </w:p>
          <w:p>
            <w:pPr>
              <w:ind w:firstLine="120"/>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（50分）</w:t>
            </w:r>
            <w:r/>
          </w:p>
        </w:tc>
        <w:tc>
          <w:tcPr>
            <w:gridSpan w:val="2"/>
            <w:tcBorders>
              <w:top w:val="single" w:color="000000" w:sz="8" w:space="0"/>
              <w:left w:val="single" w:color="000000" w:sz="8" w:space="0"/>
              <w:bottom w:val="single" w:color="000000" w:sz="8" w:space="0"/>
              <w:right w:val="single" w:color="000000" w:sz="8" w:space="0"/>
            </w:tcBorders>
            <w:tcW w:w="2190" w:type="dxa"/>
            <w:vAlign w:val="center"/>
            <w:textDirection w:val="lrTb"/>
            <w:noWrap w:val="false"/>
          </w:tcPr>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学生满意度</w:t>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水平</w:t>
            </w:r>
            <w:r/>
          </w:p>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（20分）</w:t>
            </w:r>
            <w:r/>
          </w:p>
        </w:tc>
        <w:tc>
          <w:tcPr>
            <w:tcBorders>
              <w:top w:val="single" w:color="000000" w:sz="8" w:space="0"/>
              <w:left w:val="single" w:color="000000" w:sz="8" w:space="0"/>
              <w:bottom w:val="single" w:color="000000" w:sz="8" w:space="0"/>
              <w:right w:val="single" w:color="000000" w:sz="8" w:space="0"/>
            </w:tcBorders>
            <w:tcW w:w="4800" w:type="dxa"/>
            <w:vAlign w:val="center"/>
            <w:textDirection w:val="lrTb"/>
            <w:noWrap w:val="false"/>
          </w:tcPr>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物业服务总体满意度水平较高，平均满意度水平保持90%。</w:t>
            </w:r>
            <w:r/>
          </w:p>
        </w:tc>
        <w:tc>
          <w:tcPr>
            <w:tcBorders>
              <w:top w:val="single" w:color="000000" w:sz="8" w:space="0"/>
              <w:left w:val="single" w:color="000000" w:sz="8" w:space="0"/>
              <w:bottom w:val="single" w:color="000000" w:sz="8" w:space="0"/>
              <w:right w:val="single" w:color="000000" w:sz="8" w:space="0"/>
            </w:tcBorders>
            <w:tcW w:w="2850" w:type="dxa"/>
            <w:vAlign w:val="center"/>
            <w:textDirection w:val="lrTb"/>
            <w:noWrap w:val="false"/>
          </w:tcPr>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学生对物业服务的评价和投诉量。每月满意度低于90%，扣2分/月；每起投诉扣2分。</w:t>
            </w:r>
            <w:r/>
          </w:p>
        </w:tc>
        <w:tc>
          <w:tcPr>
            <w:tcBorders>
              <w:top w:val="single" w:color="000000" w:sz="8" w:space="0"/>
              <w:left w:val="single" w:color="000000" w:sz="8" w:space="0"/>
              <w:bottom w:val="single" w:color="000000" w:sz="8" w:space="0"/>
              <w:right w:val="single" w:color="000000" w:sz="8" w:space="0"/>
            </w:tcBorders>
            <w:tcW w:w="1590"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1.问卷调查</w:t>
            </w:r>
            <w:r/>
          </w:p>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2.日常检查</w:t>
            </w:r>
            <w:r/>
          </w:p>
        </w:tc>
        <w:tc>
          <w:tcPr>
            <w:tcBorders>
              <w:top w:val="single" w:color="000000" w:sz="8" w:space="0"/>
              <w:left w:val="single" w:color="000000" w:sz="8" w:space="0"/>
              <w:bottom w:val="single" w:color="000000" w:sz="8" w:space="0"/>
              <w:right w:val="single" w:color="000000" w:sz="4" w:space="0"/>
            </w:tcBorders>
            <w:tcW w:w="1935" w:type="dxa"/>
            <w:vAlign w:val="center"/>
            <w:textDirection w:val="lrTb"/>
            <w:noWrap w:val="false"/>
          </w:tcPr>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每月满意度调查低于90%，每次扣2分；投诉每起扣2分。</w:t>
            </w:r>
            <w:r/>
          </w:p>
        </w:tc>
      </w:tr>
      <w:tr>
        <w:trPr>
          <w:cantSplit/>
          <w:trHeight w:val="90"/>
        </w:trPr>
        <w:tc>
          <w:tcPr>
            <w:tcBorders>
              <w:top w:val="single" w:color="000000" w:sz="8" w:space="0"/>
              <w:left w:val="single" w:color="000000" w:sz="4" w:space="0"/>
              <w:bottom w:val="single" w:color="000000" w:sz="8" w:space="0"/>
              <w:right w:val="single" w:color="000000" w:sz="8" w:space="0"/>
            </w:tcBorders>
            <w:tcW w:w="1288" w:type="dxa"/>
            <w:vAlign w:val="center"/>
            <w:vMerge w:val="continue"/>
            <w:textDirection w:val="lrTb"/>
            <w:noWrap w:val="false"/>
          </w:tcPr>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tc>
        <w:tc>
          <w:tcPr>
            <w:gridSpan w:val="2"/>
            <w:tcBorders>
              <w:top w:val="single" w:color="000000" w:sz="8" w:space="0"/>
              <w:left w:val="single" w:color="000000" w:sz="8" w:space="0"/>
              <w:bottom w:val="single" w:color="000000" w:sz="8" w:space="0"/>
              <w:right w:val="single" w:color="000000" w:sz="8" w:space="0"/>
            </w:tcBorders>
            <w:tcW w:w="2190" w:type="dxa"/>
            <w:vAlign w:val="center"/>
            <w:textDirection w:val="lrTb"/>
            <w:noWrap w:val="false"/>
          </w:tcPr>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教师</w:t>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满意度平</w:t>
            </w:r>
            <w:r/>
          </w:p>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（20分）</w:t>
            </w:r>
            <w:r/>
          </w:p>
        </w:tc>
        <w:tc>
          <w:tcPr>
            <w:tcBorders>
              <w:top w:val="single" w:color="000000" w:sz="8" w:space="0"/>
              <w:left w:val="single" w:color="000000" w:sz="8" w:space="0"/>
              <w:bottom w:val="single" w:color="000000" w:sz="8" w:space="0"/>
              <w:right w:val="single" w:color="000000" w:sz="8" w:space="0"/>
            </w:tcBorders>
            <w:tcW w:w="4800" w:type="dxa"/>
            <w:vAlign w:val="center"/>
            <w:textDirection w:val="lrTb"/>
            <w:noWrap w:val="false"/>
          </w:tcPr>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物业基层管理单位能为学生工作者提供及时有效的管理服务，整体满意度水平较高，平均满意度水平保持95%。</w:t>
            </w:r>
            <w:r/>
          </w:p>
        </w:tc>
        <w:tc>
          <w:tcPr>
            <w:tcBorders>
              <w:top w:val="single" w:color="000000" w:sz="8" w:space="0"/>
              <w:left w:val="single" w:color="000000" w:sz="8" w:space="0"/>
              <w:bottom w:val="single" w:color="000000" w:sz="8" w:space="0"/>
              <w:right w:val="single" w:color="000000" w:sz="8" w:space="0"/>
            </w:tcBorders>
            <w:tcW w:w="2850" w:type="dxa"/>
            <w:vAlign w:val="center"/>
            <w:textDirection w:val="lrTb"/>
            <w:noWrap w:val="false"/>
          </w:tcPr>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教师对物业服务的评价和投诉量。每月满意度低于90%，扣2分/月;每起投诉扣2分。</w:t>
            </w:r>
            <w:r/>
          </w:p>
        </w:tc>
        <w:tc>
          <w:tcPr>
            <w:tcBorders>
              <w:top w:val="single" w:color="000000" w:sz="8" w:space="0"/>
              <w:left w:val="single" w:color="000000" w:sz="8" w:space="0"/>
              <w:bottom w:val="single" w:color="000000" w:sz="8" w:space="0"/>
              <w:right w:val="single" w:color="000000" w:sz="8" w:space="0"/>
            </w:tcBorders>
            <w:tcW w:w="1590"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1.问卷调查</w:t>
            </w:r>
            <w:r/>
          </w:p>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2.日常检查</w:t>
            </w:r>
            <w:r/>
          </w:p>
        </w:tc>
        <w:tc>
          <w:tcPr>
            <w:tcBorders>
              <w:top w:val="single" w:color="000000" w:sz="8" w:space="0"/>
              <w:left w:val="single" w:color="000000" w:sz="8" w:space="0"/>
              <w:bottom w:val="single" w:color="000000" w:sz="8" w:space="0"/>
              <w:right w:val="single" w:color="000000" w:sz="4" w:space="0"/>
            </w:tcBorders>
            <w:tcW w:w="1935" w:type="dxa"/>
            <w:vAlign w:val="center"/>
            <w:textDirection w:val="lrTb"/>
            <w:noWrap w:val="false"/>
          </w:tcPr>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每月满意度调查低于90%，每次扣2分；投诉每起扣2分。</w:t>
            </w:r>
            <w:r/>
          </w:p>
        </w:tc>
      </w:tr>
      <w:tr>
        <w:trPr>
          <w:cantSplit/>
          <w:trHeight w:val="718"/>
        </w:trPr>
        <w:tc>
          <w:tcPr>
            <w:tcBorders>
              <w:top w:val="single" w:color="000000" w:sz="8" w:space="0"/>
              <w:left w:val="single" w:color="000000" w:sz="4" w:space="0"/>
              <w:bottom w:val="single" w:color="000000" w:sz="8" w:space="0"/>
              <w:right w:val="single" w:color="000000" w:sz="8" w:space="0"/>
            </w:tcBorders>
            <w:tcW w:w="1288" w:type="dxa"/>
            <w:vAlign w:val="center"/>
            <w:vMerge w:val="continue"/>
            <w:textDirection w:val="lrTb"/>
            <w:noWrap w:val="false"/>
          </w:tcPr>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r>
            <w:r/>
          </w:p>
        </w:tc>
        <w:tc>
          <w:tcPr>
            <w:gridSpan w:val="2"/>
            <w:tcBorders>
              <w:top w:val="single" w:color="000000" w:sz="8" w:space="0"/>
              <w:left w:val="single" w:color="000000" w:sz="8" w:space="0"/>
              <w:bottom w:val="single" w:color="000000" w:sz="8" w:space="0"/>
              <w:right w:val="single" w:color="000000" w:sz="8" w:space="0"/>
            </w:tcBorders>
            <w:tcW w:w="2190" w:type="dxa"/>
            <w:vAlign w:val="center"/>
            <w:textDirection w:val="lrTb"/>
            <w:noWrap w:val="false"/>
          </w:tcPr>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公寓安全</w:t>
            </w:r>
            <w:r/>
          </w:p>
          <w:p>
            <w:pPr>
              <w:ind w:firstLine="360"/>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管理成效</w:t>
            </w:r>
            <w:r/>
          </w:p>
          <w:p>
            <w:pPr>
              <w:ind w:firstLine="360"/>
              <w:jc w:val="center"/>
              <w:spacing w:line="360" w:lineRule="exac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（10分）</w:t>
            </w:r>
            <w:r/>
          </w:p>
        </w:tc>
        <w:tc>
          <w:tcPr>
            <w:tcBorders>
              <w:top w:val="single" w:color="000000" w:sz="8" w:space="0"/>
              <w:left w:val="single" w:color="000000" w:sz="8" w:space="0"/>
              <w:bottom w:val="single" w:color="000000" w:sz="8" w:space="0"/>
              <w:right w:val="single" w:color="000000" w:sz="8" w:space="0"/>
            </w:tcBorders>
            <w:tcW w:w="4800" w:type="dxa"/>
            <w:vAlign w:val="center"/>
            <w:textDirection w:val="lrTb"/>
            <w:noWrap w:val="false"/>
          </w:tcPr>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物业基层管理单位安全管理成效显著，整体发案率较低.无火灾等重大安全事件。</w:t>
            </w:r>
            <w:r/>
          </w:p>
        </w:tc>
        <w:tc>
          <w:tcPr>
            <w:tcBorders>
              <w:top w:val="single" w:color="000000" w:sz="8" w:space="0"/>
              <w:left w:val="single" w:color="000000" w:sz="8" w:space="0"/>
              <w:bottom w:val="single" w:color="000000" w:sz="8" w:space="0"/>
              <w:right w:val="single" w:color="000000" w:sz="8" w:space="0"/>
            </w:tcBorders>
            <w:tcW w:w="2850" w:type="dxa"/>
            <w:vAlign w:val="center"/>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物业基层管理单位的发案率和事故数。</w:t>
            </w:r>
            <w:r/>
          </w:p>
        </w:tc>
        <w:tc>
          <w:tcPr>
            <w:tcBorders>
              <w:top w:val="single" w:color="000000" w:sz="8" w:space="0"/>
              <w:left w:val="single" w:color="000000" w:sz="8" w:space="0"/>
              <w:bottom w:val="single" w:color="000000" w:sz="8" w:space="0"/>
              <w:right w:val="single" w:color="000000" w:sz="8" w:space="0"/>
            </w:tcBorders>
            <w:tcW w:w="1590" w:type="dxa"/>
            <w:vAlign w:val="center"/>
            <w:textDirection w:val="lrTb"/>
            <w:noWrap w:val="false"/>
          </w:tcPr>
          <w:p>
            <w:pPr>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1.日常检查</w:t>
            </w:r>
            <w:r/>
          </w:p>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2.查看资料</w:t>
            </w:r>
            <w:r/>
          </w:p>
        </w:tc>
        <w:tc>
          <w:tcPr>
            <w:tcBorders>
              <w:top w:val="single" w:color="000000" w:sz="8" w:space="0"/>
              <w:left w:val="single" w:color="000000" w:sz="8" w:space="0"/>
              <w:bottom w:val="single" w:color="000000" w:sz="8" w:space="0"/>
              <w:right w:val="single" w:color="000000" w:sz="4" w:space="0"/>
            </w:tcBorders>
            <w:tcW w:w="1935" w:type="dxa"/>
            <w:vAlign w:val="center"/>
            <w:textDirection w:val="lrTb"/>
            <w:noWrap w:val="false"/>
          </w:tcPr>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每起案件或事故，扣5分。</w:t>
            </w:r>
            <w:r/>
          </w:p>
        </w:tc>
      </w:tr>
      <w:tr>
        <w:trPr>
          <w:trHeight w:val="367"/>
        </w:trPr>
        <w:tc>
          <w:tcPr>
            <w:tcBorders>
              <w:top w:val="single" w:color="000000" w:sz="8" w:space="0"/>
              <w:left w:val="single" w:color="000000" w:sz="4" w:space="0"/>
              <w:bottom w:val="single" w:color="000000" w:sz="8" w:space="0"/>
              <w:right w:val="single" w:color="000000" w:sz="8" w:space="0"/>
            </w:tcBorders>
            <w:tcW w:w="1288" w:type="dxa"/>
            <w:vAlign w:val="center"/>
            <w:textDirection w:val="lrTb"/>
            <w:noWrap w:val="false"/>
          </w:tcPr>
          <w:p>
            <w:pPr>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惩罚条款</w:t>
            </w:r>
            <w:r/>
          </w:p>
          <w:p>
            <w:pPr>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（10分）</w:t>
            </w:r>
            <w:r/>
          </w:p>
        </w:tc>
        <w:tc>
          <w:tcPr>
            <w:gridSpan w:val="3"/>
            <w:tcBorders>
              <w:top w:val="single" w:color="000000" w:sz="8" w:space="0"/>
              <w:left w:val="single" w:color="000000" w:sz="8" w:space="0"/>
              <w:bottom w:val="single" w:color="000000" w:sz="8" w:space="0"/>
              <w:right w:val="single" w:color="000000" w:sz="8" w:space="0"/>
            </w:tcBorders>
            <w:tcW w:w="6990" w:type="dxa"/>
            <w:vAlign w:val="center"/>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经查实确属物业本质工作未完成导致学生投诉，校级投诉每次扣5分，校级以上投诉每次扣10分。</w:t>
            </w:r>
            <w:r/>
          </w:p>
        </w:tc>
        <w:tc>
          <w:tcPr>
            <w:tcBorders>
              <w:top w:val="single" w:color="000000" w:sz="8" w:space="0"/>
              <w:left w:val="single" w:color="000000" w:sz="8" w:space="0"/>
              <w:bottom w:val="single" w:color="000000" w:sz="8" w:space="0"/>
              <w:right w:val="single" w:color="000000" w:sz="8" w:space="0"/>
            </w:tcBorders>
            <w:tcW w:w="2850" w:type="dxa"/>
            <w:vAlign w:val="center"/>
            <w:textDirection w:val="lrTb"/>
            <w:noWrap w:val="false"/>
          </w:tcPr>
          <w:p>
            <w:pPr>
              <w:ind w:firstLine="301"/>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学工处台账</w:t>
            </w:r>
            <w:r/>
          </w:p>
        </w:tc>
        <w:tc>
          <w:tcPr>
            <w:tcBorders>
              <w:top w:val="single" w:color="000000" w:sz="8" w:space="0"/>
              <w:left w:val="single" w:color="000000" w:sz="8" w:space="0"/>
              <w:bottom w:val="single" w:color="000000" w:sz="8" w:space="0"/>
              <w:right w:val="single" w:color="000000" w:sz="8" w:space="0"/>
            </w:tcBorders>
            <w:tcW w:w="1590"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台账</w:t>
            </w:r>
            <w:r/>
          </w:p>
        </w:tc>
        <w:tc>
          <w:tcPr>
            <w:tcBorders>
              <w:top w:val="single" w:color="000000" w:sz="8" w:space="0"/>
              <w:left w:val="single" w:color="000000" w:sz="8" w:space="0"/>
              <w:bottom w:val="single" w:color="000000" w:sz="8" w:space="0"/>
              <w:right w:val="single" w:color="000000" w:sz="4" w:space="0"/>
            </w:tcBorders>
            <w:tcW w:w="1935" w:type="dxa"/>
            <w:vAlign w:val="center"/>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累计扣分不封顶</w:t>
            </w:r>
            <w:r/>
          </w:p>
        </w:tc>
      </w:tr>
      <w:tr>
        <w:trPr>
          <w:trHeight w:val="768"/>
        </w:trPr>
        <w:tc>
          <w:tcPr>
            <w:tcBorders>
              <w:top w:val="single" w:color="000000" w:sz="8" w:space="0"/>
              <w:left w:val="single" w:color="000000" w:sz="4" w:space="0"/>
              <w:bottom w:val="single" w:color="000000" w:sz="12" w:space="0"/>
              <w:right w:val="single" w:color="000000" w:sz="8" w:space="0"/>
            </w:tcBorders>
            <w:tcW w:w="1288" w:type="dxa"/>
            <w:vAlign w:val="center"/>
            <w:textDirection w:val="lrTb"/>
            <w:noWrap w:val="false"/>
          </w:tcPr>
          <w:p>
            <w:pPr>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创新点</w:t>
            </w:r>
            <w:r/>
          </w:p>
          <w:p>
            <w:pPr>
              <w:jc w:val="center"/>
              <w:spacing w:line="360" w:lineRule="exact"/>
              <w:widowControl/>
              <w:rPr>
                <w:rFonts w:hint="eastAsia" w:ascii="宋体" w:hAnsi="宋体" w:cs="宋体"/>
                <w:b/>
                <w:color w:val="000000"/>
                <w:sz w:val="24"/>
                <w:szCs w:val="24"/>
                <w:lang w:bidi="ar"/>
              </w:rPr>
            </w:pPr>
            <w:r>
              <w:rPr>
                <w:rFonts w:hint="eastAsia" w:ascii="宋体" w:hAnsi="宋体" w:cs="宋体"/>
                <w:b/>
                <w:color w:val="000000"/>
                <w:sz w:val="24"/>
                <w:szCs w:val="24"/>
                <w:lang w:bidi="ar"/>
              </w:rPr>
              <w:t xml:space="preserve">（10分）</w:t>
            </w:r>
            <w:r/>
          </w:p>
        </w:tc>
        <w:tc>
          <w:tcPr>
            <w:gridSpan w:val="3"/>
            <w:tcBorders>
              <w:top w:val="single" w:color="000000" w:sz="8" w:space="0"/>
              <w:left w:val="single" w:color="000000" w:sz="8" w:space="0"/>
              <w:bottom w:val="single" w:color="000000" w:sz="12" w:space="0"/>
              <w:right w:val="single" w:color="000000" w:sz="8" w:space="0"/>
            </w:tcBorders>
            <w:tcW w:w="6990" w:type="dxa"/>
            <w:vAlign w:val="center"/>
            <w:textDirection w:val="lrTb"/>
            <w:noWrap w:val="false"/>
          </w:tcPr>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物业管理单位在公寓管理与服务.公寓文化与活动等方面所采取的创新举措，并取得较好的实践效果，成效显著。</w:t>
            </w:r>
            <w:r/>
          </w:p>
        </w:tc>
        <w:tc>
          <w:tcPr>
            <w:tcBorders>
              <w:top w:val="single" w:color="000000" w:sz="8" w:space="0"/>
              <w:left w:val="single" w:color="000000" w:sz="8" w:space="0"/>
              <w:bottom w:val="single" w:color="000000" w:sz="12" w:space="0"/>
              <w:right w:val="single" w:color="000000" w:sz="8" w:space="0"/>
            </w:tcBorders>
            <w:tcW w:w="2850"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物业管理单位提供资料</w:t>
            </w:r>
            <w:r/>
          </w:p>
        </w:tc>
        <w:tc>
          <w:tcPr>
            <w:tcBorders>
              <w:top w:val="single" w:color="000000" w:sz="8" w:space="0"/>
              <w:left w:val="single" w:color="000000" w:sz="8" w:space="0"/>
              <w:bottom w:val="single" w:color="000000" w:sz="12" w:space="0"/>
              <w:right w:val="single" w:color="000000" w:sz="8" w:space="0"/>
            </w:tcBorders>
            <w:tcW w:w="1590" w:type="dxa"/>
            <w:vAlign w:val="center"/>
            <w:textDirection w:val="lrTb"/>
            <w:noWrap w:val="false"/>
          </w:tcPr>
          <w:p>
            <w:pPr>
              <w:ind w:firstLine="240"/>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实地查看</w:t>
            </w:r>
            <w:r/>
          </w:p>
        </w:tc>
        <w:tc>
          <w:tcPr>
            <w:tcBorders>
              <w:top w:val="single" w:color="000000" w:sz="8" w:space="0"/>
              <w:left w:val="single" w:color="000000" w:sz="8" w:space="0"/>
              <w:bottom w:val="single" w:color="000000" w:sz="12" w:space="0"/>
              <w:right w:val="single" w:color="000000" w:sz="4" w:space="0"/>
            </w:tcBorders>
            <w:tcW w:w="1935" w:type="dxa"/>
            <w:vAlign w:val="center"/>
            <w:textDirection w:val="lrTb"/>
            <w:noWrap w:val="false"/>
          </w:tcPr>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根据创新内容酌情给予1-10分。</w:t>
            </w:r>
            <w:r/>
          </w:p>
        </w:tc>
      </w:tr>
    </w:tbl>
    <w:p>
      <w:pPr>
        <w:rPr>
          <w:rFonts w:hint="eastAsia" w:ascii="黑体" w:eastAsia="黑体"/>
          <w:bCs/>
          <w:sz w:val="44"/>
        </w:rPr>
      </w:pPr>
      <w:r>
        <w:rPr>
          <w:rFonts w:hint="eastAsia" w:ascii="黑体" w:eastAsia="黑体"/>
          <w:bCs/>
          <w:sz w:val="44"/>
        </w:rPr>
      </w:r>
      <w:r/>
    </w:p>
    <w:p>
      <w:pPr>
        <w:pStyle w:val="792"/>
        <w:spacing w:line="400" w:lineRule="exact"/>
        <w:rPr>
          <w:rFonts w:hint="eastAsia" w:ascii="黑体" w:hAnsi="黑体" w:eastAsia="黑体" w:cs="Arial"/>
          <w:b/>
          <w:bCs/>
          <w:sz w:val="28"/>
          <w:szCs w:val="28"/>
        </w:rPr>
        <w:sectPr>
          <w:footnotePr/>
          <w:endnotePr/>
          <w:type w:val="nextPage"/>
          <w:pgSz w:w="16838" w:h="11906" w:orient="landscape"/>
          <w:pgMar w:top="1365" w:right="1418" w:bottom="1588" w:left="1418" w:header="851" w:footer="907" w:gutter="0"/>
          <w:cols w:num="1" w:sep="0" w:space="720" w:equalWidth="1"/>
          <w:docGrid w:linePitch="360"/>
        </w:sectPr>
      </w:pPr>
      <w:r>
        <w:rPr>
          <w:rFonts w:hint="eastAsia" w:ascii="黑体" w:hAnsi="黑体" w:eastAsia="黑体" w:cs="Arial"/>
          <w:b/>
          <w:bCs/>
          <w:sz w:val="28"/>
          <w:szCs w:val="28"/>
        </w:rPr>
      </w:r>
      <w:r/>
    </w:p>
    <w:p>
      <w:pPr>
        <w:pStyle w:val="792"/>
        <w:spacing w:line="400" w:lineRule="exact"/>
        <w:rPr>
          <w:rFonts w:hint="eastAsia" w:ascii="黑体" w:hAnsi="黑体" w:eastAsia="黑体" w:cs="Arial"/>
          <w:b/>
          <w:bCs/>
          <w:sz w:val="28"/>
          <w:szCs w:val="28"/>
        </w:rPr>
      </w:pPr>
      <w:r>
        <w:rPr>
          <w:rFonts w:hint="eastAsia" w:ascii="黑体" w:hAnsi="黑体" w:eastAsia="黑体" w:cs="Arial"/>
          <w:b/>
          <w:bCs/>
          <w:sz w:val="28"/>
          <w:szCs w:val="28"/>
        </w:rPr>
        <w:t xml:space="preserve">第五章  评标方法与评标标准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p>
    <w:tbl>
      <w:tblPr>
        <w:tblW w:w="0" w:type="auto"/>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594"/>
        <w:gridCol w:w="2161"/>
        <w:gridCol w:w="5078"/>
      </w:tblGrid>
      <w:tr>
        <w:trPr/>
        <w:tc>
          <w:tcPr>
            <w:tcW w:w="160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34"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835"/>
        <w:ind w:firstLine="560"/>
        <w:spacing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1.采购本国产品的支持政策</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供应商需按照招标文件的要求提供《关于符合本国产品标准的声明函》（以下简称《声明函》），如不提供将不享受本国产品价格评审优惠。</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35"/>
        <w:ind w:firstLine="560"/>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ind w:firstLine="560"/>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p>
    <w:tbl>
      <w:tblPr>
        <w:tblW w:w="10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680"/>
        <w:gridCol w:w="1134"/>
        <w:gridCol w:w="7843"/>
        <w:gridCol w:w="662"/>
      </w:tblGrid>
      <w:tr>
        <w:trPr>
          <w:jc w:val="center"/>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评审因素</w:t>
            </w:r>
            <w:r/>
          </w:p>
        </w:tc>
        <w:tc>
          <w:tcPr>
            <w:tcBorders>
              <w:top w:val="single" w:color="000000" w:sz="4" w:space="0"/>
              <w:left w:val="single" w:color="000000" w:sz="4" w:space="0"/>
              <w:bottom w:val="single" w:color="000000" w:sz="4" w:space="0"/>
              <w:right w:val="single" w:color="000000" w:sz="4" w:space="0"/>
            </w:tcBorders>
            <w:tcW w:w="7843" w:type="dxa"/>
            <w:vAlign w:val="center"/>
            <w:textDirection w:val="lrTb"/>
            <w:noWrap w:val="false"/>
          </w:tcPr>
          <w:p>
            <w:pPr>
              <w:ind w:firstLine="422"/>
              <w:jc w:val="center"/>
              <w:spacing w:line="360" w:lineRule="auto"/>
              <w:rPr>
                <w:rFonts w:hint="eastAsia" w:ascii="宋体" w:hAnsi="宋体" w:cs="宋体"/>
              </w:rPr>
            </w:pPr>
            <w:r>
              <w:rPr>
                <w:rFonts w:hint="eastAsia" w:ascii="宋体" w:hAnsi="宋体" w:cs="宋体"/>
              </w:rPr>
              <w:t xml:space="preserve">评审标准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分值</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价格</w:t>
            </w:r>
            <w:r/>
          </w:p>
          <w:p>
            <w:pPr>
              <w:jc w:val="center"/>
              <w:spacing w:line="360" w:lineRule="auto"/>
              <w:rPr>
                <w:rFonts w:hint="eastAsia" w:ascii="宋体" w:hAnsi="宋体" w:cs="宋体"/>
              </w:rPr>
            </w:pPr>
            <w:r>
              <w:rPr>
                <w:rFonts w:hint="eastAsia" w:ascii="宋体" w:hAnsi="宋体" w:cs="宋体"/>
              </w:rPr>
              <w:t xml:space="preserve">（20分）</w:t>
            </w:r>
            <w:r/>
          </w:p>
        </w:tc>
        <w:tc>
          <w:tcPr>
            <w:tcBorders>
              <w:top w:val="single" w:color="000000" w:sz="4" w:space="0"/>
              <w:left w:val="single" w:color="000000" w:sz="4" w:space="0"/>
              <w:bottom w:val="single" w:color="000000" w:sz="4" w:space="0"/>
              <w:right w:val="single" w:color="000000" w:sz="4" w:space="0"/>
            </w:tcBorders>
            <w:tcW w:w="7843" w:type="dxa"/>
            <w:vAlign w:val="center"/>
            <w:textDirection w:val="lrTb"/>
            <w:noWrap w:val="false"/>
          </w:tcPr>
          <w:p>
            <w:pPr>
              <w:spacing w:line="360" w:lineRule="auto"/>
            </w:pPr>
            <w:r>
              <w:rPr>
                <w:rFonts w:hint="eastAsia" w:ascii="宋体" w:hAnsi="宋体" w:cs="宋体"/>
                <w:color w:val="000000"/>
              </w:rPr>
              <w:t xml:space="preserve">价格分采用低价优先法计算，即满足招标文件要求且投标价格最低的投标报价为评标基准价，其价格分为满分。其他投标人的价格分统一按照下列公式计算：投标报价得分=（评标基准价／投标报价）×20分。分值保留小数点后2位。</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r>
      <w:tr>
        <w:trPr>
          <w:cantSplit/>
          <w:jc w:val="center"/>
          <w:trHeight w:val="2253"/>
        </w:trPr>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hint="eastAsia" w:ascii="宋体" w:hAnsi="宋体" w:cs="宋体"/>
              </w:rPr>
              <w:t xml:space="preserve">整体服务方案 （15分）</w:t>
            </w:r>
            <w:r/>
          </w:p>
        </w:tc>
        <w:tc>
          <w:tcPr>
            <w:tcBorders>
              <w:top w:val="single" w:color="000000" w:sz="4" w:space="0"/>
              <w:left w:val="single" w:color="000000" w:sz="4" w:space="0"/>
              <w:bottom w:val="single" w:color="000000" w:sz="4" w:space="0"/>
              <w:right w:val="single" w:color="000000" w:sz="4" w:space="0"/>
            </w:tcBorders>
            <w:tcW w:w="7843" w:type="dxa"/>
            <w:vAlign w:val="center"/>
            <w:textDirection w:val="lrTb"/>
            <w:noWrap w:val="false"/>
          </w:tcPr>
          <w:p>
            <w:pPr>
              <w:spacing w:line="360" w:lineRule="auto"/>
              <w:rPr>
                <w:rFonts w:hint="eastAsia" w:ascii="宋体" w:hAnsi="宋体" w:cs="宋体"/>
                <w:color w:val="ff0000"/>
              </w:rPr>
            </w:pPr>
            <w:r>
              <w:rPr>
                <w:rFonts w:hint="eastAsia" w:ascii="宋体" w:hAnsi="宋体" w:cs="宋体"/>
                <w:lang w:val="zh-CN"/>
              </w:rPr>
              <w:t xml:space="preserve">2.1</w:t>
            </w:r>
            <w:r>
              <w:rPr>
                <w:rFonts w:hint="eastAsia" w:ascii="宋体" w:hAnsi="宋体" w:cs="宋体"/>
              </w:rPr>
              <w:t xml:space="preserve"> </w:t>
            </w:r>
            <w:r>
              <w:rPr>
                <w:rFonts w:hint="eastAsia" w:ascii="宋体" w:hAnsi="宋体" w:cs="宋体"/>
                <w:color w:val="000000"/>
              </w:rPr>
              <w:t xml:space="preserve">项目服务理念及整体实施方案</w:t>
            </w:r>
            <w:r/>
          </w:p>
          <w:p>
            <w:pPr>
              <w:ind w:firstLine="420"/>
              <w:spacing w:line="360" w:lineRule="auto"/>
              <w:rPr>
                <w:rFonts w:hint="eastAsia" w:ascii="宋体" w:hAnsi="宋体" w:cs="宋体"/>
                <w:color w:val="000000"/>
              </w:rPr>
            </w:pPr>
            <w:r/>
            <w:bookmarkStart w:id="166" w:name="OLE_LINK326"/>
            <w:r>
              <w:rPr>
                <w:rFonts w:hint="eastAsia" w:ascii="宋体" w:hAnsi="宋体" w:cs="宋体"/>
                <w:color w:val="000000"/>
              </w:rPr>
              <w:t xml:space="preserve">评委根据投标文件对招标文件第四章“采购需求”中“项目服务理念及整体实施方案”要求的响应情况进行评审</w:t>
            </w:r>
            <w:r/>
          </w:p>
          <w:p>
            <w:pPr>
              <w:ind w:firstLine="420"/>
              <w:spacing w:line="360" w:lineRule="auto"/>
              <w:rPr>
                <w:rFonts w:hint="eastAsia" w:ascii="宋体" w:hAnsi="宋体" w:cs="宋体"/>
                <w:color w:val="000000"/>
              </w:rPr>
            </w:pPr>
            <w:r>
              <w:rPr>
                <w:rFonts w:hint="eastAsia" w:ascii="宋体" w:hAnsi="宋体" w:cs="宋体"/>
                <w:color w:val="000000"/>
              </w:rPr>
              <w:t xml:space="preserve">（1）投标文件未符合“项目服务理念及整体实施方案”中全部条款要求的，视为不符合招标文件，本项得0分。</w:t>
            </w:r>
            <w:r/>
          </w:p>
          <w:p>
            <w:pPr>
              <w:ind w:firstLine="420"/>
              <w:spacing w:line="360" w:lineRule="auto"/>
              <w:rPr>
                <w:rFonts w:hint="eastAsia" w:ascii="宋体" w:hAnsi="宋体" w:cs="宋体"/>
                <w:color w:val="000000"/>
              </w:rPr>
            </w:pPr>
            <w:r>
              <w:rPr>
                <w:rFonts w:hint="eastAsia" w:ascii="宋体" w:hAnsi="宋体" w:cs="宋体"/>
                <w:color w:val="000000"/>
              </w:rPr>
              <w:t xml:space="preserve">（2）投标文件符合“项目服务理念及整体实施方案”中全部条款要求的，视为符合招标文件，本项得3分。</w:t>
            </w:r>
            <w:r/>
          </w:p>
          <w:p>
            <w:pPr>
              <w:ind w:firstLine="420"/>
              <w:spacing w:line="360" w:lineRule="auto"/>
              <w:rPr>
                <w:rFonts w:hint="eastAsia" w:ascii="宋体" w:hAnsi="宋体" w:cs="宋体"/>
                <w:highlight w:val="yellow"/>
              </w:rPr>
            </w:pPr>
            <w:r>
              <w:rPr>
                <w:rFonts w:hint="eastAsia" w:ascii="宋体" w:hAnsi="宋体" w:cs="宋体"/>
                <w:color w:val="000000"/>
              </w:rPr>
              <w:t xml:space="preserve">（2）经评委认定，投标文件对“项目服务理念及整体实施方案”中“管理服务”、“文明卫生”、“文化建设”三项要求的响应内容全部优于招标文件要求的（前提是投标文件对“项目服务理念及整体实施方案”中除“管理服务”、“文明卫生”、“文化建设”外其他要求响应内容符合招标文件要求），本项得5分。</w:t>
            </w:r>
            <w:bookmarkEnd w:id="166"/>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5</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8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2.2 项目管理规章制度及质量保证措施</w:t>
            </w:r>
            <w:r/>
          </w:p>
          <w:p>
            <w:pPr>
              <w:ind w:firstLine="420"/>
              <w:spacing w:line="360" w:lineRule="auto"/>
              <w:rPr>
                <w:rFonts w:hint="eastAsia" w:ascii="宋体" w:hAnsi="宋体" w:cs="宋体"/>
                <w:color w:val="000000"/>
              </w:rPr>
            </w:pPr>
            <w:r>
              <w:rPr>
                <w:rFonts w:hint="eastAsia" w:ascii="宋体" w:hAnsi="宋体" w:cs="宋体"/>
                <w:color w:val="000000"/>
              </w:rPr>
              <w:t xml:space="preserve">评委根据投标文件对招标文件第四章“采购需求”中“项目管理规章制度及质量保证措施”要求的响应情况进行评审</w:t>
            </w:r>
            <w:r/>
          </w:p>
          <w:p>
            <w:pPr>
              <w:ind w:firstLine="420"/>
              <w:spacing w:line="360" w:lineRule="auto"/>
              <w:rPr>
                <w:rFonts w:hint="eastAsia" w:ascii="宋体" w:hAnsi="宋体" w:cs="宋体"/>
                <w:color w:val="000000"/>
              </w:rPr>
            </w:pPr>
            <w:r>
              <w:rPr>
                <w:rFonts w:hint="eastAsia" w:ascii="宋体" w:hAnsi="宋体" w:cs="宋体"/>
                <w:color w:val="000000"/>
              </w:rPr>
              <w:t xml:space="preserve">（1）投标文件未符合“项目管理规章制度及质量保证措施”中全部条款要求的，视为不符合招标文件，本项得0分。</w:t>
            </w:r>
            <w:r/>
          </w:p>
          <w:p>
            <w:pPr>
              <w:ind w:firstLine="420"/>
              <w:spacing w:line="360" w:lineRule="auto"/>
              <w:rPr>
                <w:rFonts w:hint="eastAsia" w:ascii="宋体" w:hAnsi="宋体" w:cs="宋体"/>
                <w:color w:val="000000"/>
              </w:rPr>
            </w:pPr>
            <w:r>
              <w:rPr>
                <w:rFonts w:hint="eastAsia" w:ascii="宋体" w:hAnsi="宋体" w:cs="宋体"/>
                <w:color w:val="000000"/>
              </w:rPr>
              <w:t xml:space="preserve">（2）投标文件符合“项目管理规章制度及质量保证措施”中全部条款要求的，视为符合招标文件，本项得3分。</w:t>
            </w:r>
            <w:r/>
          </w:p>
          <w:p>
            <w:pPr>
              <w:ind w:firstLine="420"/>
              <w:spacing w:line="360" w:lineRule="auto"/>
              <w:rPr>
                <w:rFonts w:ascii="宋体" w:hAnsi="宋体" w:cs="宋体"/>
              </w:rPr>
            </w:pPr>
            <w:r>
              <w:rPr>
                <w:rFonts w:hint="eastAsia" w:ascii="宋体" w:hAnsi="宋体" w:cs="宋体"/>
                <w:color w:val="000000"/>
              </w:rPr>
              <w:t xml:space="preserve">（2）经评委认定，投标文件对“项目管理规章制度及质量保证措施”中“考核制度”、“业务培训和管理制度”、“工作台账及工作设备管理制度”、“质量保证措施”四项要求的响应内容全部优于招标文件要求的（前提是投标文件对“项目管理规章制度及质量保证措施”中除“考核制度”、“业务培训和管理制度”、“工作台账及工作设备管理制度”、“质量保证措施”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5</w:t>
            </w:r>
            <w:r/>
          </w:p>
        </w:tc>
      </w:tr>
      <w:tr>
        <w:trPr>
          <w:cantSplit/>
          <w:jc w:val="center"/>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8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2.3项目服务</w:t>
            </w:r>
            <w:r>
              <w:rPr>
                <w:rFonts w:hint="eastAsia" w:ascii="宋体" w:hAnsi="宋体" w:cs="宋体"/>
                <w:lang w:val="zh-CN"/>
              </w:rPr>
              <w:t xml:space="preserve">接管方案及合同到期时的交接</w:t>
            </w:r>
            <w:r>
              <w:rPr>
                <w:rFonts w:hint="eastAsia" w:ascii="宋体" w:hAnsi="宋体" w:cs="宋体"/>
              </w:rPr>
              <w:t xml:space="preserve">方案</w:t>
            </w:r>
            <w:r/>
          </w:p>
          <w:p>
            <w:pPr>
              <w:ind w:firstLine="420"/>
              <w:spacing w:line="360" w:lineRule="auto"/>
              <w:rPr>
                <w:rFonts w:hint="eastAsia" w:ascii="宋体" w:hAnsi="宋体" w:cs="宋体"/>
                <w:color w:val="000000"/>
              </w:rPr>
            </w:pPr>
            <w:r>
              <w:rPr>
                <w:rFonts w:hint="eastAsia" w:ascii="宋体" w:hAnsi="宋体" w:cs="宋体"/>
                <w:color w:val="000000"/>
              </w:rPr>
              <w:t xml:space="preserve">评委根据投标文件对招标文件第四章“采购需求”中“项目服务接管方案及合同到期时的交接方案”要求的响应情况进行评审</w:t>
            </w:r>
            <w:r/>
          </w:p>
          <w:p>
            <w:pPr>
              <w:ind w:firstLine="420"/>
              <w:spacing w:line="360" w:lineRule="auto"/>
              <w:rPr>
                <w:rFonts w:hint="eastAsia" w:ascii="宋体" w:hAnsi="宋体" w:cs="宋体"/>
                <w:color w:val="000000"/>
              </w:rPr>
            </w:pPr>
            <w:r>
              <w:rPr>
                <w:rFonts w:hint="eastAsia" w:ascii="宋体" w:hAnsi="宋体" w:cs="宋体"/>
                <w:color w:val="000000"/>
              </w:rPr>
              <w:t xml:space="preserve">（1）投标文件未符合“项目服务接管方案及合同到期时的交接方案”中全部条款要求的，视为不符合招标文件，本项得0分。</w:t>
            </w:r>
            <w:r/>
          </w:p>
          <w:p>
            <w:pPr>
              <w:ind w:firstLine="420"/>
              <w:spacing w:line="360" w:lineRule="auto"/>
              <w:rPr>
                <w:rFonts w:hint="eastAsia" w:ascii="宋体" w:hAnsi="宋体" w:cs="宋体"/>
                <w:color w:val="000000"/>
              </w:rPr>
            </w:pPr>
            <w:r>
              <w:rPr>
                <w:rFonts w:hint="eastAsia" w:ascii="宋体" w:hAnsi="宋体" w:cs="宋体"/>
                <w:color w:val="000000"/>
              </w:rPr>
              <w:t xml:space="preserve">（2）投标文件符合“项目服务接管方案及合同到期时的交接方案”中全部条款要求的，视为符合招标文件，本项得3分。</w:t>
            </w:r>
            <w:r/>
          </w:p>
          <w:p>
            <w:pPr>
              <w:ind w:firstLine="420"/>
              <w:spacing w:line="360" w:lineRule="auto"/>
              <w:rPr>
                <w:rFonts w:hint="eastAsia" w:ascii="宋体" w:hAnsi="宋体" w:cs="宋体"/>
              </w:rPr>
            </w:pPr>
            <w:r>
              <w:rPr>
                <w:rFonts w:hint="eastAsia" w:ascii="宋体" w:hAnsi="宋体" w:cs="宋体"/>
                <w:color w:val="000000"/>
              </w:rPr>
              <w:t xml:space="preserve">（2）经评委认定，投标文件对“项目服务接管方案及合同到期时的交接方案”中“交接期间人员协调”、“交接台账管理”、“交接期间沟通方案”三项要求的响应内容全部优于招标文件要求的（前提是投标文件对“交接期间人员协调”、“交接台账管理”、“交接期间沟通方案”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5</w:t>
            </w:r>
            <w:r/>
          </w:p>
        </w:tc>
      </w:tr>
      <w:tr>
        <w:trPr>
          <w:cantSplit/>
          <w:jc w:val="center"/>
          <w:trHeight w:val="2394"/>
        </w:trPr>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rPr>
              <w:t xml:space="preserve">技术服务方案</w:t>
            </w:r>
            <w:r/>
          </w:p>
          <w:p>
            <w:pPr>
              <w:jc w:val="center"/>
              <w:spacing w:line="360" w:lineRule="auto"/>
              <w:rPr>
                <w:rFonts w:hint="eastAsia" w:ascii="宋体" w:hAnsi="宋体" w:cs="宋体"/>
              </w:rPr>
            </w:pPr>
            <w:r>
              <w:rPr>
                <w:rFonts w:hint="eastAsia" w:ascii="宋体" w:hAnsi="宋体" w:cs="宋体"/>
              </w:rPr>
              <w:t xml:space="preserve">（29分）</w:t>
            </w:r>
            <w:r/>
          </w:p>
          <w:p>
            <w:pPr>
              <w:jc w:val="cente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8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3.1公寓安全管理方案</w:t>
            </w:r>
            <w:r/>
          </w:p>
          <w:p>
            <w:pPr>
              <w:ind w:firstLine="420"/>
              <w:spacing w:line="360" w:lineRule="auto"/>
              <w:rPr>
                <w:rFonts w:hint="eastAsia" w:ascii="宋体" w:hAnsi="宋体" w:cs="宋体"/>
                <w:color w:val="000000"/>
              </w:rPr>
            </w:pPr>
            <w:r>
              <w:rPr>
                <w:rFonts w:hint="eastAsia" w:ascii="宋体" w:hAnsi="宋体" w:cs="宋体"/>
                <w:color w:val="000000"/>
              </w:rPr>
              <w:t xml:space="preserve">评委根据投标文件对招标文件第四章“采购需求”中“公寓安全管理方案”要求的响应情况进行评审</w:t>
            </w:r>
            <w:r/>
          </w:p>
          <w:p>
            <w:pPr>
              <w:ind w:firstLine="420"/>
              <w:spacing w:line="360" w:lineRule="auto"/>
              <w:rPr>
                <w:rFonts w:hint="eastAsia" w:ascii="宋体" w:hAnsi="宋体" w:cs="宋体"/>
                <w:color w:val="000000"/>
              </w:rPr>
            </w:pPr>
            <w:r>
              <w:rPr>
                <w:rFonts w:hint="eastAsia" w:ascii="宋体" w:hAnsi="宋体" w:cs="宋体"/>
                <w:color w:val="000000"/>
              </w:rPr>
              <w:t xml:space="preserve">（1）投标文件未符合“公寓安全管理方案”中全部条款要求的，视为不符合招标文件，本项得0分。</w:t>
            </w:r>
            <w:r/>
          </w:p>
          <w:p>
            <w:pPr>
              <w:ind w:firstLine="420"/>
              <w:spacing w:line="360" w:lineRule="auto"/>
              <w:rPr>
                <w:rFonts w:hint="eastAsia" w:ascii="宋体" w:hAnsi="宋体" w:cs="宋体"/>
                <w:color w:val="000000"/>
              </w:rPr>
            </w:pPr>
            <w:r>
              <w:rPr>
                <w:rFonts w:hint="eastAsia" w:ascii="宋体" w:hAnsi="宋体" w:cs="宋体"/>
                <w:color w:val="000000"/>
              </w:rPr>
              <w:t xml:space="preserve">（2）投标文件符合“公寓安全管理方案”中全部条款要求的，视为符合招标文件，本项得3分。</w:t>
            </w:r>
            <w:r/>
          </w:p>
          <w:p>
            <w:pPr>
              <w:ind w:firstLine="420"/>
              <w:spacing w:line="360" w:lineRule="auto"/>
              <w:rPr>
                <w:rFonts w:hint="eastAsia" w:ascii="宋体" w:hAnsi="宋体" w:cs="宋体"/>
              </w:rPr>
            </w:pPr>
            <w:r>
              <w:rPr>
                <w:rFonts w:hint="eastAsia" w:ascii="宋体" w:hAnsi="宋体" w:cs="宋体"/>
                <w:color w:val="000000"/>
              </w:rPr>
              <w:t xml:space="preserve">（2）经评委认定，投标文件对“公寓安全管理方案”中“日常安全管理”、“安全责任监督与落实”、“突发事件反应预案”三项要求的响应内容全部优于招标文件要求的（前提是投标文件对“日常安全管理”、“安全责任监督与落实”、“突发事件反应预案”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hint="eastAsia" w:ascii="宋体" w:hAnsi="宋体" w:cs="宋体"/>
              </w:rPr>
              <w:t xml:space="preserve">5</w:t>
            </w:r>
            <w:r/>
          </w:p>
        </w:tc>
      </w:tr>
      <w:tr>
        <w:trPr>
          <w:cantSplit/>
          <w:jc w:val="center"/>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843" w:type="dxa"/>
            <w:textDirection w:val="lrTb"/>
            <w:noWrap w:val="false"/>
          </w:tcPr>
          <w:p>
            <w:pPr>
              <w:spacing w:line="360" w:lineRule="auto"/>
              <w:rPr>
                <w:rFonts w:hint="eastAsia" w:ascii="宋体" w:hAnsi="宋体" w:cs="宋体"/>
              </w:rPr>
            </w:pPr>
            <w:r>
              <w:rPr>
                <w:rFonts w:hint="eastAsia" w:ascii="宋体" w:hAnsi="宋体" w:cs="宋体"/>
              </w:rPr>
              <w:t xml:space="preserve">3.2环境卫生管理方案</w:t>
            </w:r>
            <w:r/>
          </w:p>
          <w:p>
            <w:pPr>
              <w:ind w:firstLine="420"/>
              <w:spacing w:line="360" w:lineRule="auto"/>
              <w:rPr>
                <w:rFonts w:hint="eastAsia" w:ascii="宋体" w:hAnsi="宋体" w:cs="宋体"/>
                <w:color w:val="000000"/>
              </w:rPr>
            </w:pPr>
            <w:r>
              <w:rPr>
                <w:rFonts w:hint="eastAsia" w:ascii="宋体" w:hAnsi="宋体" w:cs="宋体"/>
                <w:color w:val="000000"/>
              </w:rPr>
              <w:t xml:space="preserve">评委根据投标文件对招标文件第四章“采购需求”中“环境卫生管理方案”要求的响应情况进行评审</w:t>
            </w:r>
            <w:r/>
          </w:p>
          <w:p>
            <w:pPr>
              <w:ind w:firstLine="420"/>
              <w:spacing w:line="360" w:lineRule="auto"/>
              <w:rPr>
                <w:rFonts w:hint="eastAsia" w:ascii="宋体" w:hAnsi="宋体" w:cs="宋体"/>
                <w:color w:val="000000"/>
              </w:rPr>
            </w:pPr>
            <w:r>
              <w:rPr>
                <w:rFonts w:hint="eastAsia" w:ascii="宋体" w:hAnsi="宋体" w:cs="宋体"/>
                <w:color w:val="000000"/>
              </w:rPr>
              <w:t xml:space="preserve">（1）投标文件未符合“环境卫生管理方案”中全部条款要求的，视为不符合招标文件，本项得0分。</w:t>
            </w:r>
            <w:r/>
          </w:p>
          <w:p>
            <w:pPr>
              <w:ind w:firstLine="420"/>
              <w:spacing w:line="360" w:lineRule="auto"/>
              <w:rPr>
                <w:rFonts w:hint="eastAsia" w:ascii="宋体" w:hAnsi="宋体" w:cs="宋体"/>
                <w:color w:val="000000"/>
              </w:rPr>
            </w:pPr>
            <w:r>
              <w:rPr>
                <w:rFonts w:hint="eastAsia" w:ascii="宋体" w:hAnsi="宋体" w:cs="宋体"/>
                <w:color w:val="000000"/>
              </w:rPr>
              <w:t xml:space="preserve">（2）投标文件符合“环境卫生管理方案”中全部条款要求的，视为符合招标文件，本项得3分。</w:t>
            </w:r>
            <w:r/>
          </w:p>
          <w:p>
            <w:pPr>
              <w:ind w:firstLine="420"/>
              <w:spacing w:line="360" w:lineRule="auto"/>
              <w:rPr>
                <w:rFonts w:hint="eastAsia" w:ascii="宋体" w:hAnsi="宋体" w:cs="宋体"/>
              </w:rPr>
            </w:pPr>
            <w:r>
              <w:rPr>
                <w:rFonts w:hint="eastAsia" w:ascii="宋体" w:hAnsi="宋体" w:cs="宋体"/>
                <w:color w:val="000000"/>
              </w:rPr>
              <w:t xml:space="preserve">（2）经评委认定，投标文件对“环境卫生管理方案”中“学生宿舍内务卫生检查管理”、“公寓内外公共环境管理”、“消杀工作管理”三项要求的响应内容全部优于招标文件要求的（前提是投标文件对“学生宿舍内务卫生检查管理”、“公寓内外公共环境管理”、“消杀工作管理”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r>
      <w:tr>
        <w:trPr>
          <w:cantSplit/>
          <w:jc w:val="center"/>
          <w:trHeight w:val="1933"/>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8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3.3 公寓文化建设及特色服务方案</w:t>
            </w:r>
            <w:r/>
          </w:p>
          <w:p>
            <w:pPr>
              <w:ind w:firstLine="420"/>
              <w:spacing w:line="360" w:lineRule="auto"/>
              <w:rPr>
                <w:rFonts w:hint="eastAsia" w:ascii="宋体" w:hAnsi="宋体" w:cs="宋体"/>
                <w:color w:val="000000"/>
              </w:rPr>
            </w:pPr>
            <w:r>
              <w:rPr>
                <w:rFonts w:hint="eastAsia" w:ascii="宋体" w:hAnsi="宋体" w:cs="宋体"/>
                <w:color w:val="000000"/>
              </w:rPr>
              <w:t xml:space="preserve">评委根据投标文件对招标文件第四章“采购需求”中“公寓文化建设及特色服务方案”要求的响应情况进行评审</w:t>
            </w:r>
            <w:r/>
          </w:p>
          <w:p>
            <w:pPr>
              <w:ind w:firstLine="420"/>
              <w:spacing w:line="360" w:lineRule="auto"/>
              <w:rPr>
                <w:rFonts w:hint="eastAsia" w:ascii="宋体" w:hAnsi="宋体" w:cs="宋体"/>
                <w:color w:val="000000"/>
              </w:rPr>
            </w:pPr>
            <w:r>
              <w:rPr>
                <w:rFonts w:hint="eastAsia" w:ascii="宋体" w:hAnsi="宋体" w:cs="宋体"/>
                <w:color w:val="000000"/>
              </w:rPr>
              <w:t xml:space="preserve">（1）投标文件未符合“公寓文化建设及特色服务方案”中全部条款要求的，视为不符合招标文件，本项得0分。</w:t>
            </w:r>
            <w:r/>
          </w:p>
          <w:p>
            <w:pPr>
              <w:ind w:firstLine="420"/>
              <w:spacing w:line="360" w:lineRule="auto"/>
              <w:rPr>
                <w:rFonts w:hint="eastAsia" w:ascii="宋体" w:hAnsi="宋体" w:cs="宋体"/>
                <w:color w:val="000000"/>
              </w:rPr>
            </w:pPr>
            <w:r>
              <w:rPr>
                <w:rFonts w:hint="eastAsia" w:ascii="宋体" w:hAnsi="宋体" w:cs="宋体"/>
                <w:color w:val="000000"/>
              </w:rPr>
              <w:t xml:space="preserve">（2）投标文件符合“公寓文化建设及特色服务方案”中全部条款要求的，视为符合招标文件，本项得3分。</w:t>
            </w:r>
            <w:r/>
          </w:p>
          <w:p>
            <w:pPr>
              <w:ind w:firstLine="420"/>
              <w:spacing w:line="360" w:lineRule="auto"/>
              <w:rPr>
                <w:rFonts w:hint="eastAsia" w:ascii="宋体" w:hAnsi="宋体" w:cs="宋体"/>
              </w:rPr>
            </w:pPr>
            <w:r>
              <w:rPr>
                <w:rFonts w:hint="eastAsia" w:ascii="宋体" w:hAnsi="宋体" w:cs="宋体"/>
                <w:color w:val="000000"/>
              </w:rPr>
              <w:t xml:space="preserve">（2）经评委认定，投标文件对“公寓文化建设及特色服务方案”中“公寓文化建设”、“特色服务”两项要求的响应内容全部优于招标文件要求的（前提是投标文件对“公寓文化建设”、“特色服务”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firstLine="210"/>
              <w:jc w:val="left"/>
              <w:spacing w:line="360" w:lineRule="auto"/>
              <w:rPr>
                <w:rFonts w:hint="eastAsia" w:ascii="宋体" w:hAnsi="宋体" w:cs="宋体"/>
              </w:rPr>
            </w:pPr>
            <w:r>
              <w:rPr>
                <w:rFonts w:hint="eastAsia" w:ascii="宋体" w:hAnsi="宋体" w:cs="宋体"/>
              </w:rPr>
              <w:t xml:space="preserve">5</w:t>
            </w:r>
            <w:r/>
          </w:p>
        </w:tc>
      </w:tr>
      <w:tr>
        <w:trPr>
          <w:cantSplit/>
          <w:jc w:val="center"/>
          <w:trHeight w:val="1870"/>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8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3.4 新生接待、毕业生离校方案</w:t>
            </w:r>
            <w:r/>
          </w:p>
          <w:p>
            <w:pPr>
              <w:ind w:firstLine="420"/>
              <w:spacing w:line="360" w:lineRule="auto"/>
              <w:rPr>
                <w:rFonts w:hint="eastAsia" w:ascii="宋体" w:hAnsi="宋体" w:cs="宋体"/>
                <w:color w:val="000000"/>
              </w:rPr>
            </w:pPr>
            <w:r>
              <w:rPr>
                <w:rFonts w:hint="eastAsia" w:ascii="宋体" w:hAnsi="宋体" w:cs="宋体"/>
                <w:color w:val="000000"/>
              </w:rPr>
              <w:t xml:space="preserve">评委根据投标文件对招标文件第四章“采购需求”中“新生接待、毕业生离校方案”要求的响应情况进行评审</w:t>
            </w:r>
            <w:r/>
          </w:p>
          <w:p>
            <w:pPr>
              <w:ind w:firstLine="420"/>
              <w:spacing w:line="360" w:lineRule="auto"/>
              <w:rPr>
                <w:rFonts w:hint="eastAsia" w:ascii="宋体" w:hAnsi="宋体" w:cs="宋体"/>
                <w:color w:val="000000"/>
              </w:rPr>
            </w:pPr>
            <w:r>
              <w:rPr>
                <w:rFonts w:hint="eastAsia" w:ascii="宋体" w:hAnsi="宋体" w:cs="宋体"/>
                <w:color w:val="000000"/>
              </w:rPr>
              <w:t xml:space="preserve">（1）投标文件未符合“新生接待、毕业生离校方案”中全部条款要求的，视为不符合招标文件，本项得0分。</w:t>
            </w:r>
            <w:r/>
          </w:p>
          <w:p>
            <w:pPr>
              <w:ind w:firstLine="420"/>
              <w:spacing w:line="360" w:lineRule="auto"/>
              <w:rPr>
                <w:rFonts w:hint="eastAsia" w:ascii="宋体" w:hAnsi="宋体" w:cs="宋体"/>
                <w:color w:val="000000"/>
              </w:rPr>
            </w:pPr>
            <w:r>
              <w:rPr>
                <w:rFonts w:hint="eastAsia" w:ascii="宋体" w:hAnsi="宋体" w:cs="宋体"/>
                <w:color w:val="000000"/>
              </w:rPr>
              <w:t xml:space="preserve">（2）投标文件符合“新生接待、毕业生离校方案”中全部条款要求的，视为符合招标文件，本项得3分。</w:t>
            </w:r>
            <w:r/>
          </w:p>
          <w:p>
            <w:pPr>
              <w:ind w:firstLine="420"/>
              <w:spacing w:line="360" w:lineRule="auto"/>
              <w:rPr>
                <w:rFonts w:hint="eastAsia" w:ascii="宋体" w:hAnsi="宋体" w:cs="宋体"/>
              </w:rPr>
            </w:pPr>
            <w:r>
              <w:rPr>
                <w:rFonts w:hint="eastAsia" w:ascii="宋体" w:hAnsi="宋体" w:cs="宋体"/>
                <w:color w:val="000000"/>
              </w:rPr>
              <w:t xml:space="preserve">（2）经评委认定，投标文件对“新生接待、毕业生离校方案”中“新生接待”、“毕业生离校”两项要求的响应内容全部优于招标文件要求的（前提是投标文件对“新生接待”、“毕业生离校”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firstLine="420"/>
              <w:jc w:val="left"/>
              <w:spacing w:line="360" w:lineRule="auto"/>
              <w:rPr>
                <w:rFonts w:hint="eastAsia" w:ascii="宋体" w:hAnsi="宋体" w:cs="宋体"/>
              </w:rPr>
            </w:pPr>
            <w:r>
              <w:rPr>
                <w:rFonts w:hint="eastAsia" w:ascii="宋体" w:hAnsi="宋体" w:cs="宋体"/>
              </w:rPr>
            </w:r>
            <w:r/>
          </w:p>
          <w:p>
            <w:pPr>
              <w:ind w:firstLine="210"/>
              <w:jc w:val="left"/>
              <w:spacing w:line="360" w:lineRule="auto"/>
              <w:rPr>
                <w:rFonts w:hint="eastAsia" w:ascii="宋体" w:hAnsi="宋体" w:cs="宋体"/>
              </w:rPr>
            </w:pPr>
            <w:r>
              <w:rPr>
                <w:rFonts w:hint="eastAsia" w:ascii="宋体" w:hAnsi="宋体" w:cs="宋体"/>
              </w:rPr>
              <w:t xml:space="preserve">5</w:t>
            </w:r>
            <w:r/>
          </w:p>
        </w:tc>
      </w:tr>
      <w:tr>
        <w:trPr>
          <w:cantSplit/>
          <w:jc w:val="center"/>
          <w:trHeight w:val="1668"/>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8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3.5设施设备维修服务方案（包含公共设施设备管护）</w:t>
            </w:r>
            <w:r/>
          </w:p>
          <w:p>
            <w:pPr>
              <w:ind w:firstLine="420"/>
              <w:spacing w:line="360" w:lineRule="auto"/>
              <w:rPr>
                <w:rFonts w:hint="eastAsia" w:ascii="宋体" w:hAnsi="宋体" w:cs="宋体"/>
                <w:color w:val="000000"/>
              </w:rPr>
            </w:pPr>
            <w:r>
              <w:rPr>
                <w:rFonts w:hint="eastAsia" w:ascii="宋体" w:hAnsi="宋体" w:cs="宋体"/>
                <w:color w:val="000000"/>
              </w:rPr>
              <w:t xml:space="preserve">评委根据投标文件对招标文件第四章“采购需求”中“设施设备维修服务方案（包含公共设施设备管护）”要求的响应情况进行评审</w:t>
            </w:r>
            <w:r/>
          </w:p>
          <w:p>
            <w:pPr>
              <w:ind w:firstLine="420"/>
              <w:spacing w:line="360" w:lineRule="auto"/>
              <w:rPr>
                <w:rFonts w:hint="eastAsia" w:ascii="宋体" w:hAnsi="宋体" w:cs="宋体"/>
                <w:color w:val="000000"/>
              </w:rPr>
            </w:pPr>
            <w:r>
              <w:rPr>
                <w:rFonts w:hint="eastAsia" w:ascii="宋体" w:hAnsi="宋体" w:cs="宋体"/>
                <w:color w:val="000000"/>
              </w:rPr>
              <w:t xml:space="preserve">（1）投标文件未符合“设施设备维修服务方案（包含公共设施设备管护）”中全部条款要求的，视为不符合招标文件，本项得0分。</w:t>
            </w:r>
            <w:r/>
          </w:p>
          <w:p>
            <w:pPr>
              <w:ind w:firstLine="420"/>
              <w:spacing w:line="360" w:lineRule="auto"/>
              <w:rPr>
                <w:rFonts w:hint="eastAsia" w:ascii="宋体" w:hAnsi="宋体" w:cs="宋体"/>
                <w:color w:val="000000"/>
              </w:rPr>
            </w:pPr>
            <w:r>
              <w:rPr>
                <w:rFonts w:hint="eastAsia" w:ascii="宋体" w:hAnsi="宋体" w:cs="宋体"/>
                <w:color w:val="000000"/>
              </w:rPr>
              <w:t xml:space="preserve">（2）投标文件符合“设施设备维修服务方案（包含公共设施设备管护）”中全部条款要求的，视为符合招标文件，本项得3分。</w:t>
            </w:r>
            <w:r/>
          </w:p>
          <w:p>
            <w:pPr>
              <w:ind w:firstLine="420"/>
              <w:spacing w:line="360" w:lineRule="auto"/>
              <w:rPr>
                <w:rFonts w:hint="eastAsia" w:ascii="宋体" w:hAnsi="宋体" w:cs="宋体"/>
              </w:rPr>
            </w:pPr>
            <w:r>
              <w:rPr>
                <w:rFonts w:hint="eastAsia" w:ascii="宋体" w:hAnsi="宋体" w:cs="宋体"/>
                <w:color w:val="000000"/>
              </w:rPr>
              <w:t xml:space="preserve">（2）经评委认定，投标文件对“设施设备维修服务方案（包含公共设施设备管护）”中“设施设备维护方案”、“设施设备维修方案”两项要求的响应内容全部优于招标文件要求的（前提是投标文件对“设施设备维护方案”、“设施设备维修方案”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firstLine="210"/>
              <w:jc w:val="left"/>
              <w:spacing w:line="360" w:lineRule="auto"/>
              <w:rPr>
                <w:rFonts w:hint="eastAsia" w:ascii="宋体" w:hAnsi="宋体" w:cs="宋体"/>
              </w:rPr>
            </w:pPr>
            <w:r>
              <w:rPr>
                <w:rFonts w:hint="eastAsia" w:ascii="宋体" w:hAnsi="宋体" w:cs="宋体"/>
              </w:rPr>
              <w:t xml:space="preserve">5</w:t>
            </w:r>
            <w:r/>
          </w:p>
        </w:tc>
      </w:tr>
      <w:tr>
        <w:trPr>
          <w:cantSplit/>
          <w:jc w:val="center"/>
          <w:trHeight w:val="508"/>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8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3.6档案管理制度</w:t>
            </w:r>
            <w:r/>
          </w:p>
          <w:p>
            <w:pPr>
              <w:ind w:firstLine="420"/>
              <w:spacing w:line="360" w:lineRule="auto"/>
              <w:rPr>
                <w:rFonts w:hint="eastAsia" w:ascii="宋体" w:hAnsi="宋体" w:cs="宋体"/>
                <w:color w:val="000000"/>
              </w:rPr>
            </w:pPr>
            <w:r>
              <w:rPr>
                <w:rFonts w:hint="eastAsia" w:ascii="宋体" w:hAnsi="宋体" w:cs="宋体"/>
                <w:color w:val="000000"/>
              </w:rPr>
              <w:t xml:space="preserve">评委根据投标文件对招标文件第四章“采购需求”中“档案管理制度”要求的响应情况进行评审</w:t>
            </w:r>
            <w:r/>
          </w:p>
          <w:p>
            <w:pPr>
              <w:ind w:firstLine="420"/>
              <w:spacing w:line="360" w:lineRule="auto"/>
              <w:rPr>
                <w:rFonts w:hint="eastAsia" w:ascii="宋体" w:hAnsi="宋体" w:cs="宋体"/>
                <w:color w:val="000000"/>
              </w:rPr>
            </w:pPr>
            <w:r>
              <w:rPr>
                <w:rFonts w:hint="eastAsia" w:ascii="宋体" w:hAnsi="宋体" w:cs="宋体"/>
                <w:color w:val="000000"/>
              </w:rPr>
              <w:t xml:space="preserve">（1）投标文件未符合“档案管理制度”中全部条款要求的，视为不符合招标文件，本项得0分。</w:t>
            </w:r>
            <w:r/>
          </w:p>
          <w:p>
            <w:pPr>
              <w:ind w:firstLine="420"/>
              <w:spacing w:line="360" w:lineRule="auto"/>
              <w:rPr>
                <w:rFonts w:hint="eastAsia" w:ascii="宋体" w:hAnsi="宋体" w:cs="宋体"/>
                <w:color w:val="000000"/>
              </w:rPr>
            </w:pPr>
            <w:r>
              <w:rPr>
                <w:rFonts w:hint="eastAsia" w:ascii="宋体" w:hAnsi="宋体" w:cs="宋体"/>
                <w:color w:val="000000"/>
              </w:rPr>
              <w:t xml:space="preserve">（2）投标文件符合“档案管理制度”中全部条款要求的，视为符合招标文件，本项得2分。</w:t>
            </w:r>
            <w:r/>
          </w:p>
          <w:p>
            <w:pPr>
              <w:ind w:firstLine="420"/>
              <w:spacing w:line="360" w:lineRule="auto"/>
              <w:rPr>
                <w:rFonts w:hint="eastAsia" w:ascii="宋体" w:hAnsi="宋体" w:cs="宋体"/>
              </w:rPr>
            </w:pPr>
            <w:r>
              <w:rPr>
                <w:rFonts w:hint="eastAsia" w:ascii="宋体" w:hAnsi="宋体" w:cs="宋体"/>
                <w:color w:val="000000"/>
              </w:rPr>
              <w:t xml:space="preserve">（2）经评委认定，投标文件对“档案管理制度”中“物业档案资料建立、收集管理”、“物业档案资料保存、移交步骤”两项要求的响应内容全部优于招标文件要求的（前提是投标文件对“物业档案资料建立、收集管理”、“物业档案资料保存、移交步骤”外其他要求响应内容符合招标文件要求），本项得4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firstLine="210"/>
              <w:jc w:val="left"/>
              <w:spacing w:line="360" w:lineRule="auto"/>
              <w:rPr>
                <w:rFonts w:ascii="宋体" w:hAnsi="宋体" w:cs="宋体"/>
              </w:rPr>
            </w:pPr>
            <w:r>
              <w:rPr>
                <w:rFonts w:hint="eastAsia" w:ascii="宋体" w:hAnsi="宋体" w:cs="宋体"/>
              </w:rPr>
              <w:t xml:space="preserve">4</w:t>
            </w:r>
            <w:r/>
          </w:p>
        </w:tc>
      </w:tr>
      <w:tr>
        <w:trPr>
          <w:cantSplit/>
          <w:jc w:val="center"/>
          <w:trHeight w:val="1805"/>
        </w:trPr>
        <w:tc>
          <w:tcPr>
            <w:tcBorders>
              <w:top w:val="single" w:color="000000" w:sz="4" w:space="0"/>
              <w:left w:val="single" w:color="000000" w:sz="4" w:space="0"/>
              <w:right w:val="single" w:color="000000" w:sz="4" w:space="0"/>
            </w:tcBorders>
            <w:tcW w:w="680"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right w:val="single" w:color="000000" w:sz="4" w:space="0"/>
            </w:tcBorders>
            <w:tcW w:w="1134"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rPr>
              <w:t xml:space="preserve">人员配置</w:t>
            </w:r>
            <w:r/>
          </w:p>
          <w:p>
            <w:pPr>
              <w:jc w:val="center"/>
              <w:spacing w:line="360" w:lineRule="auto"/>
              <w:rPr>
                <w:rFonts w:hint="eastAsia" w:ascii="宋体" w:hAnsi="宋体" w:cs="宋体"/>
              </w:rPr>
            </w:pPr>
            <w:r>
              <w:rPr>
                <w:rFonts w:hint="eastAsia" w:ascii="宋体" w:hAnsi="宋体" w:cs="宋体"/>
              </w:rPr>
              <w:t xml:space="preserve">（21分）</w:t>
            </w:r>
            <w:r/>
          </w:p>
        </w:tc>
        <w:tc>
          <w:tcPr>
            <w:tcBorders>
              <w:top w:val="single" w:color="000000" w:sz="4" w:space="0"/>
              <w:left w:val="single" w:color="000000" w:sz="4" w:space="0"/>
              <w:bottom w:val="single" w:color="000000" w:sz="4" w:space="0"/>
              <w:right w:val="single" w:color="000000" w:sz="4" w:space="0"/>
            </w:tcBorders>
            <w:tcW w:w="7843" w:type="dxa"/>
            <w:textDirection w:val="lrTb"/>
            <w:noWrap w:val="false"/>
          </w:tcPr>
          <w:p>
            <w:pPr>
              <w:ind w:firstLine="420"/>
              <w:spacing w:line="360" w:lineRule="auto"/>
              <w:rPr>
                <w:rFonts w:hint="eastAsia" w:ascii="宋体" w:hAnsi="宋体" w:cs="宋体"/>
              </w:rPr>
            </w:pPr>
            <w:r>
              <w:rPr>
                <w:rFonts w:hint="eastAsia" w:ascii="宋体" w:hAnsi="宋体" w:cs="宋体"/>
              </w:rPr>
              <w:t xml:space="preserve">4.1.1项目经理学历</w:t>
            </w:r>
            <w:r/>
          </w:p>
          <w:p>
            <w:pPr>
              <w:ind w:firstLine="420"/>
              <w:spacing w:line="360" w:lineRule="auto"/>
              <w:rPr>
                <w:rFonts w:hint="eastAsia" w:ascii="宋体" w:hAnsi="宋体" w:cs="宋体"/>
              </w:rPr>
            </w:pPr>
            <w:r>
              <w:rPr>
                <w:rFonts w:hint="eastAsia" w:ascii="宋体" w:hAnsi="宋体" w:cs="宋体"/>
              </w:rPr>
              <w:t xml:space="preserve">供应商</w:t>
            </w:r>
            <w:r>
              <w:rPr>
                <w:rFonts w:hint="eastAsia" w:ascii="宋体" w:hAnsi="宋体" w:cs="宋体"/>
                <w:color w:val="000000"/>
              </w:rPr>
              <w:t xml:space="preserve">提供</w:t>
            </w:r>
            <w:r>
              <w:rPr>
                <w:rFonts w:hint="eastAsia" w:ascii="宋体" w:hAnsi="宋体" w:cs="宋体"/>
              </w:rPr>
              <w:t xml:space="preserve">拟派驻本项目的项目经理具有本科（含）以上学历得3分（提供学历证明）。</w:t>
            </w:r>
            <w:r>
              <w:rPr>
                <w:rFonts w:hint="eastAsia" w:ascii="宋体" w:hAnsi="宋体" w:cs="宋体"/>
                <w:lang w:val="zh-CN"/>
              </w:rPr>
              <w:t xml:space="preserve">须提供项目经理的身份证复印件、</w:t>
            </w:r>
            <w:r>
              <w:rPr>
                <w:rFonts w:hint="eastAsia" w:ascii="宋体" w:hAnsi="宋体" w:cs="宋体"/>
                <w:color w:val="000000"/>
              </w:rPr>
              <w:t xml:space="preserve">学历证明</w:t>
            </w:r>
            <w:r>
              <w:rPr>
                <w:rFonts w:hint="eastAsia" w:ascii="宋体" w:hAnsi="宋体" w:cs="宋体"/>
                <w:lang w:val="zh-CN"/>
              </w:rPr>
              <w:t xml:space="preserve">及并提供社保机构出具的投标截止时间前六个月内任意一个月投标人为其缴纳的社保缴费证明【加盖社保公章或具有可验证的二维码（或验证码）】，未提供的不得分。</w:t>
            </w:r>
            <w:r/>
          </w:p>
          <w:p>
            <w:pPr>
              <w:ind w:firstLine="420"/>
              <w:spacing w:line="360" w:lineRule="auto"/>
              <w:rPr>
                <w:rFonts w:hint="eastAsia" w:ascii="宋体" w:hAnsi="宋体" w:cs="宋体"/>
              </w:rPr>
            </w:pPr>
            <w:r>
              <w:rPr>
                <w:rFonts w:hint="eastAsia" w:ascii="宋体" w:hAnsi="宋体" w:cs="宋体"/>
              </w:rPr>
              <w:t xml:space="preserve">4.1.2项目经理经验</w:t>
            </w:r>
            <w:r/>
          </w:p>
          <w:p>
            <w:pPr>
              <w:ind w:firstLine="420"/>
              <w:spacing w:line="360" w:lineRule="auto"/>
              <w:rPr>
                <w:rFonts w:hint="eastAsia" w:ascii="宋体" w:hAnsi="宋体" w:cs="宋体"/>
              </w:rPr>
            </w:pPr>
            <w:r>
              <w:rPr>
                <w:rFonts w:hint="eastAsia" w:ascii="宋体" w:hAnsi="宋体" w:cs="宋体"/>
              </w:rPr>
              <w:t xml:space="preserve">项目经理具有从业3年及以上类似项目管理经验（业主方证明并加盖公章）得3分。</w:t>
            </w:r>
            <w:r>
              <w:rPr>
                <w:rFonts w:hint="eastAsia" w:ascii="宋体" w:hAnsi="宋体" w:cs="宋体"/>
                <w:lang w:val="zh-CN"/>
              </w:rPr>
              <w:t xml:space="preserve">须提供项目经理的</w:t>
            </w:r>
            <w:r>
              <w:rPr>
                <w:rFonts w:hint="eastAsia" w:ascii="宋体" w:hAnsi="宋体" w:cs="宋体"/>
              </w:rPr>
              <w:t xml:space="preserve">经验证明材料</w:t>
            </w:r>
            <w:r>
              <w:rPr>
                <w:rFonts w:hint="eastAsia" w:ascii="宋体" w:hAnsi="宋体" w:cs="宋体"/>
                <w:lang w:val="zh-CN"/>
              </w:rPr>
              <w:t xml:space="preserve">及并提供社保机构出具的投标截止时间前六个月内任意一个月投标人为其缴纳的社保缴费证明【加盖社保公章或具有可验证的二维码（或验证码）】。</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firstLine="210"/>
              <w:jc w:val="left"/>
              <w:spacing w:line="360" w:lineRule="auto"/>
              <w:rPr>
                <w:rFonts w:hint="eastAsia" w:ascii="宋体" w:hAnsi="宋体" w:cs="宋体"/>
              </w:rPr>
            </w:pPr>
            <w:r>
              <w:rPr>
                <w:rFonts w:hint="eastAsia" w:ascii="宋体" w:hAnsi="宋体" w:cs="宋体"/>
              </w:rPr>
              <w:t xml:space="preserve">6</w:t>
            </w:r>
            <w:r/>
          </w:p>
        </w:tc>
      </w:tr>
      <w:tr>
        <w:trPr>
          <w:cantSplit/>
          <w:jc w:val="center"/>
          <w:trHeight w:val="410"/>
        </w:trPr>
        <w:tc>
          <w:tcPr>
            <w:tcBorders>
              <w:left w:val="single" w:color="000000" w:sz="4" w:space="0"/>
              <w:right w:val="single" w:color="000000" w:sz="4" w:space="0"/>
            </w:tcBorders>
            <w:tcW w:w="680"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1134"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843" w:type="dxa"/>
            <w:textDirection w:val="lrTb"/>
            <w:noWrap w:val="false"/>
          </w:tcPr>
          <w:p>
            <w:pPr>
              <w:pStyle w:val="840"/>
              <w:ind w:firstLine="420"/>
              <w:rPr>
                <w:rFonts w:ascii="宋体" w:hAnsi="宋体" w:cs="宋体"/>
                <w:color w:val="000000"/>
                <w:szCs w:val="21"/>
                <w:highlight w:val="yellow"/>
              </w:rPr>
            </w:pPr>
            <w:r>
              <w:rPr>
                <w:rFonts w:hint="eastAsia" w:ascii="宋体" w:hAnsi="宋体" w:cs="宋体"/>
                <w:color w:val="000000"/>
                <w:szCs w:val="21"/>
              </w:rPr>
              <w:t xml:space="preserve">4.2 站长（共三人）</w:t>
            </w:r>
            <w:r/>
          </w:p>
          <w:p>
            <w:pPr>
              <w:pStyle w:val="840"/>
              <w:ind w:firstLine="420"/>
              <w:rPr>
                <w:rFonts w:hint="eastAsia" w:ascii="宋体" w:hAnsi="宋体" w:cs="宋体"/>
                <w:color w:val="000000"/>
                <w:szCs w:val="21"/>
              </w:rPr>
            </w:pPr>
            <w:r>
              <w:rPr>
                <w:rFonts w:hint="eastAsia" w:ascii="宋体" w:hAnsi="宋体" w:cs="宋体"/>
                <w:color w:val="000000"/>
                <w:szCs w:val="21"/>
              </w:rPr>
              <w:t xml:space="preserve">4.2.1 站长学历</w:t>
            </w:r>
            <w:r/>
          </w:p>
          <w:p>
            <w:pPr>
              <w:pStyle w:val="840"/>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供应商提供拟派驻本项目的站长具有大专（含）以上学历，每提供1人得1分，最高得3分； 提供派驻本项目的站长</w:t>
            </w:r>
            <w:r>
              <w:rPr>
                <w:rFonts w:hint="eastAsia" w:ascii="宋体" w:hAnsi="宋体" w:cs="宋体"/>
                <w:szCs w:val="21"/>
                <w:lang w:val="zh-CN"/>
              </w:rPr>
              <w:t xml:space="preserve">的身份证复印件、</w:t>
            </w:r>
            <w:r>
              <w:rPr>
                <w:rFonts w:hint="eastAsia" w:ascii="宋体" w:hAnsi="宋体" w:cs="宋体"/>
                <w:color w:val="000000"/>
                <w:szCs w:val="21"/>
              </w:rPr>
              <w:t xml:space="preserve">学历证明</w:t>
            </w:r>
            <w:r>
              <w:rPr>
                <w:rFonts w:hint="eastAsia" w:ascii="宋体" w:hAnsi="宋体" w:cs="宋体"/>
                <w:szCs w:val="21"/>
                <w:lang w:val="zh-CN"/>
              </w:rPr>
              <w:t xml:space="preserve">并提供社保机构出具的投标截止时间前六个月内任意一个月投标人为其缴纳的社保缴费证明【加盖社保公章或具有可验证的二维码（或验证码）</w:t>
            </w:r>
            <w:r/>
          </w:p>
          <w:p>
            <w:pPr>
              <w:pStyle w:val="840"/>
              <w:ind w:firstLine="420"/>
              <w:spacing w:line="360" w:lineRule="auto"/>
              <w:rPr>
                <w:rFonts w:hint="eastAsia" w:ascii="宋体" w:hAnsi="宋体" w:cs="宋体"/>
                <w:color w:val="000000"/>
                <w:szCs w:val="21"/>
              </w:rPr>
            </w:pPr>
            <w:r>
              <w:rPr>
                <w:rFonts w:hint="eastAsia" w:ascii="宋体" w:hAnsi="宋体" w:cs="宋体"/>
                <w:color w:val="000000"/>
                <w:szCs w:val="21"/>
              </w:rPr>
              <w:t xml:space="preserve">4.2.2 站长经验</w:t>
            </w:r>
            <w:r/>
          </w:p>
          <w:p>
            <w:pPr>
              <w:pStyle w:val="840"/>
              <w:ind w:firstLine="420"/>
              <w:spacing w:line="360" w:lineRule="auto"/>
              <w:rPr>
                <w:rFonts w:hint="eastAsia" w:ascii="宋体" w:hAnsi="宋体" w:cs="宋体"/>
                <w:color w:val="000000"/>
                <w:szCs w:val="21"/>
              </w:rPr>
            </w:pPr>
            <w:r>
              <w:rPr>
                <w:rFonts w:hint="eastAsia" w:ascii="宋体" w:hAnsi="宋体" w:cs="宋体"/>
                <w:szCs w:val="21"/>
              </w:rPr>
              <w:t xml:space="preserve">站长具有从业3年及以上类似项目管理经验（业主方证明并加盖公章），</w:t>
            </w:r>
            <w:r>
              <w:rPr>
                <w:rFonts w:hint="eastAsia" w:ascii="宋体" w:hAnsi="宋体" w:cs="宋体"/>
                <w:color w:val="000000"/>
                <w:szCs w:val="21"/>
              </w:rPr>
              <w:t xml:space="preserve">每提供1人得1分，最高得3分</w:t>
            </w:r>
            <w:r>
              <w:rPr>
                <w:rFonts w:hint="eastAsia" w:ascii="宋体" w:hAnsi="宋体" w:cs="宋体"/>
                <w:szCs w:val="21"/>
              </w:rPr>
              <w:t xml:space="preserve">；</w:t>
            </w:r>
            <w:r>
              <w:rPr>
                <w:rFonts w:hint="eastAsia" w:ascii="宋体" w:hAnsi="宋体" w:cs="宋体"/>
                <w:szCs w:val="21"/>
                <w:lang w:val="zh-CN"/>
              </w:rPr>
              <w:t xml:space="preserve">提供</w:t>
            </w:r>
            <w:r>
              <w:rPr>
                <w:rFonts w:hint="eastAsia" w:ascii="宋体" w:hAnsi="宋体" w:cs="宋体"/>
                <w:color w:val="000000"/>
                <w:szCs w:val="21"/>
              </w:rPr>
              <w:t xml:space="preserve">拟派驻本项目的站长</w:t>
            </w:r>
            <w:r>
              <w:rPr>
                <w:rFonts w:hint="eastAsia" w:ascii="宋体" w:hAnsi="宋体" w:cs="宋体"/>
                <w:szCs w:val="21"/>
                <w:lang w:val="zh-CN"/>
              </w:rPr>
              <w:t xml:space="preserve">的</w:t>
            </w:r>
            <w:r>
              <w:rPr>
                <w:rFonts w:hint="eastAsia" w:ascii="宋体" w:hAnsi="宋体" w:cs="宋体"/>
                <w:szCs w:val="21"/>
              </w:rPr>
              <w:t xml:space="preserve">经验证明材料</w:t>
            </w:r>
            <w:r>
              <w:rPr>
                <w:rFonts w:hint="eastAsia" w:ascii="宋体" w:hAnsi="宋体" w:cs="宋体"/>
                <w:szCs w:val="21"/>
                <w:lang w:val="zh-CN"/>
              </w:rPr>
              <w:t xml:space="preserve">及并提供社保机构出具的投标截止时间前六个月内任意一个月投标人为其缴纳的社保缴费证明【加盖社保公章或具有可验证的二维码（或验证码）】。</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firstLine="210"/>
              <w:spacing w:line="360" w:lineRule="auto"/>
              <w:rPr>
                <w:rFonts w:hint="eastAsia" w:ascii="宋体" w:hAnsi="宋体" w:cs="宋体"/>
              </w:rPr>
            </w:pPr>
            <w:r>
              <w:rPr>
                <w:rFonts w:hint="eastAsia" w:ascii="宋体" w:hAnsi="宋体" w:cs="宋体"/>
              </w:rPr>
              <w:t xml:space="preserve">6</w:t>
            </w:r>
            <w:r/>
          </w:p>
        </w:tc>
      </w:tr>
      <w:tr>
        <w:trPr>
          <w:cantSplit/>
          <w:jc w:val="center"/>
          <w:trHeight w:val="1025"/>
        </w:trPr>
        <w:tc>
          <w:tcPr>
            <w:tcBorders>
              <w:left w:val="single" w:color="000000" w:sz="4" w:space="0"/>
              <w:right w:val="single" w:color="000000" w:sz="4" w:space="0"/>
            </w:tcBorders>
            <w:tcW w:w="680"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1134"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843" w:type="dxa"/>
            <w:textDirection w:val="lrTb"/>
            <w:noWrap w:val="false"/>
          </w:tcPr>
          <w:p>
            <w:pPr>
              <w:spacing w:line="360" w:lineRule="auto"/>
              <w:rPr>
                <w:rFonts w:hint="eastAsia" w:ascii="宋体" w:hAnsi="宋体" w:cs="宋体"/>
                <w:color w:val="000000"/>
              </w:rPr>
            </w:pPr>
            <w:r>
              <w:rPr>
                <w:rFonts w:hint="eastAsia" w:ascii="宋体" w:hAnsi="宋体" w:cs="宋体"/>
                <w:color w:val="000000"/>
              </w:rPr>
              <w:t xml:space="preserve">4.3值班员</w:t>
            </w:r>
            <w:r/>
          </w:p>
          <w:p>
            <w:pPr>
              <w:spacing w:line="360" w:lineRule="auto"/>
              <w:rPr>
                <w:rFonts w:hint="eastAsia" w:ascii="宋体" w:hAnsi="宋体" w:cs="宋体"/>
                <w:color w:val="000000"/>
              </w:rPr>
            </w:pPr>
            <w:r>
              <w:rPr>
                <w:rFonts w:hint="eastAsia" w:ascii="宋体" w:hAnsi="宋体" w:cs="宋体"/>
                <w:color w:val="000000"/>
              </w:rPr>
              <w:t xml:space="preserve">4.3.1值班员学历承诺</w:t>
            </w:r>
            <w:r/>
          </w:p>
          <w:p>
            <w:pPr>
              <w:ind w:firstLine="420"/>
              <w:spacing w:line="360" w:lineRule="auto"/>
              <w:rPr>
                <w:rFonts w:hint="eastAsia" w:ascii="宋体" w:hAnsi="宋体" w:cs="宋体"/>
                <w:color w:val="000000"/>
              </w:rPr>
            </w:pPr>
            <w:r>
              <w:rPr>
                <w:rFonts w:hint="eastAsia" w:ascii="宋体" w:hAnsi="宋体" w:cs="宋体"/>
                <w:color w:val="000000"/>
              </w:rPr>
              <w:t xml:space="preserve">供应商承诺拟派驻本项目的所有值班员均具有高中（含）以上学历，并在签订合同后十个工作日内提供人员学历证明材料得2分，（提供承诺书加盖公章，格式自拟。未提供不得分。）</w:t>
            </w:r>
            <w:r/>
          </w:p>
          <w:p>
            <w:pPr>
              <w:spacing w:line="360" w:lineRule="auto"/>
              <w:rPr>
                <w:rFonts w:hint="eastAsia" w:ascii="宋体" w:hAnsi="宋体" w:cs="宋体"/>
                <w:color w:val="000000"/>
              </w:rPr>
            </w:pPr>
            <w:r>
              <w:rPr>
                <w:rFonts w:hint="eastAsia" w:ascii="宋体" w:hAnsi="宋体" w:cs="宋体"/>
                <w:color w:val="000000"/>
              </w:rPr>
              <w:t xml:space="preserve">4.3.2值班员被表彰材料</w:t>
            </w:r>
            <w:r/>
          </w:p>
          <w:p>
            <w:pPr>
              <w:ind w:firstLine="420"/>
              <w:spacing w:line="360" w:lineRule="auto"/>
              <w:rPr>
                <w:rFonts w:hint="eastAsia" w:ascii="宋体" w:hAnsi="宋体" w:cs="宋体"/>
                <w:color w:val="000000"/>
              </w:rPr>
            </w:pPr>
            <w:r>
              <w:rPr>
                <w:rFonts w:hint="eastAsia" w:ascii="宋体" w:hAnsi="宋体" w:cs="宋体"/>
                <w:color w:val="000000"/>
              </w:rPr>
              <w:t xml:space="preserve">供应商提供拟派值班员中被所服务业主单位通报表彰材料（提供2023年1月1日以来通报表彰证书或证明材料复印件加盖公章），满足条件的每提供一人得1分，最高得分2分。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firstLine="210"/>
              <w:spacing w:line="360" w:lineRule="auto"/>
              <w:rPr>
                <w:rFonts w:ascii="宋体" w:hAnsi="宋体" w:cs="宋体"/>
              </w:rPr>
            </w:pPr>
            <w:r>
              <w:rPr>
                <w:rFonts w:hint="eastAsia" w:ascii="宋体" w:hAnsi="宋体" w:cs="宋体"/>
              </w:rPr>
              <w:t xml:space="preserve">4</w:t>
            </w:r>
            <w:r/>
          </w:p>
        </w:tc>
      </w:tr>
      <w:tr>
        <w:trPr>
          <w:cantSplit/>
          <w:jc w:val="center"/>
          <w:trHeight w:val="1213"/>
        </w:trPr>
        <w:tc>
          <w:tcPr>
            <w:tcBorders>
              <w:left w:val="single" w:color="000000" w:sz="4" w:space="0"/>
              <w:right w:val="single" w:color="000000" w:sz="4" w:space="0"/>
            </w:tcBorders>
            <w:tcW w:w="680"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1134"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843" w:type="dxa"/>
            <w:textDirection w:val="lrTb"/>
            <w:noWrap w:val="false"/>
          </w:tcPr>
          <w:p>
            <w:pPr>
              <w:spacing w:line="360" w:lineRule="auto"/>
              <w:rPr>
                <w:rFonts w:ascii="宋体" w:hAnsi="宋体" w:cs="宋体"/>
                <w:highlight w:val="green"/>
              </w:rPr>
            </w:pPr>
            <w:r>
              <w:rPr>
                <w:rFonts w:hint="eastAsia" w:ascii="宋体" w:hAnsi="宋体" w:cs="宋体"/>
              </w:rPr>
              <w:t xml:space="preserve">4.4</w:t>
            </w:r>
            <w:r>
              <w:rPr>
                <w:rFonts w:hint="eastAsia" w:ascii="宋体" w:hAnsi="宋体" w:cs="宋体"/>
                <w:highlight w:val="white"/>
              </w:rPr>
              <w:t xml:space="preserve">维</w:t>
            </w:r>
            <w:r>
              <w:rPr>
                <w:rFonts w:hint="eastAsia" w:ascii="宋体" w:hAnsi="宋体" w:cs="宋体"/>
                <w:color w:val="000000"/>
                <w:highlight w:val="white"/>
              </w:rPr>
              <w:t xml:space="preserve">修人员高压电工作业证（共两人</w:t>
            </w:r>
            <w:r>
              <w:rPr>
                <w:rFonts w:hint="eastAsia"/>
              </w:rPr>
              <w:t xml:space="preserve">）</w:t>
            </w:r>
            <w:r/>
          </w:p>
          <w:p>
            <w:pPr>
              <w:ind w:firstLine="420"/>
              <w:spacing w:line="360" w:lineRule="auto"/>
              <w:rPr>
                <w:rFonts w:hint="eastAsia" w:ascii="宋体" w:hAnsi="宋体" w:cs="宋体"/>
                <w:color w:val="000000"/>
                <w:highlight w:val="white"/>
              </w:rPr>
            </w:pPr>
            <w:r>
              <w:rPr>
                <w:rFonts w:hint="eastAsia" w:ascii="宋体" w:hAnsi="宋体" w:cs="宋体"/>
                <w:color w:val="000000"/>
                <w:highlight w:val="white"/>
              </w:rPr>
              <w:t xml:space="preserve">供应商拟派驻本项目的维修人员具备高压电工作业证每提供1名证书得1.5分，总分3分（提供证书复印件加盖公章，未提供不得分。））。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3</w:t>
            </w:r>
            <w:r/>
          </w:p>
        </w:tc>
      </w:tr>
      <w:tr>
        <w:trPr>
          <w:jc w:val="center"/>
          <w:trHeight w:val="1025"/>
        </w:trPr>
        <w:tc>
          <w:tcPr>
            <w:tcBorders>
              <w:left w:val="single" w:color="000000" w:sz="4" w:space="0"/>
              <w:bottom w:val="single" w:color="000000" w:sz="4" w:space="0"/>
              <w:right w:val="single" w:color="000000" w:sz="4" w:space="0"/>
            </w:tcBorders>
            <w:tcW w:w="680"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left w:val="single" w:color="000000" w:sz="4" w:space="0"/>
              <w:bottom w:val="single" w:color="000000" w:sz="4" w:space="0"/>
              <w:right w:val="single" w:color="000000" w:sz="4" w:space="0"/>
            </w:tcBorders>
            <w:tcW w:w="1134"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843" w:type="dxa"/>
            <w:textDirection w:val="lrTb"/>
            <w:noWrap w:val="false"/>
          </w:tcPr>
          <w:p>
            <w:pPr>
              <w:spacing w:line="360" w:lineRule="auto"/>
              <w:rPr>
                <w:rFonts w:hint="eastAsia" w:ascii="宋体" w:hAnsi="宋体" w:cs="宋体"/>
                <w:color w:val="000000"/>
              </w:rPr>
            </w:pPr>
            <w:r>
              <w:rPr>
                <w:rFonts w:hint="eastAsia" w:ascii="宋体" w:hAnsi="宋体" w:cs="宋体"/>
                <w:color w:val="000000"/>
              </w:rPr>
              <w:t xml:space="preserve">4.5保洁员学历承诺</w:t>
            </w:r>
            <w:r/>
          </w:p>
          <w:p>
            <w:pPr>
              <w:ind w:firstLine="420"/>
              <w:spacing w:line="360" w:lineRule="auto"/>
              <w:rPr>
                <w:rFonts w:hint="eastAsia" w:ascii="宋体" w:hAnsi="宋体" w:cs="宋体"/>
              </w:rPr>
            </w:pPr>
            <w:r>
              <w:rPr>
                <w:rFonts w:hint="eastAsia" w:ascii="宋体" w:hAnsi="宋体" w:cs="宋体"/>
                <w:color w:val="000000"/>
              </w:rPr>
              <w:t xml:space="preserve">供应商承诺拟派驻本项目的所有保洁员均具有初中（含）以上学历，并在签订合同</w:t>
            </w:r>
            <w:bookmarkStart w:id="167" w:name="OLE_LINK2"/>
            <w:r>
              <w:rPr>
                <w:rFonts w:hint="eastAsia" w:ascii="宋体" w:hAnsi="宋体" w:cs="宋体"/>
                <w:color w:val="000000"/>
              </w:rPr>
              <w:t xml:space="preserve">后十个工作日内</w:t>
            </w:r>
            <w:bookmarkEnd w:id="167"/>
            <w:r>
              <w:rPr>
                <w:rFonts w:hint="eastAsia" w:ascii="宋体" w:hAnsi="宋体" w:cs="宋体"/>
                <w:color w:val="000000"/>
              </w:rPr>
              <w:t xml:space="preserve">提供人员学历证明材料得2分，（提供承诺书加盖公章，格式自拟。未提供不得分。）。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r>
      <w:tr>
        <w:trPr>
          <w:cantSplit/>
          <w:jc w:val="center"/>
        </w:trPr>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rPr>
              <w:t xml:space="preserve">   5</w:t>
            </w:r>
            <w:r/>
          </w:p>
          <w:p>
            <w:pPr>
              <w:jc w:val="cente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rPr>
              <w:t xml:space="preserve">履约能力及相关承诺</w:t>
            </w:r>
            <w:r/>
          </w:p>
          <w:p>
            <w:pPr>
              <w:jc w:val="center"/>
              <w:spacing w:line="360" w:lineRule="auto"/>
              <w:rPr>
                <w:rFonts w:hint="eastAsia" w:ascii="宋体" w:hAnsi="宋体" w:cs="宋体"/>
              </w:rPr>
            </w:pPr>
            <w:r>
              <w:rPr>
                <w:rFonts w:hint="eastAsia" w:ascii="宋体" w:hAnsi="宋体" w:cs="宋体"/>
              </w:rPr>
              <w:t xml:space="preserve">（15分）</w:t>
            </w:r>
            <w:r/>
          </w:p>
        </w:tc>
        <w:tc>
          <w:tcPr>
            <w:tcBorders>
              <w:top w:val="single" w:color="000000" w:sz="4" w:space="0"/>
              <w:left w:val="single" w:color="000000" w:sz="4" w:space="0"/>
              <w:bottom w:val="single" w:color="000000" w:sz="4" w:space="0"/>
              <w:right w:val="single" w:color="000000" w:sz="4" w:space="0"/>
            </w:tcBorders>
            <w:tcW w:w="78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5.1业绩</w:t>
            </w:r>
            <w:r/>
          </w:p>
          <w:p>
            <w:pPr>
              <w:ind w:firstLine="420"/>
              <w:spacing w:line="360" w:lineRule="auto"/>
              <w:rPr>
                <w:rFonts w:hint="eastAsia" w:ascii="宋体" w:hAnsi="宋体" w:cs="宋体"/>
              </w:rPr>
            </w:pPr>
            <w:r>
              <w:rPr>
                <w:rFonts w:hint="eastAsia" w:ascii="宋体" w:hAnsi="宋体" w:cs="宋体"/>
              </w:rPr>
              <w:t xml:space="preserve">供应商提供自 2023年1月1日以来（以合同签订时间为准）的类似物业管理项目案例，每提供一个业绩得2分，最多8分。（提供合同复印件，在同一家单位服务的不同物业合同只算一个项目）。</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firstLine="210"/>
              <w:spacing w:line="360" w:lineRule="auto"/>
              <w:rPr>
                <w:rFonts w:hint="eastAsia" w:ascii="宋体" w:hAnsi="宋体" w:cs="宋体"/>
              </w:rPr>
            </w:pPr>
            <w:r>
              <w:rPr>
                <w:rFonts w:hint="eastAsia" w:ascii="宋体" w:hAnsi="宋体" w:cs="宋体"/>
              </w:rPr>
              <w:t xml:space="preserve">8</w:t>
            </w:r>
            <w:r/>
          </w:p>
        </w:tc>
      </w:tr>
      <w:tr>
        <w:trPr>
          <w:cantSplit/>
          <w:jc w:val="center"/>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8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5.2服务评价</w:t>
            </w:r>
            <w:r/>
          </w:p>
          <w:p>
            <w:pPr>
              <w:ind w:firstLine="420"/>
              <w:spacing w:line="360" w:lineRule="auto"/>
              <w:rPr>
                <w:rFonts w:hint="eastAsia" w:ascii="宋体" w:hAnsi="宋体" w:cs="宋体"/>
              </w:rPr>
            </w:pPr>
            <w:r>
              <w:rPr>
                <w:rFonts w:hint="eastAsia" w:ascii="宋体" w:hAnsi="宋体" w:cs="宋体"/>
              </w:rPr>
              <w:t xml:space="preserve">供应商提供自 2023年1月1日以来（以合同签订时间为准）管理的不同单位的类似物业项目案例并获得服务方考核评价为优秀或满意的。提供1项得1分,满分4分（提供业主或业主单位管理部门盖章的评价为优秀或满意的证明材料，同一服务单位只算一份，不重复得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firstLine="210"/>
              <w:spacing w:line="360" w:lineRule="auto"/>
              <w:rPr>
                <w:rFonts w:hint="eastAsia" w:ascii="宋体" w:hAnsi="宋体" w:cs="宋体"/>
              </w:rPr>
            </w:pPr>
            <w:r>
              <w:rPr>
                <w:rFonts w:hint="eastAsia" w:ascii="宋体" w:hAnsi="宋体" w:cs="宋体"/>
              </w:rPr>
              <w:t xml:space="preserve">4</w:t>
            </w:r>
            <w:r/>
          </w:p>
        </w:tc>
      </w:tr>
      <w:tr>
        <w:trPr>
          <w:cantSplit/>
          <w:jc w:val="center"/>
          <w:trHeight w:val="2145"/>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right w:val="single" w:color="000000" w:sz="4" w:space="0"/>
            </w:tcBorders>
            <w:tcW w:w="78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5.3智能化平台</w:t>
            </w:r>
            <w:r/>
          </w:p>
          <w:p>
            <w:pPr>
              <w:ind w:firstLine="420"/>
              <w:spacing w:line="360" w:lineRule="auto"/>
              <w:rPr>
                <w:rFonts w:hint="eastAsia" w:ascii="宋体" w:hAnsi="宋体" w:cs="宋体"/>
              </w:rPr>
            </w:pPr>
            <w:r>
              <w:rPr>
                <w:rFonts w:hint="eastAsia" w:ascii="宋体" w:hAnsi="宋体" w:cs="宋体"/>
              </w:rPr>
              <w:t xml:space="preserve">供应商拟投入本项目的物业管理软件或物业管理信息化系统，须具备业主/客户管理、报修管理、费用查询等物业管理基本功能。</w:t>
            </w:r>
            <w:r>
              <w:rPr>
                <w:rFonts w:ascii="宋体" w:hAnsi="宋体" w:cs="宋体"/>
              </w:rPr>
              <w:t xml:space="preserve">自有软件须提供软件著作权证书复印件；租赁</w:t>
            </w:r>
            <w:r>
              <w:rPr>
                <w:rFonts w:hint="eastAsia" w:ascii="宋体" w:hAnsi="宋体" w:cs="宋体"/>
              </w:rPr>
              <w:t xml:space="preserve">或者</w:t>
            </w:r>
            <w:r>
              <w:rPr>
                <w:rFonts w:ascii="宋体" w:hAnsi="宋体" w:cs="宋体"/>
              </w:rPr>
              <w:t xml:space="preserve">外购软件须提供采购或租赁合同</w:t>
            </w:r>
            <w:r>
              <w:rPr>
                <w:rFonts w:hint="eastAsia" w:ascii="宋体" w:hAnsi="宋体" w:cs="宋体"/>
              </w:rPr>
              <w:t xml:space="preserve">或有权使用证明材料</w:t>
            </w:r>
            <w:r>
              <w:rPr>
                <w:rFonts w:ascii="宋体" w:hAnsi="宋体" w:cs="宋体"/>
              </w:rPr>
              <w:t xml:space="preserve">，未</w:t>
            </w:r>
            <w:r>
              <w:rPr>
                <w:rFonts w:hint="eastAsia" w:ascii="宋体" w:hAnsi="宋体" w:cs="宋体"/>
              </w:rPr>
              <w:t xml:space="preserve">提供不得分。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firstLine="210"/>
              <w:spacing w:line="360" w:lineRule="auto"/>
              <w:rPr>
                <w:rFonts w:ascii="宋体" w:hAnsi="宋体" w:cs="宋体"/>
              </w:rPr>
            </w:pPr>
            <w:r>
              <w:rPr>
                <w:rFonts w:hint="eastAsia" w:ascii="宋体" w:hAnsi="宋体" w:cs="宋体"/>
              </w:rPr>
              <w:t xml:space="preserve">3</w:t>
            </w:r>
            <w:r/>
          </w:p>
        </w:tc>
      </w:tr>
      <w:tr>
        <w:trPr>
          <w:jc w:val="center"/>
          <w:trHeight w:val="438"/>
        </w:trPr>
        <w:tc>
          <w:tcPr>
            <w:gridSpan w:val="3"/>
            <w:tcBorders>
              <w:top w:val="single" w:color="000000" w:sz="4" w:space="0"/>
              <w:left w:val="single" w:color="000000" w:sz="4" w:space="0"/>
              <w:bottom w:val="single" w:color="000000" w:sz="4" w:space="0"/>
              <w:right w:val="single" w:color="000000" w:sz="4" w:space="0"/>
            </w:tcBorders>
            <w:tcW w:w="965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合计分值</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100</w:t>
            </w:r>
            <w:r/>
          </w:p>
        </w:tc>
      </w:tr>
    </w:tbl>
    <w:p>
      <w:pPr>
        <w:rPr>
          <w:rFonts w:hint="eastAsia"/>
        </w:rPr>
      </w:pPr>
      <w:r>
        <w:rPr>
          <w:rFonts w:hint="eastAsia"/>
        </w:rPr>
      </w:r>
      <w:r/>
    </w:p>
    <w:p>
      <w:pPr>
        <w:rPr>
          <w:rFonts w:hint="eastAsia"/>
        </w:rPr>
      </w:pPr>
      <w:r>
        <w:rPr>
          <w:rFonts w:hint="eastAsia"/>
        </w:rPr>
      </w:r>
      <w:r/>
    </w:p>
    <w:p>
      <w:pPr>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br w:type="page" w:clear="all"/>
      </w:r>
      <w:r>
        <w:rPr>
          <w:rFonts w:hint="eastAsia" w:ascii="方正黑体_GBK" w:hAnsi="方正黑体_GBK" w:eastAsia="方正黑体_GBK" w:cs="方正黑体_GBK"/>
          <w:color w:val="000000"/>
          <w:sz w:val="28"/>
          <w:szCs w:val="28"/>
        </w:rPr>
        <w:t xml:space="preserve">第六章  投标</w:t>
      </w:r>
      <w:bookmarkEnd w:id="159"/>
      <w:r/>
      <w:bookmarkEnd w:id="160"/>
      <w:r/>
      <w:bookmarkEnd w:id="165"/>
      <w:r>
        <w:rPr>
          <w:rFonts w:hint="eastAsia" w:ascii="方正黑体_GBK" w:hAnsi="方正黑体_GBK" w:eastAsia="方正黑体_GBK" w:cs="方正黑体_GBK"/>
          <w:color w:val="000000"/>
          <w:sz w:val="28"/>
          <w:szCs w:val="28"/>
        </w:rPr>
        <w:t xml:space="preserve">文件格式 </w:t>
      </w:r>
      <w:r/>
    </w:p>
    <w:p>
      <w:pPr>
        <w:jc w:val="center"/>
        <w:rPr>
          <w:rFonts w:hint="eastAsia" w:ascii="宋体" w:hAnsi="宋体"/>
          <w:b/>
          <w:sz w:val="28"/>
          <w:szCs w:val="28"/>
        </w:rPr>
      </w:pPr>
      <w:r/>
      <w:bookmarkStart w:id="168" w:name="_Hlt26955039"/>
      <w:r/>
      <w:bookmarkStart w:id="169" w:name="_Hlt26671244"/>
      <w:r/>
      <w:bookmarkStart w:id="170" w:name="_Toc120614282"/>
      <w:r/>
      <w:bookmarkStart w:id="171" w:name="_Toc26554094"/>
      <w:r/>
      <w:bookmarkStart w:id="172" w:name="_Toc49090576"/>
      <w:r/>
      <w:bookmarkEnd w:id="168"/>
      <w:r/>
      <w:bookmarkEnd w:id="169"/>
      <w:r/>
      <w:r/>
    </w:p>
    <w:p>
      <w:pPr>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p>
    <w:p>
      <w:pPr>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p>
    <w:p>
      <w:pPr>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jc w:val="center"/>
        <w:spacing w:line="400" w:lineRule="exact"/>
        <w:rPr>
          <w:rFonts w:hint="eastAsia" w:ascii="宋体" w:hAnsi="宋体"/>
          <w:b/>
          <w:bCs/>
          <w:sz w:val="28"/>
          <w:szCs w:val="28"/>
        </w:rPr>
      </w:pPr>
      <w:r>
        <w:rPr>
          <w:rFonts w:hint="eastAsia" w:ascii="宋体" w:hAnsi="宋体"/>
          <w:b/>
          <w:bCs/>
          <w:sz w:val="28"/>
          <w:szCs w:val="28"/>
        </w:rPr>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eastAsia="方正仿宋_GBK"/>
          <w:color w:val="000000"/>
          <w:sz w:val="28"/>
          <w:szCs w:val="28"/>
        </w:rPr>
        <w:t xml:space="preserve">XXXX</w:t>
      </w:r>
      <w:r>
        <w:rPr>
          <w:rFonts w:hint="eastAsia" w:ascii="方正仿宋_GBK" w:hAnsi="方正仿宋_GBK" w:eastAsia="方正仿宋_GBK" w:cs="方正仿宋_GBK"/>
          <w:color w:val="000000"/>
          <w:sz w:val="28"/>
          <w:szCs w:val="28"/>
        </w:rPr>
        <w:t xml:space="preserve">（格式见附件</w:t>
      </w:r>
      <w:r>
        <w:rPr>
          <w:rFonts w:hint="eastAsia" w:eastAsia="方正仿宋_GBK"/>
          <w:color w:val="000000"/>
          <w:sz w:val="28"/>
          <w:szCs w:val="28"/>
        </w:rPr>
        <w:t xml:space="preserve">XX</w:t>
      </w:r>
      <w:r>
        <w:rPr>
          <w:rFonts w:hint="eastAsia" w:ascii="方正仿宋_GBK" w:hAnsi="方正仿宋_GBK" w:eastAsia="方正仿宋_GBK" w:cs="方正仿宋_GBK"/>
          <w:color w:val="000000"/>
          <w:sz w:val="28"/>
          <w:szCs w:val="28"/>
        </w:rPr>
        <w:t xml:space="preserve">）</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p>
    <w:p>
      <w:pPr>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p>
    <w:p>
      <w:pPr>
        <w:spacing w:line="400" w:lineRule="exact"/>
        <w:rPr>
          <w:rFonts w:ascii="宋体" w:hAnsi="宋体"/>
          <w:sz w:val="28"/>
          <w:szCs w:val="28"/>
        </w:rPr>
      </w:pPr>
      <w:r>
        <w:rPr>
          <w:rFonts w:ascii="宋体" w:hAnsi="宋体"/>
          <w:sz w:val="28"/>
          <w:szCs w:val="28"/>
        </w:rPr>
      </w:r>
      <w:r/>
    </w:p>
    <w:p>
      <w:pPr>
        <w:spacing w:line="400" w:lineRule="exact"/>
        <w:rPr>
          <w:rFonts w:ascii="宋体" w:hAnsi="宋体"/>
          <w:b/>
          <w:color w:val="ff0000"/>
          <w:sz w:val="28"/>
          <w:szCs w:val="28"/>
        </w:rPr>
      </w:pPr>
      <w:r>
        <w:rPr>
          <w:rFonts w:ascii="宋体" w:hAnsi="宋体"/>
          <w:b/>
          <w:color w:val="ff0000"/>
          <w:sz w:val="28"/>
          <w:szCs w:val="28"/>
        </w:rPr>
      </w:r>
      <w:r/>
    </w:p>
    <w:p>
      <w:pPr>
        <w:spacing w:line="400" w:lineRule="exact"/>
        <w:rPr>
          <w:rFonts w:ascii="宋体" w:hAnsi="宋体"/>
          <w:b/>
          <w:color w:val="ff0000"/>
          <w:sz w:val="28"/>
          <w:szCs w:val="28"/>
        </w:rPr>
      </w:pPr>
      <w:r>
        <w:rPr>
          <w:rFonts w:ascii="宋体" w:hAnsi="宋体"/>
          <w:b/>
          <w:color w:val="ff0000"/>
          <w:sz w:val="28"/>
          <w:szCs w:val="28"/>
        </w:rPr>
      </w:r>
      <w:r/>
    </w:p>
    <w:p>
      <w:pPr>
        <w:spacing w:line="400" w:lineRule="exact"/>
        <w:rPr>
          <w:rFonts w:ascii="宋体" w:hAnsi="宋体"/>
          <w:b/>
          <w:color w:val="ff0000"/>
          <w:sz w:val="28"/>
          <w:szCs w:val="28"/>
        </w:rPr>
      </w:pPr>
      <w:r>
        <w:rPr>
          <w:rFonts w:ascii="宋体" w:hAnsi="宋体"/>
          <w:b/>
          <w:color w:val="ff0000"/>
          <w:sz w:val="28"/>
          <w:szCs w:val="28"/>
        </w:rPr>
      </w:r>
      <w:r/>
    </w:p>
    <w:p>
      <w:pPr>
        <w:spacing w:line="400" w:lineRule="exact"/>
        <w:rPr>
          <w:rFonts w:ascii="宋体" w:hAnsi="宋体"/>
          <w:b/>
          <w:color w:val="ff0000"/>
          <w:sz w:val="28"/>
          <w:szCs w:val="28"/>
        </w:rPr>
      </w:pPr>
      <w:r>
        <w:rPr>
          <w:rFonts w:ascii="宋体" w:hAnsi="宋体"/>
          <w:b/>
          <w:color w:val="ff0000"/>
          <w:sz w:val="28"/>
          <w:szCs w:val="28"/>
        </w:rPr>
      </w:r>
      <w:r/>
    </w:p>
    <w:p>
      <w:pP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color w:val="000000"/>
          <w:sz w:val="28"/>
          <w:szCs w:val="28"/>
        </w:rPr>
        <w:t xml:space="preserve">XXXX</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sz w:val="28"/>
          <w:szCs w:val="28"/>
        </w:rPr>
        <w:t xml:space="preserve">                                  </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934"/>
      </w:tblGrid>
      <w:tr>
        <w:trPr>
          <w:cantSplit/>
          <w:trHeight w:val="725"/>
        </w:trPr>
        <w:tc>
          <w:tcPr>
            <w:tcW w:w="893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835"/>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bl>
    <w:p>
      <w:pPr>
        <w:ind w:firstLine="480"/>
        <w:spacing w:line="400" w:lineRule="exact"/>
        <w:rPr>
          <w:rFonts w:hint="eastAsia" w:ascii="宋体" w:hAnsi="宋体"/>
          <w:sz w:val="28"/>
          <w:szCs w:val="28"/>
        </w:rPr>
      </w:pPr>
      <w:r>
        <w:rPr>
          <w:rFonts w:hint="eastAsia" w:ascii="宋体" w:hAnsi="宋体"/>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color w:val="000000"/>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ascii="宋体" w:hAnsi="宋体"/>
          <w:sz w:val="28"/>
          <w:szCs w:val="28"/>
        </w:rPr>
      </w:pPr>
      <w:r>
        <w:rPr>
          <w:rFonts w:ascii="宋体" w:hAnsi="宋体"/>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人员工资、社会保险和公积金三项费用报价表（采购包号：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4973" w:type="pct"/>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0"/>
        <w:gridCol w:w="1482"/>
        <w:gridCol w:w="704"/>
        <w:gridCol w:w="941"/>
        <w:gridCol w:w="1094"/>
        <w:gridCol w:w="1107"/>
        <w:gridCol w:w="2967"/>
      </w:tblGrid>
      <w:tr>
        <w:trPr>
          <w:trHeight w:val="369"/>
        </w:trPr>
        <w:tc>
          <w:tcPr>
            <w:tcW w:w="337"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p>
        </w:tc>
        <w:tc>
          <w:tcPr>
            <w:tcW w:w="622"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总价1</w:t>
            </w:r>
            <w:r/>
          </w:p>
        </w:tc>
        <w:tc>
          <w:tcPr>
            <w:tcW w:w="1663" w:type="pct"/>
            <w:vAlign w:val="center"/>
            <w:vMerge w:val="restart"/>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trHeight w:val="369"/>
        </w:trPr>
        <w:tc>
          <w:tcPr>
            <w:tcW w:w="337"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w:t>
            </w:r>
            <w:r/>
          </w:p>
        </w:tc>
        <w:tc>
          <w:tcPr>
            <w:tcW w:w="833"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人员工资</w:t>
            </w:r>
            <w:r/>
          </w:p>
        </w:tc>
        <w:tc>
          <w:tcPr>
            <w:tcW w:w="396"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pct"/>
            <w:vAlign w:val="center"/>
            <w:vMerge w:val="continue"/>
            <w:textDirection w:val="lrTb"/>
            <w:noWrap w:val="false"/>
          </w:tcPr>
          <w:p>
            <w:pPr>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w:t>
            </w:r>
            <w:r/>
          </w:p>
        </w:tc>
        <w:tc>
          <w:tcPr>
            <w:tcW w:w="833"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pct"/>
            <w:vAlign w:val="center"/>
            <w:textDirection w:val="lrTb"/>
            <w:noWrap w:val="false"/>
          </w:tcPr>
          <w:p>
            <w:pPr>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9" w:type="pct"/>
            <w:vAlign w:val="center"/>
            <w:textDirection w:val="lrTb"/>
            <w:noWrap w:val="false"/>
          </w:tcPr>
          <w:p>
            <w:pPr>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5" w:type="pct"/>
            <w:textDirection w:val="lrTb"/>
            <w:noWrap w:val="false"/>
          </w:tcPr>
          <w:p>
            <w:pPr>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22" w:type="pct"/>
            <w:vAlign w:val="center"/>
            <w:textDirection w:val="lrTb"/>
            <w:noWrap w:val="false"/>
          </w:tcPr>
          <w:p>
            <w:pPr>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663" w:type="pct"/>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p>
        </w:tc>
        <w:tc>
          <w:tcPr>
            <w:tcW w:w="833"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pct"/>
            <w:vAlign w:val="center"/>
            <w:textDirection w:val="lrTb"/>
            <w:noWrap w:val="false"/>
          </w:tcPr>
          <w:p>
            <w:pPr>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9" w:type="pct"/>
            <w:vAlign w:val="center"/>
            <w:textDirection w:val="lrTb"/>
            <w:noWrap w:val="false"/>
          </w:tcPr>
          <w:p>
            <w:pPr>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5" w:type="pct"/>
            <w:textDirection w:val="lrTb"/>
            <w:noWrap w:val="false"/>
          </w:tcPr>
          <w:p>
            <w:pPr>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22" w:type="pct"/>
            <w:vAlign w:val="center"/>
            <w:textDirection w:val="lrTb"/>
            <w:noWrap w:val="false"/>
          </w:tcPr>
          <w:p>
            <w:pPr>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663" w:type="pct"/>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w:t>
            </w:r>
            <w:r/>
          </w:p>
        </w:tc>
        <w:tc>
          <w:tcPr>
            <w:tcW w:w="833"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pct"/>
            <w:vAlign w:val="center"/>
            <w:textDirection w:val="lrTb"/>
            <w:noWrap w:val="false"/>
          </w:tcPr>
          <w:p>
            <w:pPr>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9" w:type="pct"/>
            <w:vAlign w:val="center"/>
            <w:textDirection w:val="lrTb"/>
            <w:noWrap w:val="false"/>
          </w:tcPr>
          <w:p>
            <w:pPr>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5" w:type="pct"/>
            <w:textDirection w:val="lrTb"/>
            <w:noWrap w:val="false"/>
          </w:tcPr>
          <w:p>
            <w:pPr>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22" w:type="pct"/>
            <w:vAlign w:val="center"/>
            <w:textDirection w:val="lrTb"/>
            <w:noWrap w:val="false"/>
          </w:tcPr>
          <w:p>
            <w:pPr>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663" w:type="pct"/>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gridSpan w:val="7"/>
            <w:tcW w:w="5000" w:type="pct"/>
            <w:vAlign w:val="center"/>
            <w:textDirection w:val="lrTb"/>
            <w:noWrap w:val="false"/>
          </w:tcPr>
          <w:p>
            <w:pPr>
              <w:jc w:val="left"/>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分项总价1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p>
        </w:tc>
      </w:tr>
      <w:tr>
        <w:trPr>
          <w:trHeight w:val="369"/>
        </w:trPr>
        <w:tc>
          <w:tcPr>
            <w:tcW w:w="337"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 期 限</w:t>
            </w:r>
            <w:r/>
          </w:p>
        </w:tc>
        <w:tc>
          <w:tcPr>
            <w:tcW w:w="622"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总价2</w:t>
            </w:r>
            <w:r/>
          </w:p>
        </w:tc>
        <w:tc>
          <w:tcPr>
            <w:tcW w:w="1663" w:type="pct"/>
            <w:vAlign w:val="center"/>
            <w:vMerge w:val="restart"/>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trHeight w:val="628"/>
        </w:trPr>
        <w:tc>
          <w:tcPr>
            <w:tcW w:w="337"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2</w:t>
            </w:r>
            <w:r/>
          </w:p>
        </w:tc>
        <w:tc>
          <w:tcPr>
            <w:tcW w:w="833"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社会保险</w:t>
            </w:r>
            <w:r/>
          </w:p>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费用</w:t>
            </w:r>
            <w:r/>
          </w:p>
        </w:tc>
        <w:tc>
          <w:tcPr>
            <w:tcW w:w="396" w:type="pct"/>
            <w:vAlign w:val="center"/>
            <w:textDirection w:val="lrTb"/>
            <w:noWrap w:val="false"/>
          </w:tcPr>
          <w:p>
            <w:pPr>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pct"/>
            <w:vAlign w:val="center"/>
            <w:textDirection w:val="lrTb"/>
            <w:noWrap w:val="false"/>
          </w:tcPr>
          <w:p>
            <w:pPr>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pct"/>
            <w:vAlign w:val="center"/>
            <w:vMerge w:val="continue"/>
            <w:textDirection w:val="lrTb"/>
            <w:noWrap w:val="false"/>
          </w:tcPr>
          <w:p>
            <w:pPr>
              <w:jc w:val="left"/>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563"/>
        </w:trPr>
        <w:tc>
          <w:tcPr>
            <w:tcW w:w="337"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w:t>
            </w:r>
            <w:r/>
          </w:p>
        </w:tc>
        <w:tc>
          <w:tcPr>
            <w:tcW w:w="833"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该人员正常缴纳社会保</w:t>
            </w:r>
            <w:r/>
          </w:p>
          <w:p>
            <w:pP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险/</w:t>
            </w:r>
            <w:r>
              <w:rPr>
                <w:rFonts w:hint="eastAsia" w:ascii="方正仿宋_GBK" w:hAnsi="方正仿宋_GBK" w:eastAsia="方正仿宋_GBK" w:cs="方正仿宋_GBK"/>
                <w:iCs/>
                <w:sz w:val="28"/>
                <w:szCs w:val="28"/>
              </w:rPr>
              <w:t xml:space="preserve">如该人员依法享受社会保险费用缴纳减免政策，请在此框内进行说明</w:t>
            </w:r>
            <w:r/>
          </w:p>
        </w:tc>
      </w:tr>
      <w:tr>
        <w:trPr>
          <w:trHeight w:val="261"/>
        </w:trPr>
        <w:tc>
          <w:tcPr>
            <w:tcW w:w="337"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p>
        </w:tc>
        <w:tc>
          <w:tcPr>
            <w:tcW w:w="833"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vMerge w:val="continue"/>
            <w:textDirection w:val="lrTb"/>
            <w:noWrap w:val="false"/>
          </w:tcPr>
          <w:p>
            <w:pPr>
              <w:jc w:val="left"/>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261"/>
        </w:trPr>
        <w:tc>
          <w:tcPr>
            <w:tcW w:w="337"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33"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textDirection w:val="lrTb"/>
            <w:noWrap w:val="false"/>
          </w:tcPr>
          <w:p>
            <w:pPr>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261"/>
        </w:trPr>
        <w:tc>
          <w:tcPr>
            <w:gridSpan w:val="7"/>
            <w:tcW w:w="5000" w:type="pct"/>
            <w:vAlign w:val="center"/>
            <w:textDirection w:val="lrTb"/>
            <w:noWrap w:val="false"/>
          </w:tcPr>
          <w:p>
            <w:pPr>
              <w:jc w:val="left"/>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分项总价2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p>
        </w:tc>
      </w:tr>
      <w:tr>
        <w:trPr>
          <w:trHeight w:val="261"/>
        </w:trPr>
        <w:tc>
          <w:tcPr>
            <w:tcW w:w="337"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p>
        </w:tc>
        <w:tc>
          <w:tcPr>
            <w:tcW w:w="622"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总价3</w:t>
            </w:r>
            <w:r/>
          </w:p>
        </w:tc>
        <w:tc>
          <w:tcPr>
            <w:tcW w:w="1663" w:type="pct"/>
            <w:vAlign w:val="center"/>
            <w:vMerge w:val="restart"/>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trHeight w:val="261"/>
        </w:trPr>
        <w:tc>
          <w:tcPr>
            <w:tcW w:w="337" w:type="pct"/>
            <w:vAlign w:val="center"/>
            <w:textDirection w:val="lrTb"/>
            <w:noWrap w:val="false"/>
          </w:tcPr>
          <w:p>
            <w:pPr>
              <w:jc w:val="center"/>
              <w:spacing w:line="40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3</w:t>
            </w:r>
            <w:r/>
          </w:p>
        </w:tc>
        <w:tc>
          <w:tcPr>
            <w:tcW w:w="833" w:type="pct"/>
            <w:vAlign w:val="center"/>
            <w:textDirection w:val="lrTb"/>
            <w:noWrap w:val="false"/>
          </w:tcPr>
          <w:p>
            <w:pPr>
              <w:jc w:val="center"/>
              <w:spacing w:line="40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住房公积金</w:t>
            </w:r>
            <w:r/>
          </w:p>
        </w:tc>
        <w:tc>
          <w:tcPr>
            <w:tcW w:w="396" w:type="pct"/>
            <w:vAlign w:val="center"/>
            <w:textDirection w:val="lrTb"/>
            <w:noWrap w:val="false"/>
          </w:tcPr>
          <w:p>
            <w:pPr>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pct"/>
            <w:vAlign w:val="center"/>
            <w:textDirection w:val="lrTb"/>
            <w:noWrap w:val="false"/>
          </w:tcPr>
          <w:p>
            <w:pPr>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pct"/>
            <w:vAlign w:val="center"/>
            <w:textDirection w:val="lrTb"/>
            <w:noWrap w:val="false"/>
          </w:tcPr>
          <w:p>
            <w:pPr>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pct"/>
            <w:vAlign w:val="center"/>
            <w:vMerge w:val="continue"/>
            <w:textDirection w:val="lrTb"/>
            <w:noWrap w:val="false"/>
          </w:tcPr>
          <w:p>
            <w:pPr>
              <w:jc w:val="left"/>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369"/>
        </w:trPr>
        <w:tc>
          <w:tcPr>
            <w:tcW w:w="337"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w:t>
            </w:r>
            <w:r/>
          </w:p>
        </w:tc>
        <w:tc>
          <w:tcPr>
            <w:tcW w:w="833"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该人员正常缴存住房公</w:t>
            </w:r>
            <w:r/>
          </w:p>
          <w:p>
            <w:pPr>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积金/</w:t>
            </w:r>
            <w:r>
              <w:rPr>
                <w:rFonts w:hint="eastAsia" w:ascii="方正仿宋_GBK" w:hAnsi="方正仿宋_GBK" w:eastAsia="方正仿宋_GBK" w:cs="方正仿宋_GBK"/>
                <w:iCs/>
                <w:sz w:val="28"/>
                <w:szCs w:val="28"/>
              </w:rPr>
              <w:t xml:space="preserve">如该人员依法享受住房公积金缴存减免政策，请在此框内进行说明</w:t>
            </w:r>
            <w:r/>
          </w:p>
        </w:tc>
      </w:tr>
      <w:tr>
        <w:trPr>
          <w:trHeight w:val="369"/>
        </w:trPr>
        <w:tc>
          <w:tcPr>
            <w:tcW w:w="337"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w:t>
            </w:r>
            <w:r/>
          </w:p>
        </w:tc>
        <w:tc>
          <w:tcPr>
            <w:tcW w:w="833"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vMerge w:val="continue"/>
            <w:textDirection w:val="lrTb"/>
            <w:noWrap w:val="false"/>
          </w:tcPr>
          <w:p>
            <w:pPr>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33"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textDirection w:val="lrTb"/>
            <w:noWrap w:val="false"/>
          </w:tcPr>
          <w:p>
            <w:pPr>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gridSpan w:val="7"/>
            <w:tcW w:w="5000" w:type="pct"/>
            <w:vAlign w:val="center"/>
            <w:textDirection w:val="lrTb"/>
            <w:noWrap w:val="false"/>
          </w:tcPr>
          <w:p>
            <w:pPr>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分项总价3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p>
        </w:tc>
      </w:tr>
    </w:tbl>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1.本表仅适用物业管理服务品目政府采购项目，供应商需在投标（响应）文件中填报此表。</w:t>
      </w:r>
      <w:r/>
    </w:p>
    <w:p>
      <w:pPr>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t xml:space="preserve">2.供应商在投标（响应）文件中响应的拟投入本项目的服务人员不得是全日制在校学生。</w:t>
      </w:r>
      <w:r/>
    </w:p>
    <w:p>
      <w:pPr>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spacing w:line="400" w:lineRule="exact"/>
        <w:rPr>
          <w:rFonts w:ascii="宋体" w:hAnsi="宋体"/>
          <w:sz w:val="28"/>
          <w:szCs w:val="28"/>
        </w:rPr>
      </w:pPr>
      <w:r>
        <w:rPr>
          <w:rFonts w:hint="eastAsia" w:ascii="宋体" w:hAnsi="宋体"/>
          <w:sz w:val="28"/>
          <w:szCs w:val="28"/>
        </w:rPr>
        <w:t xml:space="preserve">                         </w:t>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45"/>
        <w:gridCol w:w="3063"/>
        <w:gridCol w:w="3191"/>
        <w:gridCol w:w="229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p>
    <w:p>
      <w:pPr>
        <w:spacing w:line="400" w:lineRule="exact"/>
        <w:rPr>
          <w:rFonts w:ascii="宋体" w:hAnsi="宋体"/>
          <w:sz w:val="28"/>
          <w:szCs w:val="28"/>
        </w:rPr>
      </w:pPr>
      <w:r>
        <w:rPr>
          <w:rFonts w:ascii="宋体" w:hAnsi="宋体"/>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spacing w:line="400" w:lineRule="exact"/>
        <w:rPr>
          <w:rFonts w:ascii="宋体" w:hAnsi="宋体"/>
          <w:b/>
          <w:color w:val="000000"/>
          <w:sz w:val="28"/>
          <w:szCs w:val="28"/>
        </w:rPr>
      </w:pPr>
      <w:r>
        <w:rPr>
          <w:rFonts w:hint="eastAsia" w:ascii="宋体" w:hAnsi="宋体"/>
          <w:bCs/>
          <w:color w:val="000000"/>
          <w:sz w:val="28"/>
          <w:szCs w:val="28"/>
        </w:rPr>
        <w:t xml:space="preserve">                                     </w:t>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jc w:val="center"/>
        <w:spacing w:line="400" w:lineRule="exact"/>
        <w:rPr>
          <w:rFonts w:ascii="宋体" w:hAnsi="宋体"/>
          <w:bCs/>
          <w:color w:val="000000"/>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spacing w:line="400" w:lineRule="exact"/>
        <w:rPr>
          <w:rFonts w:ascii="黑体" w:hAnsi="黑体" w:eastAsia="黑体"/>
          <w:b/>
          <w:i/>
          <w:color w:val="000000"/>
          <w:sz w:val="28"/>
          <w:szCs w:val="28"/>
          <w:u w:val="single"/>
        </w:rPr>
      </w:pPr>
      <w:r>
        <w:rPr>
          <w:rFonts w:hint="eastAsia" w:ascii="方正黑体_GBK" w:hAnsi="方正黑体_GBK" w:eastAsia="方正黑体_GBK" w:cs="方正黑体_GBK"/>
          <w:bCs/>
          <w:sz w:val="28"/>
          <w:szCs w:val="28"/>
        </w:rPr>
        <w:t xml:space="preserve">附件8              投标函</w:t>
      </w:r>
      <w:r/>
    </w:p>
    <w:p>
      <w:pPr>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pStyle w:val="83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83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pStyle w:val="83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83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83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83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83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83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p>
    <w:p>
      <w:pPr>
        <w:pStyle w:val="83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83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83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83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83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83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83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835"/>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35"/>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35"/>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35"/>
        <w:ind w:left="420" w:firstLine="560"/>
        <w:spacing w:before="0" w:after="0" w:line="400" w:lineRule="exact"/>
        <w:rPr>
          <w:rFonts w:hint="eastAsia" w:ascii="宋体" w:hAnsi="宋体"/>
          <w:sz w:val="28"/>
          <w:szCs w:val="28"/>
        </w:rPr>
      </w:pPr>
      <w:r>
        <w:rPr>
          <w:rFonts w:hint="eastAsia" w:ascii="宋体" w:hAnsi="宋体"/>
          <w:sz w:val="28"/>
          <w:szCs w:val="28"/>
        </w:rPr>
      </w:r>
      <w:r/>
    </w:p>
    <w:p>
      <w:pPr>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pStyle w:val="835"/>
        <w:jc w:val="center"/>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                            日      期：___年____月____日</w:t>
      </w:r>
      <w:r/>
    </w:p>
    <w:p>
      <w:pPr>
        <w:ind w:firstLine="560"/>
        <w:spacing w:line="400" w:lineRule="exact"/>
        <w:rPr>
          <w:rFonts w:ascii="宋体" w:hAnsi="宋体"/>
          <w:sz w:val="28"/>
          <w:szCs w:val="28"/>
        </w:rPr>
      </w:pPr>
      <w:r>
        <w:rPr>
          <w:rFonts w:ascii="宋体" w:hAnsi="宋体"/>
          <w:sz w:val="28"/>
          <w:szCs w:val="28"/>
        </w:rPr>
      </w:r>
      <w:r/>
    </w:p>
    <w:p>
      <w:pPr>
        <w:jc w:val="center"/>
        <w:spacing w:line="400" w:lineRule="exact"/>
        <w:rPr>
          <w:rFonts w:hint="eastAsia" w:ascii="方正黑体_GBK" w:hAnsi="方正黑体_GBK" w:eastAsia="方正黑体_GBK" w:cs="方正黑体_GBK"/>
          <w:bCs/>
          <w:sz w:val="28"/>
          <w:szCs w:val="28"/>
        </w:rPr>
      </w:pPr>
      <w:r/>
      <w:bookmarkStart w:id="173" w:name="_Toc120614284"/>
      <w:r/>
      <w:bookmarkEnd w:id="170"/>
      <w:r/>
      <w:bookmarkEnd w:id="171"/>
      <w:r/>
      <w:bookmarkEnd w:id="172"/>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p>
    <w:p>
      <w:pPr>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p>
    <w:p>
      <w:pPr>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spacing w:line="400" w:lineRule="exact"/>
        <w:rPr>
          <w:rFonts w:hint="eastAsia" w:ascii="宋体" w:hAnsi="宋体"/>
          <w:color w:val="ff0000"/>
          <w:sz w:val="28"/>
          <w:szCs w:val="28"/>
        </w:rPr>
      </w:pP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w:t>
      </w:r>
      <w:r>
        <w:rPr>
          <w:rFonts w:hint="eastAsia" w:ascii="方正仿宋_GBK" w:hAnsi="方正仿宋_GBK" w:eastAsia="方正仿宋_GBK" w:cs="方正仿宋_GBK"/>
          <w:sz w:val="28"/>
          <w:szCs w:val="28"/>
        </w:rPr>
        <w:t xml:space="preserve">提供服务的必须提供此声明函，否则将不能通过资格审查。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spacing w:line="400" w:lineRule="exact"/>
        <w:rPr>
          <w:rFonts w:hint="eastAsia" w:ascii="黑体" w:hAnsi="黑体" w:eastAsia="黑体"/>
          <w:b/>
          <w:sz w:val="28"/>
          <w:szCs w:val="28"/>
        </w:rPr>
      </w:pPr>
      <w:r>
        <w:rPr>
          <w:rFonts w:hint="eastAsia" w:ascii="黑体" w:hAnsi="黑体" w:eastAsia="黑体"/>
          <w:b/>
          <w:sz w:val="28"/>
          <w:szCs w:val="28"/>
        </w:rPr>
      </w:r>
      <w:r/>
    </w:p>
    <w:p>
      <w:pPr>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项目（项目名称）（采购包号：XX）的政府采购活动，我联合体指定</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p>
    <w:p>
      <w:pPr>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日期：___年____月____日     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ind w:firstLine="645"/>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实质性要求响应及偏离表（采购包号：XX）</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p>
        </w:tc>
        <w:tc>
          <w:tcPr>
            <w:tcW w:w="3317"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8"/>
          <w:szCs w:val="28"/>
        </w:rPr>
      </w:pPr>
      <w:r>
        <w:rPr>
          <w:rFonts w:hint="eastAsia" w:ascii="宋体" w:hAnsi="宋体"/>
          <w:color w:val="ff0000"/>
          <w:sz w:val="28"/>
          <w:szCs w:val="28"/>
        </w:rPr>
      </w:r>
      <w:r/>
    </w:p>
    <w:p>
      <w:pPr>
        <w:jc w:val="center"/>
        <w:spacing w:line="400" w:lineRule="exact"/>
        <w:rPr>
          <w:rFonts w:hint="eastAsia" w:ascii="宋体" w:hAnsi="宋体" w:cs="宋体"/>
          <w:b/>
          <w:sz w:val="28"/>
          <w:szCs w:val="28"/>
        </w:rPr>
      </w:pPr>
      <w:r>
        <w:rPr>
          <w:rFonts w:hint="eastAsia" w:ascii="宋体" w:hAnsi="宋体" w:cs="宋体"/>
          <w:b/>
          <w:sz w:val="28"/>
          <w:szCs w:val="28"/>
        </w:rPr>
      </w:r>
      <w:r/>
    </w:p>
    <w:p>
      <w:pPr>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关于符合本国产品标准的声明函（采购包号：XX）</w:t>
      </w:r>
      <w:r/>
    </w:p>
    <w:p>
      <w:pPr>
        <w:pStyle w:val="832"/>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834"/>
          <w:rFonts w:hint="eastAsia" w:ascii="方正仿宋_GBK" w:hAnsi="方正仿宋_GBK" w:eastAsia="方正仿宋_GBK" w:cs="方正仿宋_GBK"/>
          <w:i w:val="0"/>
          <w:sz w:val="28"/>
          <w:szCs w:val="28"/>
          <w:u w:val="single"/>
          <w:shd w:val="clear" w:color="auto" w:fill="ffffff"/>
        </w:rPr>
        <w:t xml:space="preserve">（产品名称1）</w:t>
      </w:r>
      <w:r>
        <w:rPr>
          <w:rStyle w:val="834"/>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834"/>
          <w:rFonts w:hint="eastAsia" w:ascii="方正仿宋_GBK" w:hAnsi="方正仿宋_GBK" w:eastAsia="方正仿宋_GBK" w:cs="方正仿宋_GBK"/>
          <w:i w:val="0"/>
          <w:sz w:val="28"/>
          <w:szCs w:val="28"/>
          <w:u w:val="single"/>
          <w:shd w:val="clear" w:color="auto" w:fill="ffffff"/>
        </w:rPr>
        <w:t xml:space="preserve">（厂名）</w:t>
      </w:r>
      <w:r>
        <w:rPr>
          <w:rStyle w:val="834"/>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834"/>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3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34"/>
          <w:rFonts w:hint="eastAsia" w:ascii="方正仿宋_GBK" w:hAnsi="方正仿宋_GBK" w:eastAsia="方正仿宋_GBK" w:cs="方正仿宋_GBK"/>
          <w:i w:val="0"/>
          <w:sz w:val="28"/>
          <w:szCs w:val="28"/>
          <w:u w:val="single"/>
          <w:shd w:val="clear" w:color="auto" w:fill="ffffff"/>
        </w:rPr>
        <w:t xml:space="preserve">/  </w:t>
      </w:r>
      <w:r>
        <w:rPr>
          <w:rStyle w:val="834"/>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3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34"/>
          <w:rFonts w:hint="eastAsia" w:ascii="方正仿宋_GBK" w:hAnsi="方正仿宋_GBK" w:eastAsia="方正仿宋_GBK" w:cs="方正仿宋_GBK"/>
          <w:i w:val="0"/>
          <w:sz w:val="28"/>
          <w:szCs w:val="28"/>
          <w:u w:val="single"/>
          <w:shd w:val="clear" w:color="auto" w:fill="ffffff"/>
        </w:rPr>
        <w:t xml:space="preserve">/  </w:t>
      </w:r>
      <w:r>
        <w:rPr>
          <w:rStyle w:val="834"/>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3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34"/>
          <w:rFonts w:hint="eastAsia" w:ascii="方正仿宋_GBK" w:hAnsi="方正仿宋_GBK" w:eastAsia="方正仿宋_GBK" w:cs="方正仿宋_GBK"/>
          <w:i w:val="0"/>
          <w:sz w:val="28"/>
          <w:szCs w:val="28"/>
          <w:u w:val="single"/>
          <w:shd w:val="clear" w:color="auto" w:fill="ffffff"/>
        </w:rPr>
        <w:t xml:space="preserve">/  </w:t>
      </w:r>
      <w:r>
        <w:rPr>
          <w:rStyle w:val="834"/>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p>
    <w:p>
      <w:pPr>
        <w:pStyle w:val="83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834"/>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834"/>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834"/>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3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3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3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3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3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3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p>
    <w:p>
      <w:pPr>
        <w:pStyle w:val="83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p>
    <w:p>
      <w:pPr>
        <w:pStyle w:val="83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p>
    <w:p>
      <w:pPr>
        <w:pStyle w:val="83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32"/>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p>
    <w:p>
      <w:pPr>
        <w:pStyle w:val="832"/>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p>
    <w:p>
      <w:pPr>
        <w:pStyle w:val="83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p>
    <w:p>
      <w:pPr>
        <w:pStyle w:val="83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p>
    <w:p>
      <w:pPr>
        <w:pStyle w:val="83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p>
    <w:p>
      <w:pPr>
        <w:pStyle w:val="83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p>
    <w:p>
      <w:pPr>
        <w:pStyle w:val="83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p>
    <w:p>
      <w:pPr>
        <w:pStyle w:val="83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83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83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p>
    <w:p>
      <w:pPr>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bookmarkEnd w:id="157"/>
      <w:bookmarkEnd w:id="158"/>
      <w:bookmarkEnd w:id="173"/>
      <w:r/>
    </w:p>
    <w:p>
      <w:pPr>
        <w:ind w:firstLine="56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p>
    <w:p>
      <w:pPr>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827"/>
        <w:spacing w:line="400" w:lineRule="exact"/>
        <w:rPr>
          <w:rFonts w:hint="eastAsia"/>
          <w:sz w:val="28"/>
          <w:szCs w:val="28"/>
        </w:rPr>
      </w:pPr>
      <w:r>
        <w:rPr>
          <w:rFonts w:hint="eastAsia"/>
          <w:sz w:val="28"/>
          <w:szCs w:val="28"/>
        </w:rPr>
      </w:r>
      <w:r/>
    </w:p>
    <w:p>
      <w:pPr>
        <w:pStyle w:val="827"/>
        <w:rPr>
          <w:sz w:val="24"/>
          <w:szCs w:val="24"/>
        </w:rPr>
      </w:pPr>
      <w:r>
        <w:rPr>
          <w:sz w:val="24"/>
          <w:szCs w:val="24"/>
        </w:rPr>
      </w:r>
      <w:r/>
    </w:p>
    <w:p>
      <w:r/>
      <w:r/>
    </w:p>
    <w:p>
      <w:r/>
      <w:r/>
    </w:p>
    <w:p>
      <w:r/>
      <w:r/>
    </w:p>
    <w:p>
      <w:r/>
      <w:r/>
    </w:p>
    <w:sectPr>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方正仿宋_GBK">
    <w:panose1 w:val="020B0503020202020204"/>
  </w:font>
  <w:font w:name="方正黑体_GBK">
    <w:panose1 w:val="020B0503020202020204"/>
  </w:font>
  <w:font w:name="黑体">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宋体">
    <w:panose1 w:val="02010600030101010101"/>
  </w:font>
  <w:font w:name="Wingdings 2">
    <w:panose1 w:val="05020102010507070707"/>
  </w:font>
  <w:font w:name="方正小标宋_GBK">
    <w:panose1 w:val="020B0503020202020204"/>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pPr>
    <w:fldSimple w:instr="PAGE \* MERGEFORMAT">
      <w:r>
        <w:t xml:space="preserve">1</w:t>
      </w:r>
    </w:fldSimple>
    <w:r/>
    <w:r/>
  </w:p>
  <w:p>
    <w:pPr>
      <w:pStyle w:val="825"/>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44517" cy="131433"/>
              <wp:effectExtent l="6350" t="6350" r="6350" b="6350"/>
              <wp:wrapNone/>
              <wp:docPr id="1" name="文本框 4"/>
              <wp:cNvGraphicFramePr/>
              <a:graphic xmlns:a="http://schemas.openxmlformats.org/drawingml/2006/main">
                <a:graphicData uri="http://schemas.microsoft.com/office/word/2010/wordprocessingShape">
                  <wps:wsp>
                    <wps:cNvPr id="0" name=""/>
                    <wps:cNvSpPr txBox="1"/>
                    <wps:spPr bwMode="auto">
                      <a:xfrm flipH="0" flipV="0">
                        <a:off x="0" y="0"/>
                        <a:ext cx="144516" cy="131433"/>
                      </a:xfrm>
                      <a:prstGeom prst="rect">
                        <a:avLst/>
                      </a:prstGeom>
                      <a:noFill/>
                      <a:ln>
                        <a:noFill/>
                      </a:ln>
                    </wps:spPr>
                    <wps:txbx>
                      <w:txbxContent>
                        <w:p>
                          <w:pPr>
                            <w:pStyle w:val="825"/>
                          </w:pPr>
                          <w:r>
                            <w:fldChar w:fldCharType="begin"/>
                          </w:r>
                          <w:r>
                            <w:instrText xml:space="preserve"> PAGE  \* MERGEFORMAT </w:instrText>
                          </w:r>
                          <w:r>
                            <w:fldChar w:fldCharType="separate"/>
                          </w:r>
                          <w:r>
                            <w:t xml:space="preserve">1</w:t>
                          </w:r>
                          <w:r>
                            <w:fldChar w:fldCharType="end"/>
                          </w:r>
                          <w:r/>
                        </w:p>
                      </w:txbxContent>
                    </wps:txbx>
                    <wps:bodyPr wrap="square" lIns="0" tIns="0" rIns="0" bIns="0">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1.4pt;height:10.3pt;mso-wrap-distance-left:9.0pt;mso-wrap-distance-top:0.0pt;mso-wrap-distance-right:9.0pt;mso-wrap-distance-bottom:0.0pt;visibility:visible;" filled="f" stroked="f">
              <v:textbox inset="0,0,0,0">
                <w:txbxContent>
                  <w:p>
                    <w:pPr>
                      <w:pStyle w:val="82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rPr>
        <w:rStyle w:val="833"/>
      </w:rPr>
      <w:framePr w:wrap="around" w:vAnchor="text" w:hAnchor="margin" w:xAlign="center" w:y="1"/>
    </w:pPr>
    <w:r>
      <w:fldChar w:fldCharType="begin"/>
    </w:r>
    <w:r>
      <w:rPr>
        <w:rStyle w:val="833"/>
      </w:rPr>
      <w:instrText xml:space="preserve">PAGE  </w:instrText>
    </w:r>
    <w:r>
      <w:fldChar w:fldCharType="separate"/>
    </w:r>
    <w:r>
      <w:rPr>
        <w:rStyle w:val="833"/>
      </w:rPr>
      <w:t xml:space="preserve">1</w:t>
    </w:r>
    <w:r>
      <w:fldChar w:fldCharType="end"/>
    </w:r>
    <w:r/>
  </w:p>
  <w:p>
    <w:pPr>
      <w:pStyle w:val="82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12065" b="17145"/>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5"/>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txbxContent>
              </v:textbox>
            </v:shape>
          </w:pict>
        </mc:Fallback>
      </mc:AlternateContent>
    </w:r>
    <w:r/>
  </w:p>
  <w:p>
    <w:pPr>
      <w:pStyle w:val="8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default"/>
        <w:u w:val="none"/>
      </w:rPr>
    </w:lvl>
    <w:lvl w:ilvl="1">
      <w:start w:val="1"/>
      <w:numFmt w:val="bullet"/>
      <w:isLgl w:val="false"/>
      <w:suff w:val="tab"/>
      <w:lvlText w:val="o"/>
      <w:lvlJc w:val="left"/>
      <w:pPr>
        <w:ind w:left="1440" w:hanging="360"/>
      </w:pPr>
      <w:rPr>
        <w:rFonts w:hint="default" w:ascii="Courier New" w:hAnsi="Courier New" w:cs="Courier New"/>
        <w:u w:val="none"/>
      </w:rPr>
    </w:lvl>
    <w:lvl w:ilvl="2">
      <w:start w:val="1"/>
      <w:numFmt w:val="bullet"/>
      <w:isLgl w:val="false"/>
      <w:suff w:val="tab"/>
      <w:lvlText w:val="§"/>
      <w:lvlJc w:val="left"/>
      <w:pPr>
        <w:ind w:left="2160" w:hanging="360"/>
      </w:pPr>
      <w:rPr>
        <w:rFonts w:hint="default" w:ascii="Wingdings" w:hAnsi="Wingdings" w:eastAsia="Wingdings" w:cs="Wingdings"/>
        <w:u w:val="none"/>
      </w:rPr>
    </w:lvl>
    <w:lvl w:ilvl="3">
      <w:start w:val="1"/>
      <w:numFmt w:val="bullet"/>
      <w:isLgl w:val="false"/>
      <w:suff w:val="tab"/>
      <w:lvlText w:val="·"/>
      <w:lvlJc w:val="left"/>
      <w:pPr>
        <w:ind w:left="2880" w:hanging="360"/>
      </w:pPr>
      <w:rPr>
        <w:rFonts w:hint="default" w:ascii="Symbol" w:hAnsi="Symbol" w:eastAsia="Symbol" w:cs="Symbol"/>
        <w:u w:val="none"/>
      </w:rPr>
    </w:lvl>
    <w:lvl w:ilvl="4">
      <w:start w:val="1"/>
      <w:numFmt w:val="bullet"/>
      <w:isLgl w:val="false"/>
      <w:suff w:val="tab"/>
      <w:lvlText w:val="o"/>
      <w:lvlJc w:val="left"/>
      <w:pPr>
        <w:ind w:left="3600" w:hanging="360"/>
      </w:pPr>
      <w:rPr>
        <w:rFonts w:hint="default" w:ascii="Courier New" w:hAnsi="Courier New" w:cs="Courier New"/>
        <w:u w:val="none"/>
      </w:rPr>
    </w:lvl>
    <w:lvl w:ilvl="5">
      <w:start w:val="1"/>
      <w:numFmt w:val="bullet"/>
      <w:isLgl w:val="false"/>
      <w:suff w:val="tab"/>
      <w:lvlText w:val="§"/>
      <w:lvlJc w:val="left"/>
      <w:pPr>
        <w:ind w:left="4320" w:hanging="360"/>
      </w:pPr>
      <w:rPr>
        <w:rFonts w:hint="default" w:ascii="Wingdings" w:hAnsi="Wingdings" w:eastAsia="Wingdings" w:cs="Wingdings"/>
        <w:u w:val="none"/>
      </w:rPr>
    </w:lvl>
    <w:lvl w:ilvl="6">
      <w:start w:val="1"/>
      <w:numFmt w:val="bullet"/>
      <w:isLgl w:val="false"/>
      <w:suff w:val="tab"/>
      <w:lvlText w:val="·"/>
      <w:lvlJc w:val="left"/>
      <w:pPr>
        <w:ind w:left="5040" w:hanging="360"/>
      </w:pPr>
      <w:rPr>
        <w:rFonts w:hint="default" w:ascii="Symbol" w:hAnsi="Symbol" w:eastAsia="Symbol" w:cs="Symbol"/>
        <w:u w:val="none"/>
      </w:rPr>
    </w:lvl>
    <w:lvl w:ilvl="7">
      <w:start w:val="1"/>
      <w:numFmt w:val="bullet"/>
      <w:isLgl w:val="false"/>
      <w:suff w:val="tab"/>
      <w:lvlText w:val="o"/>
      <w:lvlJc w:val="left"/>
      <w:pPr>
        <w:ind w:left="5760" w:hanging="360"/>
      </w:pPr>
      <w:rPr>
        <w:rFonts w:hint="default" w:ascii="Courier New" w:hAnsi="Courier New" w:cs="Courier New"/>
        <w:u w:val="none"/>
      </w:rPr>
    </w:lvl>
    <w:lvl w:ilvl="8">
      <w:start w:val="1"/>
      <w:numFmt w:val="bullet"/>
      <w:isLgl w:val="false"/>
      <w:suff w:val="tab"/>
      <w:lvlText w:val="§"/>
      <w:lvlJc w:val="left"/>
      <w:pPr>
        <w:ind w:left="6480" w:hanging="360"/>
      </w:pPr>
      <w:rPr>
        <w:rFonts w:hint="default" w:ascii="Wingdings" w:hAnsi="Wingdings" w:eastAsia="Wingdings" w:cs="Wingdings"/>
        <w:u w:val="none"/>
      </w:rPr>
    </w:lvl>
  </w:abstractNum>
  <w:abstractNum w:abstractNumId="1">
    <w:multiLevelType w:val="hybridMultilevel"/>
    <w:lvl w:ilvl="0">
      <w:start w:val="1"/>
      <w:numFmt w:val="chineseCounting"/>
      <w:isLgl w:val="false"/>
      <w:suff w:val="space"/>
      <w:lvlText w:val="第%1条"/>
      <w:lvlJc w:val="left"/>
      <w:pPr/>
      <w:rPr>
        <w:rFonts w:hint="default"/>
        <w:u w:val="none"/>
      </w:rPr>
    </w:lvl>
    <w:lvl w:ilvl="1">
      <w:start w:val="1"/>
      <w:numFmt w:val="bullet"/>
      <w:isLgl w:val="false"/>
      <w:suff w:val="tab"/>
      <w:lvlText w:val="o"/>
      <w:lvlJc w:val="left"/>
      <w:pPr>
        <w:ind w:left="1440" w:hanging="360"/>
      </w:pPr>
      <w:rPr>
        <w:rFonts w:hint="default" w:ascii="Courier New" w:hAnsi="Courier New" w:cs="Courier New"/>
        <w:u w:val="none"/>
      </w:rPr>
    </w:lvl>
    <w:lvl w:ilvl="2">
      <w:start w:val="1"/>
      <w:numFmt w:val="bullet"/>
      <w:isLgl w:val="false"/>
      <w:suff w:val="tab"/>
      <w:lvlText w:val="§"/>
      <w:lvlJc w:val="left"/>
      <w:pPr>
        <w:ind w:left="2160" w:hanging="360"/>
      </w:pPr>
      <w:rPr>
        <w:rFonts w:hint="default" w:ascii="Wingdings" w:hAnsi="Wingdings" w:eastAsia="Wingdings" w:cs="Wingdings"/>
        <w:u w:val="none"/>
      </w:rPr>
    </w:lvl>
    <w:lvl w:ilvl="3">
      <w:start w:val="1"/>
      <w:numFmt w:val="bullet"/>
      <w:isLgl w:val="false"/>
      <w:suff w:val="tab"/>
      <w:lvlText w:val="·"/>
      <w:lvlJc w:val="left"/>
      <w:pPr>
        <w:ind w:left="2880" w:hanging="360"/>
      </w:pPr>
      <w:rPr>
        <w:rFonts w:hint="default" w:ascii="Symbol" w:hAnsi="Symbol" w:eastAsia="Symbol" w:cs="Symbol"/>
        <w:u w:val="none"/>
      </w:rPr>
    </w:lvl>
    <w:lvl w:ilvl="4">
      <w:start w:val="1"/>
      <w:numFmt w:val="bullet"/>
      <w:isLgl w:val="false"/>
      <w:suff w:val="tab"/>
      <w:lvlText w:val="o"/>
      <w:lvlJc w:val="left"/>
      <w:pPr>
        <w:ind w:left="3600" w:hanging="360"/>
      </w:pPr>
      <w:rPr>
        <w:rFonts w:hint="default" w:ascii="Courier New" w:hAnsi="Courier New" w:cs="Courier New"/>
        <w:u w:val="none"/>
      </w:rPr>
    </w:lvl>
    <w:lvl w:ilvl="5">
      <w:start w:val="1"/>
      <w:numFmt w:val="bullet"/>
      <w:isLgl w:val="false"/>
      <w:suff w:val="tab"/>
      <w:lvlText w:val="§"/>
      <w:lvlJc w:val="left"/>
      <w:pPr>
        <w:ind w:left="4320" w:hanging="360"/>
      </w:pPr>
      <w:rPr>
        <w:rFonts w:hint="default" w:ascii="Wingdings" w:hAnsi="Wingdings" w:eastAsia="Wingdings" w:cs="Wingdings"/>
        <w:u w:val="none"/>
      </w:rPr>
    </w:lvl>
    <w:lvl w:ilvl="6">
      <w:start w:val="1"/>
      <w:numFmt w:val="bullet"/>
      <w:isLgl w:val="false"/>
      <w:suff w:val="tab"/>
      <w:lvlText w:val="·"/>
      <w:lvlJc w:val="left"/>
      <w:pPr>
        <w:ind w:left="5040" w:hanging="360"/>
      </w:pPr>
      <w:rPr>
        <w:rFonts w:hint="default" w:ascii="Symbol" w:hAnsi="Symbol" w:eastAsia="Symbol" w:cs="Symbol"/>
        <w:u w:val="none"/>
      </w:rPr>
    </w:lvl>
    <w:lvl w:ilvl="7">
      <w:start w:val="1"/>
      <w:numFmt w:val="bullet"/>
      <w:isLgl w:val="false"/>
      <w:suff w:val="tab"/>
      <w:lvlText w:val="o"/>
      <w:lvlJc w:val="left"/>
      <w:pPr>
        <w:ind w:left="5760" w:hanging="360"/>
      </w:pPr>
      <w:rPr>
        <w:rFonts w:hint="default" w:ascii="Courier New" w:hAnsi="Courier New" w:cs="Courier New"/>
        <w:u w:val="none"/>
      </w:rPr>
    </w:lvl>
    <w:lvl w:ilvl="8">
      <w:start w:val="1"/>
      <w:numFmt w:val="bullet"/>
      <w:isLgl w:val="false"/>
      <w:suff w:val="tab"/>
      <w:lvlText w:val="§"/>
      <w:lvlJc w:val="left"/>
      <w:pPr>
        <w:ind w:left="6480" w:hanging="360"/>
      </w:pPr>
      <w:rPr>
        <w:rFonts w:hint="default" w:ascii="Wingdings" w:hAnsi="Wingdings" w:eastAsia="Wingdings" w:cs="Wingdings"/>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4"/>
        <w14:ligatures w14:val="standardContextual"/>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00"/>
    <w:link w:val="791"/>
    <w:uiPriority w:val="9"/>
    <w:rPr>
      <w:rFonts w:ascii="Arial" w:hAnsi="Arial" w:eastAsia="Arial" w:cs="Arial"/>
      <w:sz w:val="40"/>
      <w:szCs w:val="40"/>
    </w:rPr>
  </w:style>
  <w:style w:type="character" w:styleId="15">
    <w:name w:val="Heading 2 Char"/>
    <w:basedOn w:val="800"/>
    <w:link w:val="792"/>
    <w:uiPriority w:val="9"/>
    <w:rPr>
      <w:rFonts w:ascii="Arial" w:hAnsi="Arial" w:eastAsia="Arial" w:cs="Arial"/>
      <w:sz w:val="34"/>
    </w:rPr>
  </w:style>
  <w:style w:type="character" w:styleId="17">
    <w:name w:val="Heading 3 Char"/>
    <w:basedOn w:val="800"/>
    <w:link w:val="793"/>
    <w:uiPriority w:val="9"/>
    <w:rPr>
      <w:rFonts w:ascii="Arial" w:hAnsi="Arial" w:eastAsia="Arial" w:cs="Arial"/>
      <w:sz w:val="30"/>
      <w:szCs w:val="30"/>
    </w:rPr>
  </w:style>
  <w:style w:type="character" w:styleId="19">
    <w:name w:val="Heading 4 Char"/>
    <w:basedOn w:val="800"/>
    <w:link w:val="794"/>
    <w:uiPriority w:val="9"/>
    <w:rPr>
      <w:rFonts w:ascii="Arial" w:hAnsi="Arial" w:eastAsia="Arial" w:cs="Arial"/>
      <w:b/>
      <w:bCs/>
      <w:sz w:val="26"/>
      <w:szCs w:val="26"/>
    </w:rPr>
  </w:style>
  <w:style w:type="character" w:styleId="21">
    <w:name w:val="Heading 5 Char"/>
    <w:basedOn w:val="800"/>
    <w:link w:val="795"/>
    <w:uiPriority w:val="9"/>
    <w:rPr>
      <w:rFonts w:ascii="Arial" w:hAnsi="Arial" w:eastAsia="Arial" w:cs="Arial"/>
      <w:b/>
      <w:bCs/>
      <w:sz w:val="24"/>
      <w:szCs w:val="24"/>
    </w:rPr>
  </w:style>
  <w:style w:type="character" w:styleId="23">
    <w:name w:val="Heading 6 Char"/>
    <w:basedOn w:val="800"/>
    <w:link w:val="796"/>
    <w:uiPriority w:val="9"/>
    <w:rPr>
      <w:rFonts w:ascii="Arial" w:hAnsi="Arial" w:eastAsia="Arial" w:cs="Arial"/>
      <w:b/>
      <w:bCs/>
      <w:sz w:val="22"/>
      <w:szCs w:val="22"/>
    </w:rPr>
  </w:style>
  <w:style w:type="character" w:styleId="25">
    <w:name w:val="Heading 7 Char"/>
    <w:basedOn w:val="800"/>
    <w:link w:val="797"/>
    <w:uiPriority w:val="9"/>
    <w:rPr>
      <w:rFonts w:ascii="Arial" w:hAnsi="Arial" w:eastAsia="Arial" w:cs="Arial"/>
      <w:b/>
      <w:bCs/>
      <w:i/>
      <w:iCs/>
      <w:sz w:val="22"/>
      <w:szCs w:val="22"/>
    </w:rPr>
  </w:style>
  <w:style w:type="character" w:styleId="27">
    <w:name w:val="Heading 8 Char"/>
    <w:basedOn w:val="800"/>
    <w:link w:val="798"/>
    <w:uiPriority w:val="9"/>
    <w:rPr>
      <w:rFonts w:ascii="Arial" w:hAnsi="Arial" w:eastAsia="Arial" w:cs="Arial"/>
      <w:i/>
      <w:iCs/>
      <w:sz w:val="22"/>
      <w:szCs w:val="22"/>
    </w:rPr>
  </w:style>
  <w:style w:type="character" w:styleId="29">
    <w:name w:val="Heading 9 Char"/>
    <w:basedOn w:val="800"/>
    <w:link w:val="799"/>
    <w:uiPriority w:val="9"/>
    <w:rPr>
      <w:rFonts w:ascii="Arial" w:hAnsi="Arial" w:eastAsia="Arial" w:cs="Arial"/>
      <w:i/>
      <w:iCs/>
      <w:sz w:val="21"/>
      <w:szCs w:val="21"/>
    </w:rPr>
  </w:style>
  <w:style w:type="character" w:styleId="34">
    <w:name w:val="Title Char"/>
    <w:basedOn w:val="800"/>
    <w:link w:val="812"/>
    <w:uiPriority w:val="10"/>
    <w:rPr>
      <w:sz w:val="48"/>
      <w:szCs w:val="48"/>
    </w:rPr>
  </w:style>
  <w:style w:type="character" w:styleId="36">
    <w:name w:val="Subtitle Char"/>
    <w:basedOn w:val="800"/>
    <w:link w:val="814"/>
    <w:uiPriority w:val="11"/>
    <w:rPr>
      <w:sz w:val="24"/>
      <w:szCs w:val="24"/>
    </w:rPr>
  </w:style>
  <w:style w:type="character" w:styleId="38">
    <w:name w:val="Quote Char"/>
    <w:link w:val="816"/>
    <w:uiPriority w:val="29"/>
    <w:rPr>
      <w:i/>
    </w:rPr>
  </w:style>
  <w:style w:type="character" w:styleId="40">
    <w:name w:val="Intense Quote Char"/>
    <w:link w:val="820"/>
    <w:uiPriority w:val="30"/>
    <w:rPr>
      <w:i/>
    </w:rPr>
  </w:style>
  <w:style w:type="character" w:styleId="42">
    <w:name w:val="Header Char"/>
    <w:basedOn w:val="800"/>
    <w:link w:val="823"/>
    <w:uiPriority w:val="99"/>
  </w:style>
  <w:style w:type="character" w:styleId="44">
    <w:name w:val="Footer Char"/>
    <w:basedOn w:val="800"/>
    <w:link w:val="825"/>
    <w:uiPriority w:val="99"/>
  </w:style>
  <w:style w:type="paragraph" w:styleId="45">
    <w:name w:val="Caption"/>
    <w:basedOn w:val="790"/>
    <w:next w:val="790"/>
    <w:uiPriority w:val="35"/>
    <w:semiHidden/>
    <w:unhideWhenUsed/>
    <w:qFormat/>
    <w:pPr>
      <w:spacing w:line="276" w:lineRule="auto"/>
    </w:pPr>
    <w:rPr>
      <w:b/>
      <w:bCs/>
      <w:color w:val="4f81bd" w:themeColor="accent1"/>
      <w:sz w:val="18"/>
      <w:szCs w:val="18"/>
    </w:rPr>
  </w:style>
  <w:style w:type="character" w:styleId="46">
    <w:name w:val="Caption Char"/>
    <w:basedOn w:val="45"/>
    <w:link w:val="825"/>
    <w:uiPriority w:val="99"/>
  </w:style>
  <w:style w:type="table" w:styleId="47">
    <w:name w:val="Table Grid"/>
    <w:basedOn w:val="80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84">
    <w:name w:val="Grid Table 5 Dark - Accent 2"/>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85">
    <w:name w:val="Grid Table 5 Dark - Accent 3"/>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86">
    <w:name w:val="Grid Table 5 Dark- Accent 4"/>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87">
    <w:name w:val="Grid Table 5 Dark - Accent 5"/>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88">
    <w:name w:val="Grid Table 5 Dark - Accent 6"/>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89">
    <w:name w:val="Grid Table 6 Colorful"/>
    <w:basedOn w:val="8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96">
    <w:name w:val="Grid Table 7 Colorful"/>
    <w:basedOn w:val="8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1b7ca4"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34f16"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0e3f14"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8"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5c1955"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2e611a"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01"/>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01"/>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01"/>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01"/>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01"/>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01"/>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119">
    <w:name w:val="List Table 3 - Accent 2"/>
    <w:basedOn w:val="8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120">
    <w:name w:val="List Table 3 - Accent 3"/>
    <w:basedOn w:val="8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121">
    <w:name w:val="List Table 3 - Accent 4"/>
    <w:basedOn w:val="8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122">
    <w:name w:val="List Table 3 - Accent 5"/>
    <w:basedOn w:val="8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123">
    <w:name w:val="List Table 3 - Accent 6"/>
    <w:basedOn w:val="8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124">
    <w:name w:val="List Table 4"/>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126">
    <w:name w:val="List Table 4 - Accent 2"/>
    <w:basedOn w:val="8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127">
    <w:name w:val="List Table 4 - Accent 3"/>
    <w:basedOn w:val="8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128">
    <w:name w:val="List Table 4 - Accent 4"/>
    <w:basedOn w:val="8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129">
    <w:name w:val="List Table 4 - Accent 5"/>
    <w:basedOn w:val="8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130">
    <w:name w:val="List Table 4 - Accent 6"/>
    <w:basedOn w:val="8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131">
    <w:name w:val="List Table 5 Dark"/>
    <w:basedOn w:val="8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140">
    <w:name w:val="List Table 6 Colorful - Accent 2"/>
    <w:basedOn w:val="8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141">
    <w:name w:val="List Table 6 Colorful - Accent 3"/>
    <w:basedOn w:val="8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142">
    <w:name w:val="List Table 6 Colorful - Accent 4"/>
    <w:basedOn w:val="8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143">
    <w:name w:val="List Table 6 Colorful - Accent 5"/>
    <w:basedOn w:val="8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144">
    <w:name w:val="List Table 6 Colorful - Accent 6"/>
    <w:basedOn w:val="8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145">
    <w:name w:val="List Table 7 Colorful"/>
    <w:basedOn w:val="8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0c394b"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0c394b" w:themeColor="accent1" w:themeShade="95"/>
        <w:sz w:val="22"/>
      </w:rPr>
    </w:tblStylePr>
  </w:style>
  <w:style w:type="table" w:styleId="147">
    <w:name w:val="List Table 7 Colorful - Accent 2"/>
    <w:basedOn w:val="8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34f16"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34f16" w:themeColor="accent2" w:themeTint="97" w:themeShade="95"/>
        <w:sz w:val="22"/>
      </w:rPr>
    </w:tblStylePr>
  </w:style>
  <w:style w:type="table" w:styleId="148">
    <w:name w:val="List Table 7 Colorful - Accent 3"/>
    <w:basedOn w:val="8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1f842b"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1f842b" w:themeColor="accent3" w:themeTint="98" w:themeShade="95"/>
        <w:sz w:val="22"/>
      </w:rPr>
    </w:tblStylePr>
  </w:style>
  <w:style w:type="table" w:styleId="149">
    <w:name w:val="List Table 7 Colorful - Accent 4"/>
    <w:basedOn w:val="8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8"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0d8ab8" w:themeColor="accent4" w:themeTint="9A" w:themeShade="95"/>
        <w:sz w:val="22"/>
      </w:rPr>
    </w:tblStylePr>
  </w:style>
  <w:style w:type="table" w:styleId="150">
    <w:name w:val="List Table 7 Colorful - Accent 5"/>
    <w:basedOn w:val="8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932888"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932888" w:themeColor="accent5" w:themeTint="9A" w:themeShade="95"/>
        <w:sz w:val="22"/>
      </w:rPr>
    </w:tblStylePr>
  </w:style>
  <w:style w:type="table" w:styleId="151">
    <w:name w:val="List Table 7 Colorful - Accent 6"/>
    <w:basedOn w:val="8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4b952a"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4b952a" w:themeColor="accent6" w:themeTint="98" w:themeShade="95"/>
        <w:sz w:val="22"/>
      </w:rPr>
    </w:tblStylePr>
  </w:style>
  <w:style w:type="table" w:styleId="152">
    <w:name w:val="Lined - Accent"/>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154">
    <w:name w:val="Lined - Accent 2"/>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155">
    <w:name w:val="Lined - Accent 3"/>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156">
    <w:name w:val="Lined - Accent 4"/>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157">
    <w:name w:val="Lined - Accent 5"/>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158">
    <w:name w:val="Lined - Accent 6"/>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159">
    <w:name w:val="Bordered &amp; Lined - Accent"/>
    <w:basedOn w:val="8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161">
    <w:name w:val="Bordered &amp; Lined - Accent 2"/>
    <w:basedOn w:val="8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162">
    <w:name w:val="Bordered &amp; Lined - Accent 3"/>
    <w:basedOn w:val="8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163">
    <w:name w:val="Bordered &amp; Lined - Accent 4"/>
    <w:basedOn w:val="8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164">
    <w:name w:val="Bordered &amp; Lined - Accent 5"/>
    <w:basedOn w:val="8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165">
    <w:name w:val="Bordered &amp; Lined - Accent 6"/>
    <w:basedOn w:val="8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166">
    <w:name w:val="Bordered"/>
    <w:basedOn w:val="8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00"/>
    <w:uiPriority w:val="99"/>
    <w:unhideWhenUsed/>
    <w:rPr>
      <w:vertAlign w:val="superscript"/>
    </w:rPr>
  </w:style>
  <w:style w:type="paragraph" w:styleId="177">
    <w:name w:val="endnote text"/>
    <w:basedOn w:val="79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00"/>
    <w:uiPriority w:val="99"/>
    <w:semiHidden/>
    <w:unhideWhenUsed/>
    <w:rPr>
      <w:vertAlign w:val="superscript"/>
    </w:rPr>
  </w:style>
  <w:style w:type="paragraph" w:styleId="180">
    <w:name w:val="toc 1"/>
    <w:basedOn w:val="790"/>
    <w:next w:val="790"/>
    <w:uiPriority w:val="39"/>
    <w:unhideWhenUsed/>
    <w:pPr>
      <w:ind w:left="0" w:right="0" w:firstLine="0"/>
      <w:spacing w:after="57"/>
    </w:pPr>
  </w:style>
  <w:style w:type="paragraph" w:styleId="181">
    <w:name w:val="toc 2"/>
    <w:basedOn w:val="790"/>
    <w:next w:val="790"/>
    <w:uiPriority w:val="39"/>
    <w:unhideWhenUsed/>
    <w:pPr>
      <w:ind w:left="283" w:right="0" w:firstLine="0"/>
      <w:spacing w:after="57"/>
    </w:pPr>
  </w:style>
  <w:style w:type="paragraph" w:styleId="182">
    <w:name w:val="toc 3"/>
    <w:basedOn w:val="790"/>
    <w:next w:val="790"/>
    <w:uiPriority w:val="39"/>
    <w:unhideWhenUsed/>
    <w:pPr>
      <w:ind w:left="567" w:right="0" w:firstLine="0"/>
      <w:spacing w:after="57"/>
    </w:pPr>
  </w:style>
  <w:style w:type="paragraph" w:styleId="183">
    <w:name w:val="toc 4"/>
    <w:basedOn w:val="790"/>
    <w:next w:val="790"/>
    <w:uiPriority w:val="39"/>
    <w:unhideWhenUsed/>
    <w:pPr>
      <w:ind w:left="850" w:right="0" w:firstLine="0"/>
      <w:spacing w:after="57"/>
    </w:pPr>
  </w:style>
  <w:style w:type="paragraph" w:styleId="184">
    <w:name w:val="toc 5"/>
    <w:basedOn w:val="790"/>
    <w:next w:val="790"/>
    <w:uiPriority w:val="39"/>
    <w:unhideWhenUsed/>
    <w:pPr>
      <w:ind w:left="1134" w:right="0" w:firstLine="0"/>
      <w:spacing w:after="57"/>
    </w:pPr>
  </w:style>
  <w:style w:type="paragraph" w:styleId="185">
    <w:name w:val="toc 6"/>
    <w:basedOn w:val="790"/>
    <w:next w:val="790"/>
    <w:uiPriority w:val="39"/>
    <w:unhideWhenUsed/>
    <w:pPr>
      <w:ind w:left="1417" w:right="0" w:firstLine="0"/>
      <w:spacing w:after="57"/>
    </w:pPr>
  </w:style>
  <w:style w:type="paragraph" w:styleId="186">
    <w:name w:val="toc 7"/>
    <w:basedOn w:val="790"/>
    <w:next w:val="790"/>
    <w:uiPriority w:val="39"/>
    <w:unhideWhenUsed/>
    <w:pPr>
      <w:ind w:left="1701" w:right="0" w:firstLine="0"/>
      <w:spacing w:after="57"/>
    </w:pPr>
  </w:style>
  <w:style w:type="paragraph" w:styleId="187">
    <w:name w:val="toc 8"/>
    <w:basedOn w:val="790"/>
    <w:next w:val="790"/>
    <w:uiPriority w:val="39"/>
    <w:unhideWhenUsed/>
    <w:pPr>
      <w:ind w:left="1984" w:right="0" w:firstLine="0"/>
      <w:spacing w:after="57"/>
    </w:pPr>
  </w:style>
  <w:style w:type="paragraph" w:styleId="188">
    <w:name w:val="toc 9"/>
    <w:basedOn w:val="790"/>
    <w:next w:val="79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0"/>
    <w:next w:val="790"/>
    <w:uiPriority w:val="99"/>
    <w:unhideWhenUsed/>
    <w:pPr>
      <w:spacing w:after="0" w:afterAutospacing="0"/>
    </w:pPr>
  </w:style>
  <w:style w:type="paragraph" w:styleId="790" w:default="1">
    <w:name w:val="Normal"/>
    <w:qFormat/>
    <w:pPr>
      <w:jc w:val="both"/>
      <w:spacing w:after="0" w:line="240" w:lineRule="auto"/>
      <w:widowControl w:val="off"/>
    </w:pPr>
    <w:rPr>
      <w:rFonts w:ascii="Times New Roman" w:hAnsi="Times New Roman" w:eastAsia="宋体" w:cs="Times New Roman"/>
      <w:sz w:val="21"/>
      <w:szCs w:val="21"/>
      <w14:ligatures w14:val="none"/>
    </w:rPr>
  </w:style>
  <w:style w:type="paragraph" w:styleId="791">
    <w:name w:val="Heading 1"/>
    <w:basedOn w:val="790"/>
    <w:next w:val="790"/>
    <w:link w:val="803"/>
    <w:qFormat/>
    <w:pPr>
      <w:keepLines/>
      <w:keepNext/>
      <w:spacing w:before="480" w:after="80"/>
      <w:outlineLvl w:val="0"/>
    </w:pPr>
    <w:rPr>
      <w:rFonts w:asciiTheme="majorHAnsi" w:hAnsiTheme="majorHAnsi" w:eastAsiaTheme="majorEastAsia" w:cstheme="majorBidi"/>
      <w:color w:val="0f4761" w:themeColor="accent1" w:themeShade="BF"/>
      <w:sz w:val="48"/>
      <w:szCs w:val="48"/>
    </w:rPr>
  </w:style>
  <w:style w:type="paragraph" w:styleId="792">
    <w:name w:val="Heading 2"/>
    <w:basedOn w:val="790"/>
    <w:next w:val="790"/>
    <w:link w:val="804"/>
    <w:unhideWhenUsed/>
    <w:qFormat/>
    <w:pPr>
      <w:keepLines/>
      <w:keepNext/>
      <w:spacing w:before="160" w:after="80"/>
      <w:outlineLvl w:val="1"/>
    </w:pPr>
    <w:rPr>
      <w:rFonts w:asciiTheme="majorHAnsi" w:hAnsiTheme="majorHAnsi" w:eastAsiaTheme="majorEastAsia" w:cstheme="majorBidi"/>
      <w:color w:val="0f4761" w:themeColor="accent1" w:themeShade="BF"/>
      <w:sz w:val="40"/>
      <w:szCs w:val="40"/>
    </w:rPr>
  </w:style>
  <w:style w:type="paragraph" w:styleId="793">
    <w:name w:val="Heading 3"/>
    <w:basedOn w:val="790"/>
    <w:next w:val="790"/>
    <w:link w:val="805"/>
    <w:uiPriority w:val="9"/>
    <w:semiHidden/>
    <w:unhideWhenUsed/>
    <w:qFormat/>
    <w:pPr>
      <w:keepLines/>
      <w:keepNext/>
      <w:spacing w:before="160" w:after="80"/>
      <w:outlineLvl w:val="2"/>
    </w:pPr>
    <w:rPr>
      <w:rFonts w:asciiTheme="majorHAnsi" w:hAnsiTheme="majorHAnsi" w:eastAsiaTheme="majorEastAsia" w:cstheme="majorBidi"/>
      <w:color w:val="0f4761" w:themeColor="accent1" w:themeShade="BF"/>
      <w:sz w:val="32"/>
      <w:szCs w:val="32"/>
    </w:rPr>
  </w:style>
  <w:style w:type="paragraph" w:styleId="794">
    <w:name w:val="Heading 4"/>
    <w:basedOn w:val="790"/>
    <w:next w:val="790"/>
    <w:link w:val="806"/>
    <w:unhideWhenUsed/>
    <w:qFormat/>
    <w:pPr>
      <w:keepLines/>
      <w:keepNext/>
      <w:spacing w:before="80" w:after="40"/>
      <w:outlineLvl w:val="3"/>
    </w:pPr>
    <w:rPr>
      <w:rFonts w:cstheme="majorBidi"/>
      <w:color w:val="0f4761" w:themeColor="accent1" w:themeShade="BF"/>
      <w:sz w:val="28"/>
      <w:szCs w:val="28"/>
    </w:rPr>
  </w:style>
  <w:style w:type="paragraph" w:styleId="795">
    <w:name w:val="Heading 5"/>
    <w:basedOn w:val="790"/>
    <w:next w:val="790"/>
    <w:link w:val="807"/>
    <w:uiPriority w:val="9"/>
    <w:semiHidden/>
    <w:unhideWhenUsed/>
    <w:qFormat/>
    <w:pPr>
      <w:keepLines/>
      <w:keepNext/>
      <w:spacing w:before="80" w:after="40"/>
      <w:outlineLvl w:val="4"/>
    </w:pPr>
    <w:rPr>
      <w:rFonts w:cstheme="majorBidi"/>
      <w:color w:val="0f4761" w:themeColor="accent1" w:themeShade="BF"/>
      <w:sz w:val="24"/>
    </w:rPr>
  </w:style>
  <w:style w:type="paragraph" w:styleId="796">
    <w:name w:val="Heading 6"/>
    <w:basedOn w:val="790"/>
    <w:next w:val="790"/>
    <w:link w:val="808"/>
    <w:uiPriority w:val="9"/>
    <w:semiHidden/>
    <w:unhideWhenUsed/>
    <w:qFormat/>
    <w:pPr>
      <w:keepLines/>
      <w:keepNext/>
      <w:spacing w:before="40"/>
      <w:outlineLvl w:val="5"/>
    </w:pPr>
    <w:rPr>
      <w:rFonts w:cstheme="majorBidi"/>
      <w:b/>
      <w:bCs/>
      <w:color w:val="0f4761" w:themeColor="accent1" w:themeShade="BF"/>
    </w:rPr>
  </w:style>
  <w:style w:type="paragraph" w:styleId="797">
    <w:name w:val="Heading 7"/>
    <w:basedOn w:val="790"/>
    <w:next w:val="790"/>
    <w:link w:val="809"/>
    <w:uiPriority w:val="9"/>
    <w:semiHidden/>
    <w:unhideWhenUsed/>
    <w:qFormat/>
    <w:pPr>
      <w:keepLines/>
      <w:keepNext/>
      <w:spacing w:before="40"/>
      <w:outlineLvl w:val="6"/>
    </w:pPr>
    <w:rPr>
      <w:rFonts w:cstheme="majorBidi"/>
      <w:b/>
      <w:bCs/>
      <w:color w:val="595959" w:themeColor="text1" w:themeTint="A6"/>
    </w:rPr>
  </w:style>
  <w:style w:type="paragraph" w:styleId="798">
    <w:name w:val="Heading 8"/>
    <w:basedOn w:val="790"/>
    <w:next w:val="790"/>
    <w:link w:val="810"/>
    <w:uiPriority w:val="9"/>
    <w:semiHidden/>
    <w:unhideWhenUsed/>
    <w:qFormat/>
    <w:pPr>
      <w:keepLines/>
      <w:keepNext/>
      <w:outlineLvl w:val="7"/>
    </w:pPr>
    <w:rPr>
      <w:rFonts w:cstheme="majorBidi"/>
      <w:color w:val="595959" w:themeColor="text1" w:themeTint="A6"/>
    </w:rPr>
  </w:style>
  <w:style w:type="paragraph" w:styleId="799">
    <w:name w:val="Heading 9"/>
    <w:basedOn w:val="790"/>
    <w:next w:val="790"/>
    <w:link w:val="811"/>
    <w:uiPriority w:val="9"/>
    <w:semiHidden/>
    <w:unhideWhenUsed/>
    <w:qFormat/>
    <w:pPr>
      <w:keepLines/>
      <w:keepNext/>
      <w:outlineLvl w:val="8"/>
    </w:pPr>
    <w:rPr>
      <w:rFonts w:eastAsiaTheme="majorEastAsia" w:cstheme="majorBidi"/>
      <w:color w:val="595959" w:themeColor="text1" w:themeTint="A6"/>
    </w:rPr>
  </w:style>
  <w:style w:type="character" w:styleId="800" w:default="1">
    <w:name w:val="Default Paragraph Font"/>
    <w:uiPriority w:val="1"/>
    <w:semiHidden/>
    <w:unhideWhenUsed/>
  </w:style>
  <w:style w:type="table" w:styleId="801" w:default="1">
    <w:name w:val="Normal Table"/>
    <w:uiPriority w:val="99"/>
    <w:semiHidden/>
    <w:unhideWhenUsed/>
    <w:tblPr>
      <w:tblInd w:w="0" w:type="dxa"/>
      <w:tblCellMar>
        <w:left w:w="108" w:type="dxa"/>
        <w:top w:w="0" w:type="dxa"/>
        <w:right w:w="108" w:type="dxa"/>
        <w:bottom w:w="0" w:type="dxa"/>
      </w:tblCellMar>
    </w:tblPr>
  </w:style>
  <w:style w:type="numbering" w:styleId="802" w:default="1">
    <w:name w:val="No List"/>
    <w:uiPriority w:val="99"/>
    <w:semiHidden/>
    <w:unhideWhenUsed/>
  </w:style>
  <w:style w:type="character" w:styleId="803" w:customStyle="1">
    <w:name w:val="标题 1 字符"/>
    <w:basedOn w:val="800"/>
    <w:link w:val="791"/>
    <w:uiPriority w:val="9"/>
    <w:rPr>
      <w:rFonts w:asciiTheme="majorHAnsi" w:hAnsiTheme="majorHAnsi" w:eastAsiaTheme="majorEastAsia" w:cstheme="majorBidi"/>
      <w:color w:val="0f4761" w:themeColor="accent1" w:themeShade="BF"/>
      <w:sz w:val="48"/>
      <w:szCs w:val="48"/>
    </w:rPr>
  </w:style>
  <w:style w:type="character" w:styleId="804" w:customStyle="1">
    <w:name w:val="标题 2 字符"/>
    <w:basedOn w:val="800"/>
    <w:link w:val="792"/>
    <w:uiPriority w:val="9"/>
    <w:semiHidden/>
    <w:rPr>
      <w:rFonts w:asciiTheme="majorHAnsi" w:hAnsiTheme="majorHAnsi" w:eastAsiaTheme="majorEastAsia" w:cstheme="majorBidi"/>
      <w:color w:val="0f4761" w:themeColor="accent1" w:themeShade="BF"/>
      <w:sz w:val="40"/>
      <w:szCs w:val="40"/>
    </w:rPr>
  </w:style>
  <w:style w:type="character" w:styleId="805" w:customStyle="1">
    <w:name w:val="标题 3 字符"/>
    <w:basedOn w:val="800"/>
    <w:link w:val="793"/>
    <w:uiPriority w:val="9"/>
    <w:semiHidden/>
    <w:rPr>
      <w:rFonts w:asciiTheme="majorHAnsi" w:hAnsiTheme="majorHAnsi" w:eastAsiaTheme="majorEastAsia" w:cstheme="majorBidi"/>
      <w:color w:val="0f4761" w:themeColor="accent1" w:themeShade="BF"/>
      <w:sz w:val="32"/>
      <w:szCs w:val="32"/>
    </w:rPr>
  </w:style>
  <w:style w:type="character" w:styleId="806" w:customStyle="1">
    <w:name w:val="标题 4 字符"/>
    <w:basedOn w:val="800"/>
    <w:link w:val="794"/>
    <w:uiPriority w:val="9"/>
    <w:semiHidden/>
    <w:rPr>
      <w:rFonts w:cstheme="majorBidi"/>
      <w:color w:val="0f4761" w:themeColor="accent1" w:themeShade="BF"/>
      <w:sz w:val="28"/>
      <w:szCs w:val="28"/>
    </w:rPr>
  </w:style>
  <w:style w:type="character" w:styleId="807" w:customStyle="1">
    <w:name w:val="标题 5 字符"/>
    <w:basedOn w:val="800"/>
    <w:link w:val="795"/>
    <w:uiPriority w:val="9"/>
    <w:semiHidden/>
    <w:rPr>
      <w:rFonts w:cstheme="majorBidi"/>
      <w:color w:val="0f4761" w:themeColor="accent1" w:themeShade="BF"/>
      <w:sz w:val="24"/>
    </w:rPr>
  </w:style>
  <w:style w:type="character" w:styleId="808" w:customStyle="1">
    <w:name w:val="标题 6 字符"/>
    <w:basedOn w:val="800"/>
    <w:link w:val="796"/>
    <w:uiPriority w:val="9"/>
    <w:semiHidden/>
    <w:rPr>
      <w:rFonts w:cstheme="majorBidi"/>
      <w:b/>
      <w:bCs/>
      <w:color w:val="0f4761" w:themeColor="accent1" w:themeShade="BF"/>
    </w:rPr>
  </w:style>
  <w:style w:type="character" w:styleId="809" w:customStyle="1">
    <w:name w:val="标题 7 字符"/>
    <w:basedOn w:val="800"/>
    <w:link w:val="797"/>
    <w:uiPriority w:val="9"/>
    <w:semiHidden/>
    <w:rPr>
      <w:rFonts w:cstheme="majorBidi"/>
      <w:b/>
      <w:bCs/>
      <w:color w:val="595959" w:themeColor="text1" w:themeTint="A6"/>
    </w:rPr>
  </w:style>
  <w:style w:type="character" w:styleId="810" w:customStyle="1">
    <w:name w:val="标题 8 字符"/>
    <w:basedOn w:val="800"/>
    <w:link w:val="798"/>
    <w:uiPriority w:val="9"/>
    <w:semiHidden/>
    <w:rPr>
      <w:rFonts w:cstheme="majorBidi"/>
      <w:color w:val="595959" w:themeColor="text1" w:themeTint="A6"/>
    </w:rPr>
  </w:style>
  <w:style w:type="character" w:styleId="811" w:customStyle="1">
    <w:name w:val="标题 9 字符"/>
    <w:basedOn w:val="800"/>
    <w:link w:val="799"/>
    <w:uiPriority w:val="9"/>
    <w:semiHidden/>
    <w:rPr>
      <w:rFonts w:eastAsiaTheme="majorEastAsia" w:cstheme="majorBidi"/>
      <w:color w:val="595959" w:themeColor="text1" w:themeTint="A6"/>
    </w:rPr>
  </w:style>
  <w:style w:type="paragraph" w:styleId="812">
    <w:name w:val="Title"/>
    <w:basedOn w:val="790"/>
    <w:next w:val="790"/>
    <w:link w:val="813"/>
    <w:uiPriority w:val="10"/>
    <w:qFormat/>
    <w:pPr>
      <w:contextualSpacing/>
      <w:jc w:val="center"/>
      <w:spacing w:after="80"/>
    </w:pPr>
    <w:rPr>
      <w:rFonts w:asciiTheme="majorHAnsi" w:hAnsiTheme="majorHAnsi" w:eastAsiaTheme="majorEastAsia" w:cstheme="majorBidi"/>
      <w:spacing w:val="-10"/>
      <w:sz w:val="56"/>
      <w:szCs w:val="56"/>
    </w:rPr>
  </w:style>
  <w:style w:type="character" w:styleId="813" w:customStyle="1">
    <w:name w:val="标题 字符"/>
    <w:basedOn w:val="800"/>
    <w:link w:val="812"/>
    <w:uiPriority w:val="10"/>
    <w:rPr>
      <w:rFonts w:asciiTheme="majorHAnsi" w:hAnsiTheme="majorHAnsi" w:eastAsiaTheme="majorEastAsia" w:cstheme="majorBidi"/>
      <w:spacing w:val="-10"/>
      <w:sz w:val="56"/>
      <w:szCs w:val="56"/>
    </w:rPr>
  </w:style>
  <w:style w:type="paragraph" w:styleId="814">
    <w:name w:val="Subtitle"/>
    <w:basedOn w:val="790"/>
    <w:next w:val="790"/>
    <w:link w:val="815"/>
    <w:uiPriority w:val="11"/>
    <w:qFormat/>
    <w:pPr>
      <w:numPr>
        <w:ilvl w:val="1"/>
      </w:numPr>
      <w:jc w:val="center"/>
    </w:pPr>
    <w:rPr>
      <w:rFonts w:asciiTheme="majorHAnsi" w:hAnsiTheme="majorHAnsi" w:eastAsiaTheme="majorEastAsia" w:cstheme="majorBidi"/>
      <w:color w:val="595959" w:themeColor="text1" w:themeTint="A6"/>
      <w:spacing w:val="15"/>
      <w:sz w:val="28"/>
      <w:szCs w:val="28"/>
    </w:rPr>
  </w:style>
  <w:style w:type="character" w:styleId="815" w:customStyle="1">
    <w:name w:val="副标题 字符"/>
    <w:basedOn w:val="800"/>
    <w:link w:val="814"/>
    <w:uiPriority w:val="11"/>
    <w:rPr>
      <w:rFonts w:asciiTheme="majorHAnsi" w:hAnsiTheme="majorHAnsi" w:eastAsiaTheme="majorEastAsia" w:cstheme="majorBidi"/>
      <w:color w:val="595959" w:themeColor="text1" w:themeTint="A6"/>
      <w:spacing w:val="15"/>
      <w:sz w:val="28"/>
      <w:szCs w:val="28"/>
    </w:rPr>
  </w:style>
  <w:style w:type="paragraph" w:styleId="816">
    <w:name w:val="Quote"/>
    <w:basedOn w:val="790"/>
    <w:next w:val="790"/>
    <w:link w:val="817"/>
    <w:uiPriority w:val="29"/>
    <w:qFormat/>
    <w:pPr>
      <w:jc w:val="center"/>
      <w:spacing w:before="160"/>
    </w:pPr>
    <w:rPr>
      <w:i/>
      <w:iCs/>
      <w:color w:val="404040" w:themeColor="text1" w:themeTint="BF"/>
    </w:rPr>
  </w:style>
  <w:style w:type="character" w:styleId="817" w:customStyle="1">
    <w:name w:val="引用 字符"/>
    <w:basedOn w:val="800"/>
    <w:link w:val="816"/>
    <w:uiPriority w:val="29"/>
    <w:rPr>
      <w:i/>
      <w:iCs/>
      <w:color w:val="404040" w:themeColor="text1" w:themeTint="BF"/>
    </w:rPr>
  </w:style>
  <w:style w:type="paragraph" w:styleId="818">
    <w:name w:val="List Paragraph"/>
    <w:basedOn w:val="790"/>
    <w:uiPriority w:val="34"/>
    <w:qFormat/>
    <w:pPr>
      <w:contextualSpacing/>
      <w:ind w:left="720"/>
    </w:pPr>
  </w:style>
  <w:style w:type="character" w:styleId="819">
    <w:name w:val="Intense Emphasis"/>
    <w:basedOn w:val="800"/>
    <w:uiPriority w:val="21"/>
    <w:qFormat/>
    <w:rPr>
      <w:i/>
      <w:iCs/>
      <w:color w:val="0f4761" w:themeColor="accent1" w:themeShade="BF"/>
    </w:rPr>
  </w:style>
  <w:style w:type="paragraph" w:styleId="820">
    <w:name w:val="Intense Quote"/>
    <w:basedOn w:val="790"/>
    <w:next w:val="790"/>
    <w:link w:val="821"/>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0f4761" w:themeColor="accent1" w:themeShade="BF"/>
    </w:rPr>
  </w:style>
  <w:style w:type="character" w:styleId="821" w:customStyle="1">
    <w:name w:val="明显引用 字符"/>
    <w:basedOn w:val="800"/>
    <w:link w:val="820"/>
    <w:uiPriority w:val="30"/>
    <w:rPr>
      <w:i/>
      <w:iCs/>
      <w:color w:val="0f4761" w:themeColor="accent1" w:themeShade="BF"/>
    </w:rPr>
  </w:style>
  <w:style w:type="character" w:styleId="822">
    <w:name w:val="Intense Reference"/>
    <w:basedOn w:val="800"/>
    <w:uiPriority w:val="32"/>
    <w:qFormat/>
    <w:rPr>
      <w:b/>
      <w:bCs/>
      <w:smallCaps/>
      <w:color w:val="0f4761" w:themeColor="accent1" w:themeShade="BF"/>
      <w:spacing w:val="5"/>
    </w:rPr>
  </w:style>
  <w:style w:type="paragraph" w:styleId="823">
    <w:name w:val="Header"/>
    <w:basedOn w:val="790"/>
    <w:link w:val="824"/>
    <w:unhideWhenUsed/>
    <w:qFormat/>
    <w:pPr>
      <w:jc w:val="center"/>
      <w:tabs>
        <w:tab w:val="center" w:pos="4153" w:leader="none"/>
        <w:tab w:val="right" w:pos="8306" w:leader="none"/>
      </w:tabs>
    </w:pPr>
    <w:rPr>
      <w:sz w:val="18"/>
      <w:szCs w:val="18"/>
    </w:rPr>
  </w:style>
  <w:style w:type="character" w:styleId="824" w:customStyle="1">
    <w:name w:val="页眉 字符"/>
    <w:basedOn w:val="800"/>
    <w:link w:val="823"/>
    <w:uiPriority w:val="99"/>
    <w:rPr>
      <w:sz w:val="18"/>
      <w:szCs w:val="18"/>
    </w:rPr>
  </w:style>
  <w:style w:type="paragraph" w:styleId="825">
    <w:name w:val="Footer"/>
    <w:basedOn w:val="790"/>
    <w:link w:val="826"/>
    <w:uiPriority w:val="99"/>
    <w:unhideWhenUsed/>
    <w:qFormat/>
    <w:pPr>
      <w:tabs>
        <w:tab w:val="center" w:pos="4153" w:leader="none"/>
        <w:tab w:val="right" w:pos="8306" w:leader="none"/>
      </w:tabs>
    </w:pPr>
    <w:rPr>
      <w:sz w:val="18"/>
      <w:szCs w:val="18"/>
    </w:rPr>
  </w:style>
  <w:style w:type="character" w:styleId="826" w:customStyle="1">
    <w:name w:val="页脚 字符"/>
    <w:basedOn w:val="800"/>
    <w:link w:val="825"/>
    <w:uiPriority w:val="99"/>
    <w:rPr>
      <w:sz w:val="18"/>
      <w:szCs w:val="18"/>
    </w:rPr>
  </w:style>
  <w:style w:type="paragraph" w:styleId="827">
    <w:name w:val="Normal Indent"/>
    <w:basedOn w:val="790"/>
    <w:qFormat/>
    <w:pPr>
      <w:ind w:firstLine="420"/>
    </w:pPr>
  </w:style>
  <w:style w:type="paragraph" w:styleId="828">
    <w:name w:val="Body Text"/>
    <w:basedOn w:val="790"/>
    <w:link w:val="829"/>
    <w:qFormat/>
    <w:rPr>
      <w:rFonts w:ascii="楷体_GB2312" w:hAnsi="Arial" w:eastAsia="楷体_GB2312"/>
      <w:sz w:val="28"/>
      <w:szCs w:val="28"/>
    </w:rPr>
  </w:style>
  <w:style w:type="character" w:styleId="829" w:customStyle="1">
    <w:name w:val="正文文本 字符"/>
    <w:basedOn w:val="800"/>
    <w:link w:val="828"/>
    <w:rPr>
      <w:rFonts w:ascii="楷体_GB2312" w:hAnsi="Arial" w:eastAsia="楷体_GB2312" w:cs="Times New Roman"/>
      <w:sz w:val="28"/>
      <w:szCs w:val="28"/>
      <w14:ligatures w14:val="none"/>
    </w:rPr>
  </w:style>
  <w:style w:type="paragraph" w:styleId="830">
    <w:name w:val="Plain Text"/>
    <w:basedOn w:val="790"/>
    <w:link w:val="831"/>
    <w:qFormat/>
    <w:rPr>
      <w:rFonts w:ascii="宋体" w:hAnsi="Courier New" w:cs="Courier New"/>
    </w:rPr>
  </w:style>
  <w:style w:type="character" w:styleId="831" w:customStyle="1">
    <w:name w:val="纯文本 字符"/>
    <w:basedOn w:val="800"/>
    <w:link w:val="830"/>
    <w:rPr>
      <w:rFonts w:ascii="宋体" w:hAnsi="Courier New" w:eastAsia="宋体" w:cs="Courier New"/>
      <w:sz w:val="21"/>
      <w:szCs w:val="21"/>
      <w14:ligatures w14:val="none"/>
    </w:rPr>
  </w:style>
  <w:style w:type="paragraph" w:styleId="832">
    <w:name w:val="Normal (Web)"/>
    <w:basedOn w:val="790"/>
    <w:uiPriority w:val="99"/>
    <w:qFormat/>
    <w:pPr>
      <w:jc w:val="left"/>
      <w:spacing w:before="100" w:beforeAutospacing="1" w:after="100" w:afterAutospacing="1"/>
      <w:widowControl/>
    </w:pPr>
    <w:rPr>
      <w:rFonts w:ascii="宋体" w:hAnsi="宋体" w:cs="宋体"/>
      <w:sz w:val="24"/>
      <w:szCs w:val="24"/>
    </w:rPr>
  </w:style>
  <w:style w:type="character" w:styleId="833">
    <w:name w:val="page number"/>
    <w:qFormat/>
  </w:style>
  <w:style w:type="character" w:styleId="834">
    <w:name w:val="Emphasis"/>
    <w:basedOn w:val="800"/>
    <w:qFormat/>
    <w:rPr>
      <w:i/>
    </w:rPr>
  </w:style>
  <w:style w:type="paragraph" w:styleId="835" w:customStyle="1">
    <w:name w:val="普通正文"/>
    <w:basedOn w:val="790"/>
    <w:qFormat/>
    <w:pPr>
      <w:ind w:firstLine="480"/>
      <w:jc w:val="left"/>
      <w:spacing w:before="120" w:after="120" w:line="360" w:lineRule="auto"/>
    </w:pPr>
    <w:rPr>
      <w:rFonts w:ascii="Arial" w:hAnsi="Arial"/>
      <w:sz w:val="24"/>
      <w:szCs w:val="24"/>
    </w:rPr>
  </w:style>
  <w:style w:type="paragraph" w:styleId="836">
    <w:name w:val="No Spacing"/>
    <w:uiPriority w:val="99"/>
    <w:qFormat/>
    <w:pPr>
      <w:jc w:val="both"/>
      <w:spacing w:after="0" w:line="240" w:lineRule="auto"/>
      <w:widowControl w:val="off"/>
    </w:pPr>
    <w:rPr>
      <w:rFonts w:ascii="Times New Roman" w:hAnsi="Times New Roman" w:eastAsia="宋体" w:cs="Times New Roman"/>
      <w:sz w:val="21"/>
      <w:szCs w:val="21"/>
      <w14:ligatures w14:val="none"/>
    </w:rPr>
  </w:style>
  <w:style w:type="paragraph" w:styleId="837" w:customStyle="1">
    <w:name w:val="正文文本1"/>
    <w:basedOn w:val="790"/>
    <w:unhideWhenUsed/>
    <w:qFormat/>
    <w:rPr>
      <w:rFonts w:ascii="楷体_GB2312" w:hAnsi="Arial" w:eastAsia="楷体_GB2312"/>
      <w:sz w:val="28"/>
      <w:szCs w:val="28"/>
    </w:rPr>
  </w:style>
  <w:style w:type="paragraph" w:styleId="838" w:customStyle="1">
    <w:name w:val="普通(网站)1"/>
    <w:basedOn w:val="790"/>
    <w:uiPriority w:val="99"/>
    <w:unhideWhenUsed/>
    <w:qFormat/>
    <w:pPr>
      <w:jc w:val="left"/>
      <w:spacing w:before="100" w:beforeAutospacing="1" w:after="100" w:afterAutospacing="1"/>
      <w:widowControl/>
    </w:pPr>
    <w:rPr>
      <w:rFonts w:hint="eastAsia" w:ascii="宋体" w:hAnsi="宋体" w:cs="宋体"/>
      <w:sz w:val="24"/>
      <w:szCs w:val="24"/>
    </w:rPr>
  </w:style>
  <w:style w:type="paragraph" w:styleId="839" w:customStyle="1">
    <w:name w:val="纯文本1"/>
    <w:basedOn w:val="790"/>
    <w:unhideWhenUsed/>
    <w:qFormat/>
    <w:rPr>
      <w:rFonts w:hint="eastAsia" w:ascii="宋体" w:hAnsi="Courier New" w:cs="Courier New"/>
    </w:rPr>
  </w:style>
  <w:style w:type="paragraph" w:styleId="840" w:customStyle="1">
    <w:name w:val="批注文字1"/>
    <w:basedOn w:val="790"/>
    <w:unhideWhenUsed/>
    <w:qFormat/>
    <w:pPr>
      <w:jc w:val="left"/>
    </w:pPr>
    <w:rPr>
      <w:szCs w:val="22"/>
    </w:rPr>
  </w:style>
  <w:style w:type="paragraph" w:styleId="841" w:customStyle="1">
    <w:name w:val="页脚1"/>
    <w:basedOn w:val="790"/>
    <w:uiPriority w:val="99"/>
    <w:unhideWhenUsed/>
    <w:qFormat/>
    <w:pPr>
      <w:jc w:val="left"/>
      <w:tabs>
        <w:tab w:val="center" w:pos="4153" w:leader="none"/>
        <w:tab w:val="right" w:pos="8306" w:leader="none"/>
      </w:tabs>
    </w:pPr>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苏俊</cp:lastModifiedBy>
  <cp:revision>3</cp:revision>
  <dcterms:created xsi:type="dcterms:W3CDTF">2026-07-03T02:33:00Z</dcterms:created>
  <dcterms:modified xsi:type="dcterms:W3CDTF">2026-07-03T02:41:02Z</dcterms:modified>
</cp:coreProperties>
</file>