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85"/>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606"/>
        <w:jc w:val="left"/>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sz w:val="32"/>
          <w:szCs w:val="24"/>
          <w:lang w:eastAsia="zh-CN"/>
        </w:rPr>
        <w:t xml:space="preserve">项目名</w:t>
      </w:r>
      <w:r>
        <w:rPr>
          <w:rFonts w:hint="eastAsia" w:ascii="Arial" w:hAnsi="Arial" w:eastAsia="宋体" w:cs="Times New Roman"/>
          <w:b/>
          <w:bCs/>
          <w:color w:val="000000"/>
          <w:sz w:val="32"/>
          <w:szCs w:val="24"/>
          <w:lang w:eastAsia="zh-CN"/>
        </w:rPr>
        <w:t xml:space="preserve">称：南京江北新区政务外网二平面建设项目</w:t>
      </w:r>
      <w:r/>
    </w:p>
    <w:p>
      <w:pPr>
        <w:ind w:firstLine="1606"/>
        <w:jc w:val="left"/>
        <w:spacing w:before="120" w:after="120" w:line="360" w:lineRule="auto"/>
        <w:rPr>
          <w:rFonts w:hint="default"/>
          <w:color w:val="000000"/>
          <w:lang w:val="en-US"/>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JSZC-320192-JZCG-C2026-0027</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85"/>
        <w:ind w:firstLine="0"/>
        <w:jc w:val="center"/>
        <w:rPr>
          <w:rFonts w:hint="eastAsia" w:ascii="Arial" w:hAnsi="Arial" w:eastAsia="宋体" w:cs="Times New Roman"/>
          <w:b/>
          <w:bCs/>
          <w:sz w:val="32"/>
          <w:lang w:eastAsia="zh-CN"/>
        </w:rPr>
      </w:pPr>
      <w:r>
        <w:rPr>
          <w:rFonts w:hint="eastAsia" w:cs="Times New Roman"/>
          <w:b/>
          <w:bCs/>
          <w:sz w:val="32"/>
          <w:lang w:eastAsia="zh-CN"/>
        </w:rPr>
        <w:t xml:space="preserve">南京市公共资源交易中心江北新区分中心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6</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20823272"/>
      <w:r/>
      <w:bookmarkStart w:id="1" w:name="_Toc479757206"/>
      <w:r/>
      <w:bookmarkStart w:id="2" w:name="_Toc523127445"/>
      <w:r/>
      <w:bookmarkStart w:id="3" w:name="_Toc513029200"/>
      <w:r/>
      <w:bookmarkStart w:id="4" w:name="_Toc120614210"/>
      <w:r/>
      <w:bookmarkStart w:id="5" w:name="_Toc16938516"/>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ascii="宋体" w:hAnsi="宋体" w:eastAsia="宋体" w:cs="宋体"/>
          <w:spacing w:val="2"/>
          <w:sz w:val="24"/>
          <w:szCs w:val="24"/>
          <w:u w:val="single"/>
          <w:lang w:eastAsia="zh-CN"/>
        </w:rPr>
        <w:t xml:space="preserve">南京江北新区城市数字治理中心</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u w:val="single"/>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宋体"/>
          <w:spacing w:val="2"/>
          <w:sz w:val="24"/>
          <w:szCs w:val="24"/>
          <w:u w:val="single"/>
          <w:lang w:eastAsia="zh-CN"/>
        </w:rPr>
        <w:t xml:space="preserve">南京江北新区政务外网二平面建设项目</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40" w:lineRule="auto"/>
        <w:widowControl w:val="off"/>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JSZC-320192-JZCG-C2026-00</w:t>
      </w:r>
      <w:r>
        <w:rPr>
          <w:rFonts w:hint="eastAsia" w:ascii="宋体" w:hAnsi="宋体" w:cs="Times New Roman"/>
          <w:color w:val="000000"/>
          <w:sz w:val="24"/>
          <w:szCs w:val="24"/>
          <w:lang w:val="en-US" w:eastAsia="zh-CN"/>
        </w:rPr>
        <w:t xml:space="preserve">27</w:t>
      </w:r>
      <w:r/>
    </w:p>
    <w:p>
      <w:pPr>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宋体"/>
          <w:spacing w:val="2"/>
          <w:sz w:val="24"/>
          <w:szCs w:val="24"/>
          <w:lang w:eastAsia="zh-CN"/>
        </w:rPr>
        <w:t xml:space="preserve">南京江北新区政务外网二平面建设项目</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310</w:t>
      </w:r>
      <w:r>
        <w:rPr>
          <w:rFonts w:hint="eastAsia" w:ascii="宋体" w:hAnsi="宋体" w:eastAsia="宋体" w:cs="宋体"/>
          <w:color w:val="000000"/>
          <w:sz w:val="24"/>
          <w:szCs w:val="24"/>
          <w:highlight w:val="none"/>
          <w:lang w:val="en-US" w:eastAsia="zh-CN"/>
        </w:rPr>
        <w:t xml:space="preserve">万元</w:t>
      </w:r>
      <w:r/>
    </w:p>
    <w:p>
      <w:pPr>
        <w:ind w:firstLine="480"/>
        <w:pageBreakBefore w:val="0"/>
        <w:spacing w:line="240" w:lineRule="auto"/>
        <w:widowControl w:val="off"/>
        <w:rPr>
          <w:rFonts w:hint="default" w:ascii="宋体" w:hAnsi="宋体" w:eastAsia="宋体" w:cs="宋体"/>
          <w:sz w:val="24"/>
          <w:szCs w:val="24"/>
          <w:highlight w:val="yellow"/>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lang w:val="en-US" w:eastAsia="zh-CN"/>
        </w:rPr>
        <w:t xml:space="preserve">310万元</w:t>
      </w:r>
      <w:r/>
    </w:p>
    <w:p>
      <w:pPr>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宋体"/>
          <w:spacing w:val="2"/>
          <w:sz w:val="24"/>
          <w:szCs w:val="24"/>
          <w:lang w:eastAsia="zh-CN"/>
        </w:rPr>
        <w:t xml:space="preserve">通过采购政务外网二平面服务，</w:t>
      </w:r>
      <w:r>
        <w:rPr>
          <w:rFonts w:hint="eastAsia" w:ascii="宋体" w:hAnsi="宋体" w:eastAsia="宋体" w:cs="宋体"/>
          <w:spacing w:val="2"/>
          <w:sz w:val="24"/>
          <w:szCs w:val="24"/>
          <w:lang w:val="en-US" w:eastAsia="zh-CN"/>
        </w:rPr>
        <w:t xml:space="preserve">推进</w:t>
      </w:r>
      <w:r>
        <w:rPr>
          <w:rFonts w:hint="eastAsia" w:ascii="宋体" w:hAnsi="宋体" w:eastAsia="宋体" w:cs="宋体"/>
          <w:spacing w:val="2"/>
          <w:sz w:val="24"/>
          <w:szCs w:val="24"/>
          <w:lang w:eastAsia="zh-CN"/>
        </w:rPr>
        <w:t xml:space="preserve">江北新区电子政务外网升级迭代，同步嵌入纵深防御安全机制，对政务外网基础设施及承载的各类业务系统实施全方位安全加固</w:t>
      </w:r>
      <w:r>
        <w:rPr>
          <w:rFonts w:hint="eastAsia" w:ascii="宋体" w:hAnsi="宋体" w:cs="宋体"/>
          <w:spacing w:val="2"/>
          <w:sz w:val="24"/>
          <w:szCs w:val="24"/>
          <w:lang w:eastAsia="zh-CN"/>
        </w:rPr>
        <w:t xml:space="preserve">。</w:t>
      </w:r>
      <w:r>
        <w:rPr>
          <w:rFonts w:hint="eastAsia" w:ascii="宋体" w:hAnsi="宋体" w:cs="宋体"/>
          <w:sz w:val="24"/>
          <w:szCs w:val="24"/>
        </w:rPr>
        <w:t xml:space="preserve">（详见本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p>
    <w:p>
      <w:pPr>
        <w:ind w:firstLine="480"/>
        <w:keepLines w:val="0"/>
        <w:keepNext w:val="0"/>
        <w:pageBreakBefore w:val="0"/>
        <w:spacing w:line="264" w:lineRule="auto"/>
        <w:widowControl w:val="off"/>
        <w:rPr>
          <w:rFonts w:hint="default"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ascii="宋体" w:hAnsi="宋体" w:eastAsia="宋体" w:cs="宋体"/>
          <w:spacing w:val="2"/>
          <w:sz w:val="24"/>
          <w:szCs w:val="24"/>
          <w:lang w:eastAsia="zh-CN"/>
        </w:rPr>
        <w:t xml:space="preserve">自合同签订之日起，供应商须于90天内满足采购人</w:t>
      </w:r>
      <w:r>
        <w:rPr>
          <w:rFonts w:hint="eastAsia" w:ascii="宋体" w:hAnsi="宋体" w:eastAsia="宋体" w:cs="宋体"/>
          <w:spacing w:val="2"/>
          <w:sz w:val="24"/>
          <w:szCs w:val="24"/>
          <w:lang w:eastAsia="zh-CN"/>
        </w:rPr>
        <w:t xml:space="preserve">本项目相关</w:t>
      </w:r>
      <w:r>
        <w:rPr>
          <w:rFonts w:ascii="宋体" w:hAnsi="宋体" w:eastAsia="宋体" w:cs="宋体"/>
          <w:spacing w:val="2"/>
          <w:sz w:val="24"/>
          <w:szCs w:val="24"/>
          <w:lang w:eastAsia="zh-CN"/>
        </w:rPr>
        <w:t xml:space="preserve">上线运行的要求，并满足采购人要求的安全防护条件；105天内完成云管理平台的上线运行。</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p>
    <w:p>
      <w:pPr>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p>
    <w:p>
      <w:pPr>
        <w:ind w:firstLine="480"/>
        <w:pageBreakBefore w:val="0"/>
        <w:spacing w:line="24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（二）本项目的特定资格要求</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无</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sz w:val="30"/>
          <w:szCs w:val="30"/>
        </w:rPr>
        <w:t xml:space="preserve">、开标时间和地点</w:t>
      </w:r>
      <w:r/>
    </w:p>
    <w:p>
      <w:pPr>
        <w:spacing w:line="240" w:lineRule="auto"/>
        <w:rPr>
          <w:rFonts w:hint="eastAsia" w:ascii="宋体" w:hAnsi="宋体" w:eastAsia="宋体"/>
          <w:b/>
          <w:bCs/>
          <w:color w:val="00000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bCs/>
          <w:color w:val="000000"/>
          <w:sz w:val="24"/>
          <w:szCs w:val="24"/>
          <w:u w:val="none"/>
          <w:lang w:val="en-US" w:eastAsia="zh-CN"/>
        </w:rPr>
        <w:t xml:space="preserve"> </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u w:val="none"/>
        </w:rPr>
        <w:t xml:space="preserve">年</w:t>
      </w:r>
      <w:r>
        <w:rPr>
          <w:rFonts w:hint="eastAsia" w:ascii="宋体" w:hAnsi="宋体" w:cs="宋体"/>
          <w:b/>
          <w:bCs/>
          <w:color w:val="000000"/>
          <w:sz w:val="24"/>
          <w:szCs w:val="24"/>
          <w:highlight w:val="none"/>
          <w:u w:val="none"/>
          <w:lang w:val="en-US" w:eastAsia="zh-CN"/>
        </w:rPr>
        <w:t xml:space="preserve">7</w:t>
      </w:r>
      <w:r>
        <w:rPr>
          <w:rFonts w:hint="eastAsia" w:ascii="宋体" w:hAnsi="宋体"/>
          <w:b/>
          <w:bCs/>
          <w:color w:val="000000"/>
          <w:sz w:val="24"/>
          <w:szCs w:val="24"/>
          <w:u w:val="none"/>
        </w:rPr>
        <w:t xml:space="preserve">月</w:t>
      </w:r>
      <w:r>
        <w:rPr>
          <w:rFonts w:hint="eastAsia" w:ascii="宋体" w:hAnsi="宋体"/>
          <w:b/>
          <w:bCs/>
          <w:color w:val="000000"/>
          <w:sz w:val="24"/>
          <w:szCs w:val="24"/>
          <w:u w:val="none"/>
          <w:lang w:val="en-US" w:eastAsia="zh-CN"/>
        </w:rPr>
        <w:t xml:space="preserve">8</w:t>
      </w:r>
      <w:r>
        <w:rPr>
          <w:rFonts w:hint="eastAsia" w:ascii="宋体" w:hAnsi="宋体"/>
          <w:b/>
          <w:bCs/>
          <w:color w:val="000000"/>
          <w:sz w:val="24"/>
          <w:szCs w:val="24"/>
          <w:u w:val="none"/>
        </w:rPr>
        <w:t xml:space="preserve">日</w:t>
      </w:r>
      <w:r>
        <w:rPr>
          <w:rFonts w:hint="eastAsia" w:ascii="宋体" w:hAnsi="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u w:val="none"/>
          <w:lang w:val="en-US" w:eastAsia="zh-CN"/>
        </w:rPr>
        <w:t xml:space="preserve">时</w:t>
      </w:r>
      <w:r>
        <w:rPr>
          <w:rFonts w:hint="eastAsia" w:cs="Times New Roman"/>
          <w:b/>
          <w:bCs/>
          <w:color w:val="000000"/>
          <w:sz w:val="24"/>
          <w:szCs w:val="24"/>
          <w:u w:val="none"/>
          <w:lang w:val="en-US" w:eastAsia="zh-CN"/>
        </w:rPr>
        <w:t xml:space="preserve">30</w:t>
      </w:r>
      <w:r>
        <w:rPr>
          <w:rFonts w:hint="eastAsia" w:ascii="宋体" w:hAnsi="宋体"/>
          <w:b/>
          <w:bCs/>
          <w:color w:val="000000"/>
          <w:sz w:val="24"/>
          <w:szCs w:val="24"/>
          <w:u w:val="none"/>
        </w:rPr>
        <w:t xml:space="preserve">分（</w:t>
      </w:r>
      <w:r>
        <w:rPr>
          <w:rFonts w:hint="eastAsia" w:ascii="宋体" w:hAnsi="宋体"/>
          <w:b/>
          <w:bCs/>
          <w:color w:val="000000"/>
          <w:sz w:val="24"/>
          <w:szCs w:val="24"/>
        </w:rPr>
        <w:t xml:space="preserve">北京时间）</w:t>
      </w:r>
      <w:r>
        <w:rPr>
          <w:rFonts w:hint="eastAsia" w:ascii="宋体" w:hAnsi="宋体"/>
          <w:b/>
          <w:bCs/>
          <w:color w:val="000000"/>
          <w:sz w:val="24"/>
          <w:szCs w:val="24"/>
          <w:lang w:eastAsia="zh-CN"/>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left="7" w:firstLine="419"/>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w:t>
      </w:r>
      <w:r>
        <w:rPr>
          <w:rFonts w:hint="eastAsia" w:ascii="宋体" w:hAnsi="宋体" w:cs="宋体"/>
          <w:color w:val="000000"/>
          <w:sz w:val="24"/>
          <w:szCs w:val="24"/>
          <w:highlight w:val="none"/>
          <w:lang w:val="en-US" w:eastAsia="zh-CN"/>
        </w:rPr>
        <w:t xml:space="preserve">蒋工</w:t>
      </w:r>
      <w:r>
        <w:rPr>
          <w:rFonts w:hint="eastAsia" w:ascii="宋体" w:hAnsi="宋体" w:eastAsia="宋体" w:cs="宋体"/>
          <w:color w:val="000000"/>
          <w:sz w:val="24"/>
          <w:szCs w:val="24"/>
          <w:highlight w:val="none"/>
          <w:lang w:val="en-US" w:eastAsia="zh-CN"/>
        </w:rPr>
        <w:t xml:space="preserve">，收件地址：</w:t>
      </w:r>
      <w:r>
        <w:rPr>
          <w:rFonts w:hint="eastAsia" w:ascii="宋体" w:hAnsi="宋体" w:eastAsia="宋体" w:cs="宋体"/>
          <w:sz w:val="24"/>
          <w:szCs w:val="24"/>
          <w:highlight w:val="none"/>
          <w:lang w:val="en-US" w:eastAsia="zh-CN"/>
        </w:rPr>
        <w:t xml:space="preserve">南京市江北新区天浦路1号3</w:t>
      </w:r>
      <w:r>
        <w:rPr>
          <w:rFonts w:ascii="宋体" w:hAnsi="宋体" w:eastAsia="宋体" w:cs="宋体"/>
          <w:spacing w:val="2"/>
          <w:sz w:val="24"/>
          <w:szCs w:val="24"/>
          <w:lang w:eastAsia="zh-CN"/>
        </w:rPr>
        <w:t xml:space="preserve">号楼</w:t>
      </w:r>
      <w:r>
        <w:rPr>
          <w:rFonts w:hint="eastAsia" w:ascii="宋体" w:hAnsi="宋体" w:eastAsia="宋体" w:cs="宋体"/>
          <w:color w:val="000000"/>
          <w:sz w:val="24"/>
          <w:szCs w:val="24"/>
          <w:highlight w:val="none"/>
          <w:lang w:val="en-US" w:eastAsia="zh-CN"/>
        </w:rPr>
        <w:t xml:space="preserve">，联系电话：</w:t>
      </w:r>
      <w:r>
        <w:rPr>
          <w:rFonts w:ascii="宋体" w:hAnsi="宋体" w:eastAsia="宋体" w:cs="宋体"/>
          <w:spacing w:val="2"/>
          <w:sz w:val="24"/>
          <w:szCs w:val="24"/>
          <w:lang w:eastAsia="zh-CN"/>
        </w:rPr>
        <w:t xml:space="preserve">025-58696515</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交易中心《质疑函》收件人：业务受理窗口（快递运单上的收件人填写“业务受理窗口”即可），</w:t>
      </w:r>
      <w:r>
        <w:rPr>
          <w:rFonts w:hint="eastAsia" w:ascii="宋体" w:hAnsi="宋体" w:eastAsia="宋体" w:cs="宋体"/>
          <w:sz w:val="24"/>
          <w:szCs w:val="24"/>
          <w:highlight w:val="none"/>
          <w:lang w:val="en-US" w:eastAsia="zh-CN"/>
        </w:rPr>
        <w:t xml:space="preserve">收件</w:t>
      </w:r>
      <w:r>
        <w:rPr>
          <w:rFonts w:hint="eastAsia" w:ascii="宋体" w:hAnsi="宋体" w:eastAsia="宋体" w:cs="宋体"/>
          <w:sz w:val="24"/>
          <w:szCs w:val="24"/>
          <w:highlight w:val="none"/>
          <w:lang w:val="zh-CN" w:eastAsia="zh-CN"/>
        </w:rPr>
        <w:t xml:space="preserve">地址：</w:t>
      </w:r>
      <w:r>
        <w:rPr>
          <w:rFonts w:hint="eastAsia" w:ascii="宋体" w:hAnsi="宋体" w:eastAsia="宋体" w:cs="宋体"/>
          <w:sz w:val="24"/>
          <w:szCs w:val="24"/>
          <w:highlight w:val="none"/>
          <w:lang w:val="en-US" w:eastAsia="zh-CN"/>
        </w:rPr>
        <w:t xml:space="preserve">南京市江北新区天浦路1号5号楼一楼大厅</w:t>
      </w:r>
      <w:r>
        <w:rPr>
          <w:rFonts w:hint="eastAsia" w:ascii="宋体" w:hAnsi="宋体" w:eastAsia="宋体" w:cs="宋体"/>
          <w:sz w:val="24"/>
          <w:szCs w:val="24"/>
          <w:highlight w:val="none"/>
          <w:lang w:val="zh-CN" w:eastAsia="zh-CN"/>
        </w:rPr>
        <w:t xml:space="preserve">业务受理窗口，联系电话：025-</w:t>
      </w:r>
      <w:r>
        <w:rPr>
          <w:rFonts w:hint="eastAsia" w:ascii="宋体" w:hAnsi="宋体" w:eastAsia="宋体" w:cs="宋体"/>
          <w:sz w:val="24"/>
          <w:szCs w:val="24"/>
          <w:highlight w:val="none"/>
          <w:lang w:val="en-US" w:eastAsia="zh-CN"/>
        </w:rPr>
        <w:t xml:space="preserve">58150937。</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left="7" w:firstLine="419"/>
        <w:jc w:val="both"/>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w:t>
      </w:r>
      <w:r>
        <w:rPr>
          <w:rFonts w:ascii="宋体" w:hAnsi="宋体" w:eastAsia="宋体" w:cs="宋体"/>
          <w:spacing w:val="2"/>
          <w:sz w:val="24"/>
          <w:szCs w:val="24"/>
          <w:lang w:eastAsia="zh-CN"/>
        </w:rPr>
        <w:t xml:space="preserve">南京江北新区城市数字治理中心</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sz w:val="24"/>
          <w:szCs w:val="24"/>
          <w:highlight w:val="none"/>
          <w:lang w:val="en-US" w:eastAsia="zh-CN"/>
        </w:rPr>
        <w:t xml:space="preserve">南京市江北新区天浦路1号3</w:t>
      </w:r>
      <w:r>
        <w:rPr>
          <w:rFonts w:ascii="宋体" w:hAnsi="宋体" w:eastAsia="宋体" w:cs="宋体"/>
          <w:spacing w:val="2"/>
          <w:sz w:val="24"/>
          <w:szCs w:val="24"/>
          <w:lang w:eastAsia="zh-CN"/>
        </w:rPr>
        <w:t xml:space="preserve">号楼</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宋体"/>
          <w:color w:val="000000"/>
          <w:sz w:val="24"/>
          <w:szCs w:val="24"/>
          <w:highlight w:val="none"/>
          <w:lang w:val="en-US" w:eastAsia="zh-CN"/>
        </w:rPr>
        <w:t xml:space="preserve">蒋工</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ascii="宋体" w:hAnsi="宋体" w:eastAsia="宋体" w:cs="宋体"/>
          <w:spacing w:val="2"/>
          <w:sz w:val="24"/>
          <w:szCs w:val="24"/>
          <w:lang w:eastAsia="zh-CN"/>
        </w:rPr>
        <w:t xml:space="preserve">025-58696515</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bookmarkStart w:id="6" w:name="_Toc28359086"/>
      <w:r/>
      <w:bookmarkStart w:id="7" w:name="_Toc28359009"/>
      <w:r>
        <w:rPr>
          <w:rFonts w:hint="eastAsia" w:ascii="宋体" w:hAnsi="宋体" w:eastAsia="宋体" w:cs="Times New Roman"/>
          <w:sz w:val="24"/>
          <w:szCs w:val="24"/>
          <w:u w:val="none"/>
          <w:lang w:val="en-US" w:eastAsia="zh-CN"/>
        </w:rPr>
        <w:t xml:space="preserve">2.交易中心</w:t>
      </w:r>
      <w:bookmarkEnd w:id="6"/>
      <w:r/>
      <w:bookmarkEnd w:id="7"/>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址：南京市江北新区天浦路1号5号楼二楼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班</w:t>
      </w:r>
      <w:r>
        <w:rPr>
          <w:rFonts w:hint="eastAsia" w:ascii="宋体" w:hAnsi="宋体" w:eastAsia="宋体" w:cs="Times New Roman"/>
          <w:sz w:val="24"/>
          <w:szCs w:val="24"/>
          <w:u w:val="none"/>
          <w:lang w:val="en-US" w:eastAsia="zh-CN"/>
        </w:rPr>
        <w:t xml:space="preserve">老师</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联系电话：025-581509</w:t>
      </w:r>
      <w:r>
        <w:rPr>
          <w:rFonts w:hint="eastAsia" w:ascii="宋体" w:hAnsi="宋体" w:cs="Times New Roman"/>
          <w:sz w:val="24"/>
          <w:szCs w:val="24"/>
          <w:u w:val="none"/>
          <w:lang w:val="en-US" w:eastAsia="zh-CN"/>
        </w:rPr>
        <w:t xml:space="preserve">60</w:t>
      </w:r>
      <w:r>
        <w:rPr>
          <w:rFonts w:hint="eastAsia" w:ascii="宋体" w:hAnsi="宋体" w:eastAsia="宋体" w:cs="Times New Roman"/>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6938519"/>
      <w:r/>
      <w:bookmarkStart w:id="9" w:name="_Toc120614214"/>
      <w:r/>
      <w:bookmarkStart w:id="10" w:name="_Toc513029203"/>
      <w:r/>
      <w:bookmarkStart w:id="11" w:name="_Toc20823275"/>
      <w:r>
        <w:rPr>
          <w:rFonts w:hint="eastAsia" w:ascii="方正黑体_GBK" w:hAnsi="方正黑体_GBK" w:eastAsia="方正黑体_GBK" w:cs="方正黑体_GBK"/>
          <w:b w:val="0"/>
          <w:bCs w:val="0"/>
          <w:color w:val="000000"/>
          <w:sz w:val="30"/>
          <w:szCs w:val="30"/>
        </w:rPr>
        <w:t xml:space="preserve">一、总则</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最后</w:t>
      </w:r>
      <w:r>
        <w:rPr>
          <w:rFonts w:hint="eastAsia" w:ascii="宋体" w:hAnsi="宋体" w:eastAsia="宋体" w:cs="Times New Roman"/>
          <w:color w:val="000000"/>
          <w:sz w:val="24"/>
          <w:szCs w:val="22"/>
          <w:lang w:val="zh-CN"/>
        </w:rPr>
        <w:t xml:space="preserve">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98"/>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9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98"/>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8"/>
      <w:r/>
      <w:bookmarkEnd w:id="9"/>
      <w:r/>
      <w:bookmarkEnd w:id="10"/>
      <w:r/>
      <w:bookmarkEnd w:id="11"/>
      <w:r/>
      <w:r/>
    </w:p>
    <w:p>
      <w:pPr>
        <w:pStyle w:val="898"/>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898"/>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98"/>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98"/>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98"/>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98"/>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6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6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72"/>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33"/>
        <w:rPr>
          <w:rFonts w:hAnsi="宋体"/>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3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合同签订且服务团队人员到位后，甲方支付合同总价款的40%作为预付款。</w:t>
      </w:r>
      <w:r/>
    </w:p>
    <w:p>
      <w:pPr>
        <w:pStyle w:val="93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系统开发完成并验收合格后，甲方支付合同总价款的60%。</w:t>
      </w:r>
      <w:r/>
    </w:p>
    <w:p>
      <w:pPr>
        <w:pStyle w:val="933"/>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p>
    <w:p>
      <w:pPr>
        <w:pStyle w:val="933"/>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rPr>
        <w:t xml:space="preserve">网络安全、</w:t>
      </w:r>
      <w:r>
        <w:rPr>
          <w:rFonts w:hint="eastAsia" w:ascii="宋体" w:hAnsi="宋体" w:eastAsia="宋体" w:cs="Courier New"/>
          <w:color w:val="000000"/>
          <w:sz w:val="24"/>
          <w:szCs w:val="24"/>
        </w:rPr>
        <w:t xml:space="preserve">市场准入</w:t>
      </w:r>
      <w:r>
        <w:rPr>
          <w:rFonts w:hint="eastAsia" w:ascii="宋体" w:hAnsi="宋体" w:eastAsia="宋体" w:cs="Courier New"/>
          <w:color w:val="000000"/>
          <w:sz w:val="24"/>
          <w:szCs w:val="24"/>
          <w:lang w:val="zh-CN"/>
        </w:rPr>
        <w:t xml:space="preserve">要求（</w:t>
      </w:r>
      <w:r>
        <w:rPr>
          <w:rFonts w:hint="eastAsia" w:ascii="宋体" w:hAnsi="宋体" w:eastAsia="宋体" w:cs="Courier New"/>
          <w:color w:val="000000"/>
          <w:sz w:val="24"/>
          <w:szCs w:val="24"/>
        </w:rPr>
        <w:t xml:space="preserve">如有</w:t>
      </w:r>
      <w:r>
        <w:rPr>
          <w:rFonts w:hint="eastAsia" w:ascii="宋体" w:hAnsi="宋体" w:eastAsia="宋体" w:cs="Courier New"/>
          <w:color w:val="000000"/>
          <w:sz w:val="24"/>
          <w:szCs w:val="24"/>
          <w:lang w:val="zh-CN"/>
        </w:rPr>
        <w:t xml:space="preserve">）：</w:t>
      </w:r>
      <w:r>
        <w:rPr>
          <w:rFonts w:hint="eastAsia" w:ascii="宋体" w:hAnsi="宋体" w:eastAsia="宋体" w:cs="Courier New"/>
          <w:color w:val="000000"/>
          <w:sz w:val="24"/>
          <w:szCs w:val="24"/>
          <w:lang w:val="en-US" w:eastAsia="zh-CN"/>
        </w:rPr>
        <w:t xml:space="preserve">乙方进场后需严格遵守甲方现场的网络安全和保密要求，如出现违规情况，甲方将追究相关责任和损失。</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93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33"/>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3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93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33"/>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3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3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933"/>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933"/>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101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3" w:name="_Toc16938590"/>
      <w:r/>
      <w:bookmarkStart w:id="14" w:name="_Hlt16619350"/>
      <w:r/>
      <w:bookmarkStart w:id="15" w:name="_Toc120614244"/>
      <w:r/>
      <w:bookmarkStart w:id="16" w:name="_Toc20823346"/>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一、项目属性</w:t>
      </w:r>
      <w:r/>
    </w:p>
    <w:p>
      <w:pPr>
        <w:ind w:firstLine="482"/>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宋体" w:hAnsi="宋体" w:eastAsia="宋体" w:cs="Times New Roman"/>
          <w:color w:val="000000"/>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lang w:eastAsia="zh-CN"/>
        </w:rPr>
        <w:t xml:space="preserve">南京江北新区电子政务外网2019年建设，覆盖范围为</w:t>
      </w:r>
      <w:bookmarkStart w:id="21" w:name="_Hlk196104886"/>
      <w:r>
        <w:rPr>
          <w:rFonts w:hint="eastAsia" w:ascii="宋体" w:hAnsi="宋体" w:eastAsia="宋体" w:cs="宋体"/>
          <w:spacing w:val="2"/>
          <w:sz w:val="24"/>
          <w:szCs w:val="24"/>
          <w:lang w:eastAsia="zh-CN"/>
        </w:rPr>
        <w:t xml:space="preserve">新区直属机关单位及下属分支机构、街道、园区、医疗卫生单位、教育单位等政务部门</w:t>
      </w:r>
      <w:bookmarkEnd w:id="21"/>
      <w:r>
        <w:rPr>
          <w:rFonts w:hint="eastAsia" w:ascii="宋体" w:hAnsi="宋体" w:eastAsia="宋体" w:cs="宋体"/>
          <w:spacing w:val="2"/>
          <w:sz w:val="24"/>
          <w:szCs w:val="24"/>
          <w:lang w:eastAsia="zh-CN"/>
        </w:rPr>
        <w:t xml:space="preserve">共计400多个接入点位，共计接入4200台左右终端，各部门的</w:t>
      </w:r>
      <w:r>
        <w:rPr>
          <w:rFonts w:hint="eastAsia" w:ascii="宋体" w:hAnsi="宋体" w:eastAsia="宋体" w:cs="宋体"/>
          <w:spacing w:val="2"/>
          <w:sz w:val="24"/>
          <w:szCs w:val="24"/>
          <w:highlight w:val="none"/>
          <w:lang w:eastAsia="zh-CN"/>
        </w:rPr>
        <w:t xml:space="preserve">众多非涉密业务专网以及政务外网和互联网已统一并入新区电子政务外网，政务外网是新区重要的信息技术基础设施，重点保障政务外网稳定运行和安全可靠。</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目前新区政务外网核心路由交换设备、网络安全设备等服役已经超过5年，设备存在硬件老化、稳定性降低、故障概率上升，同时政务外网接入点流量在汇聚层缺乏有效安全管控，接入点位攻击和木马等异常流量会在政务外网扩散，对政务外网骨干网和其他点位存在安全隐患，以及越来越多业务系统直接暴露在政务外网，容易遭到各种网络攻击如SQL注入、跨站脚本攻击（XSS）、文件包含漏洞攻击等。</w:t>
      </w:r>
      <w:r/>
    </w:p>
    <w:p>
      <w:pPr>
        <w:ind w:left="7" w:firstLine="419"/>
        <w:jc w:val="both"/>
        <w:rPr>
          <w:rFonts w:hint="eastAsia" w:ascii="宋体" w:hAnsi="宋体" w:eastAsia="宋体" w:cs="Times New Roman"/>
          <w:color w:val="000000"/>
          <w:sz w:val="24"/>
          <w:szCs w:val="24"/>
          <w:highlight w:val="none"/>
          <w:lang w:val="en-US" w:eastAsia="zh-CN"/>
        </w:rPr>
      </w:pPr>
      <w:r>
        <w:rPr>
          <w:rFonts w:hint="eastAsia" w:ascii="宋体" w:hAnsi="宋体" w:eastAsia="宋体" w:cs="宋体"/>
          <w:spacing w:val="2"/>
          <w:sz w:val="24"/>
          <w:szCs w:val="24"/>
          <w:highlight w:val="none"/>
          <w:lang w:eastAsia="zh-CN"/>
        </w:rPr>
        <w:t xml:space="preserve">通过采购政务外网二平面服务，</w:t>
      </w:r>
      <w:r>
        <w:rPr>
          <w:rFonts w:hint="eastAsia" w:ascii="宋体" w:hAnsi="宋体" w:eastAsia="宋体" w:cs="宋体"/>
          <w:spacing w:val="2"/>
          <w:sz w:val="24"/>
          <w:szCs w:val="24"/>
          <w:highlight w:val="none"/>
          <w:lang w:val="en-US" w:eastAsia="zh-CN"/>
        </w:rPr>
        <w:t xml:space="preserve">推进</w:t>
      </w:r>
      <w:r>
        <w:rPr>
          <w:rFonts w:hint="eastAsia" w:ascii="宋体" w:hAnsi="宋体" w:eastAsia="宋体" w:cs="宋体"/>
          <w:spacing w:val="2"/>
          <w:sz w:val="24"/>
          <w:szCs w:val="24"/>
          <w:highlight w:val="none"/>
          <w:lang w:eastAsia="zh-CN"/>
        </w:rPr>
        <w:t xml:space="preserve">江北新区电子政务外网升级迭代，在完成网络架构扩容、性能提升的基础上，同步嵌入纵深防御安全机制，对政务外网基础设施及承载的各类业务系统实施全方位安全加固，打造“高性能+高安全”的新一代政务网络支撑平台。</w:t>
      </w:r>
      <w:r>
        <w:rPr>
          <w:rFonts w:hint="eastAsia" w:ascii="宋体" w:hAnsi="宋体"/>
          <w:color w:val="000000"/>
          <w:sz w:val="24"/>
          <w:szCs w:val="24"/>
          <w:highlight w:val="none"/>
          <w:lang w:val="en-US" w:eastAsia="zh-CN"/>
        </w:rPr>
        <w:t xml:space="preserve">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中共中央和国务院发布的《国家信息化领导小组关于我国电子政务建设指导意见》（中发[2002]17号）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《国家电子政务工程建设项目管理暂行办法》（发改委令第55号）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《国家信息化领导小组关于我国电子政务建设指导意见》</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《国务院办公厅关于促进电子政务协调发展的指导意见》（国办发〔2014〕66号）</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《信息安全技术信息系统安全等级保护体系框架》（GAT 708-2007）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《计算机信息系统安全等级保护划分准则》（GB 17859-1999）</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《信息安全技术信息系统安全管理要求》（GBT 20269-2006）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《信息安全技术信息系统通用安全技术要求》（GBT 20271-2006）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《信息安全技术操作系统安全技术要求》（GBT 20272-2006）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《信息安全技术网络和终端设备隔高部件安全技术要求》（GBT 20279-2006）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《信息安全技术信息系统安全工程管理要求》（GBT 20282-2006）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《信息安全技术信息安全风险评估规范》（GBT 20984-2007）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《信息安全技术信息系统灾难恢复规范》（GBT 20988-2007）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《信息安全技术信息系统安全等级保护基本要求》（GBT 22239-2008）</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《信息安全技术信息系统安全保护等级保护定级指南》（GBT 22240-2008）</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《信息安全技术信息系统安全等级保护实施指南》（GBT 25058-2010）</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《信息安全技术信息系统等级保护安全设计技术要求》（GBT 25070-2010）</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《信息安全技术数据库管理系统安全技术要求》（GBT_20273-2006）</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《信息安全技术+信息安全事件分类分级指南》（GBZ 20986-2007）</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《计算站场地安全要求》(GB9361-88)  </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《江苏省电子政务外网接入技术方案》</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《江苏省电子政务外网IPV4地址规划》</w:t>
      </w:r>
      <w:r/>
    </w:p>
    <w:p>
      <w:pPr>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《江苏省电子政务外网域名规划》</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（三）建设目标</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w:t>
      </w:r>
      <w:r>
        <w:rPr>
          <w:rFonts w:hint="eastAsia" w:ascii="宋体" w:hAnsi="宋体" w:eastAsia="宋体" w:cs="宋体"/>
          <w:spacing w:val="2"/>
          <w:sz w:val="24"/>
          <w:szCs w:val="24"/>
          <w:highlight w:val="none"/>
          <w:lang w:val="en-US" w:eastAsia="zh-CN"/>
        </w:rPr>
        <w:t xml:space="preserve">.采购</w:t>
      </w:r>
      <w:r>
        <w:rPr>
          <w:rFonts w:hint="eastAsia" w:ascii="宋体" w:hAnsi="宋体" w:eastAsia="宋体" w:cs="宋体"/>
          <w:spacing w:val="2"/>
          <w:sz w:val="24"/>
          <w:szCs w:val="24"/>
          <w:highlight w:val="none"/>
          <w:lang w:eastAsia="zh-CN"/>
        </w:rPr>
        <w:t xml:space="preserve">政务外网二平面</w:t>
      </w:r>
      <w:r>
        <w:rPr>
          <w:rFonts w:hint="eastAsia" w:ascii="宋体" w:hAnsi="宋体" w:eastAsia="宋体" w:cs="宋体"/>
          <w:spacing w:val="2"/>
          <w:sz w:val="24"/>
          <w:szCs w:val="24"/>
          <w:highlight w:val="none"/>
          <w:lang w:val="en-US" w:eastAsia="zh-CN"/>
        </w:rPr>
        <w:t xml:space="preserve">服务</w:t>
      </w:r>
      <w:r>
        <w:rPr>
          <w:rFonts w:hint="eastAsia" w:ascii="宋体" w:hAnsi="宋体" w:eastAsia="宋体" w:cs="宋体"/>
          <w:spacing w:val="2"/>
          <w:sz w:val="24"/>
          <w:szCs w:val="24"/>
          <w:highlight w:val="none"/>
          <w:lang w:eastAsia="zh-CN"/>
        </w:rPr>
        <w:t xml:space="preserve">，与原有网络架构组成一网双平面,双平面并行运行，业务在二平面运行稳定后，一平面设备逐步退网。</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val="en-US" w:eastAsia="zh-CN"/>
        </w:rPr>
        <w:t xml:space="preserve">2.</w:t>
      </w:r>
      <w:r>
        <w:rPr>
          <w:rFonts w:hint="eastAsia" w:ascii="宋体" w:hAnsi="宋体" w:eastAsia="宋体" w:cs="宋体"/>
          <w:spacing w:val="2"/>
          <w:sz w:val="24"/>
          <w:szCs w:val="24"/>
          <w:highlight w:val="none"/>
          <w:lang w:eastAsia="zh-CN"/>
        </w:rPr>
        <w:t xml:space="preserve">预留专网并网能力，满足未来5年业务可扩展和安全接入需求。</w:t>
      </w:r>
      <w:r/>
    </w:p>
    <w:p>
      <w:pPr>
        <w:ind w:left="7" w:firstLine="419"/>
        <w:jc w:val="both"/>
        <w:rPr>
          <w:rFonts w:hint="eastAsia"/>
          <w:highlight w:val="none"/>
          <w:lang w:eastAsia="zh-CN"/>
        </w:rPr>
      </w:pPr>
      <w:r>
        <w:rPr>
          <w:rFonts w:hint="eastAsia" w:ascii="宋体" w:hAnsi="宋体" w:eastAsia="宋体" w:cs="宋体"/>
          <w:spacing w:val="2"/>
          <w:sz w:val="24"/>
          <w:szCs w:val="24"/>
          <w:highlight w:val="none"/>
          <w:lang w:val="en-US" w:eastAsia="zh-CN"/>
        </w:rPr>
        <w:t xml:space="preserve">3.保障政务网络数据不外流的同时，充分应用设备资产。</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p>
    <w:tbl>
      <w:tblPr>
        <w:tblStyle w:val="1011"/>
        <w:tblW w:w="93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42"/>
        <w:gridCol w:w="1437"/>
        <w:gridCol w:w="841"/>
        <w:gridCol w:w="834"/>
        <w:gridCol w:w="1350"/>
        <w:gridCol w:w="1050"/>
        <w:gridCol w:w="1116"/>
        <w:gridCol w:w="1109"/>
        <w:gridCol w:w="862"/>
      </w:tblGrid>
      <w:tr>
        <w:trPr>
          <w:jc w:val="center"/>
          <w:trHeight w:val="817"/>
        </w:trPr>
        <w:tc>
          <w:tcPr>
            <w:tcW w:w="742" w:type="dxa"/>
            <w:vAlign w:val="center"/>
            <w:textDirection w:val="lrTb"/>
            <w:noWrap w:val="false"/>
          </w:tcPr>
          <w:p>
            <w:pPr>
              <w:pStyle w:val="1022"/>
              <w:ind w:left="128"/>
              <w:jc w:val="center"/>
              <w:rPr>
                <w:rFonts w:hint="eastAsia"/>
                <w:sz w:val="24"/>
                <w:szCs w:val="24"/>
                <w:highlight w:val="none"/>
              </w:rPr>
            </w:pPr>
            <w:r>
              <w:rPr>
                <w:spacing w:val="-2"/>
                <w:sz w:val="24"/>
                <w:szCs w:val="24"/>
                <w:highlight w:val="none"/>
              </w:rPr>
              <w:t xml:space="preserve">序号</w:t>
            </w:r>
            <w:r/>
          </w:p>
        </w:tc>
        <w:tc>
          <w:tcPr>
            <w:tcW w:w="1437" w:type="dxa"/>
            <w:vAlign w:val="center"/>
            <w:textDirection w:val="lrTb"/>
            <w:noWrap w:val="false"/>
          </w:tcPr>
          <w:p>
            <w:pPr>
              <w:pStyle w:val="1022"/>
              <w:jc w:val="center"/>
              <w:rPr>
                <w:rFonts w:hint="eastAsia"/>
                <w:sz w:val="24"/>
                <w:szCs w:val="24"/>
                <w:highlight w:val="none"/>
              </w:rPr>
            </w:pPr>
            <w:r>
              <w:rPr>
                <w:spacing w:val="-3"/>
                <w:sz w:val="24"/>
                <w:szCs w:val="24"/>
                <w:highlight w:val="none"/>
              </w:rPr>
              <w:t xml:space="preserve">名称</w:t>
            </w:r>
            <w:r/>
          </w:p>
        </w:tc>
        <w:tc>
          <w:tcPr>
            <w:tcW w:w="841" w:type="dxa"/>
            <w:vAlign w:val="center"/>
            <w:textDirection w:val="lrTb"/>
            <w:noWrap w:val="false"/>
          </w:tcPr>
          <w:p>
            <w:pPr>
              <w:pStyle w:val="1022"/>
              <w:ind w:firstLine="234"/>
              <w:jc w:val="both"/>
              <w:rPr>
                <w:rFonts w:hint="eastAsia"/>
                <w:sz w:val="24"/>
                <w:szCs w:val="24"/>
                <w:highlight w:val="none"/>
              </w:rPr>
            </w:pPr>
            <w:r>
              <w:rPr>
                <w:spacing w:val="-3"/>
                <w:sz w:val="24"/>
                <w:szCs w:val="24"/>
                <w:highlight w:val="none"/>
              </w:rPr>
              <w:t xml:space="preserve">数量</w:t>
            </w:r>
            <w:r/>
          </w:p>
        </w:tc>
        <w:tc>
          <w:tcPr>
            <w:tcW w:w="834" w:type="dxa"/>
            <w:vAlign w:val="center"/>
            <w:textDirection w:val="lrTb"/>
            <w:noWrap w:val="false"/>
          </w:tcPr>
          <w:p>
            <w:pPr>
              <w:pStyle w:val="1022"/>
              <w:jc w:val="center"/>
              <w:rPr>
                <w:spacing w:val="-3"/>
                <w:sz w:val="24"/>
                <w:szCs w:val="24"/>
                <w:highlight w:val="none"/>
              </w:rPr>
            </w:pPr>
            <w:r>
              <w:rPr>
                <w:spacing w:val="-3"/>
                <w:sz w:val="24"/>
                <w:szCs w:val="24"/>
                <w:highlight w:val="none"/>
              </w:rPr>
              <w:t xml:space="preserve">单位</w:t>
            </w:r>
            <w:r/>
          </w:p>
        </w:tc>
        <w:tc>
          <w:tcPr>
            <w:tcW w:w="1350" w:type="dxa"/>
            <w:vAlign w:val="center"/>
            <w:textDirection w:val="lrTb"/>
            <w:noWrap w:val="false"/>
          </w:tcPr>
          <w:p>
            <w:pPr>
              <w:pStyle w:val="1022"/>
              <w:jc w:val="center"/>
              <w:rPr>
                <w:spacing w:val="-3"/>
                <w:sz w:val="24"/>
                <w:szCs w:val="24"/>
                <w:highlight w:val="none"/>
              </w:rPr>
            </w:pPr>
            <w:r>
              <w:rPr>
                <w:spacing w:val="-3"/>
                <w:sz w:val="24"/>
                <w:szCs w:val="24"/>
                <w:highlight w:val="none"/>
              </w:rPr>
              <w:t xml:space="preserve">最高限价</w:t>
            </w:r>
            <w:r/>
          </w:p>
          <w:p>
            <w:pPr>
              <w:pStyle w:val="1022"/>
              <w:jc w:val="center"/>
              <w:rPr>
                <w:rFonts w:hint="eastAsia" w:eastAsia="宋体"/>
                <w:sz w:val="24"/>
                <w:szCs w:val="24"/>
                <w:highlight w:val="none"/>
                <w:lang w:eastAsia="zh-CN"/>
              </w:rPr>
            </w:pPr>
            <w:r>
              <w:rPr>
                <w:rFonts w:hint="eastAsia"/>
                <w:spacing w:val="-3"/>
                <w:sz w:val="24"/>
                <w:szCs w:val="24"/>
                <w:highlight w:val="none"/>
                <w:lang w:eastAsia="zh-CN"/>
              </w:rPr>
              <w:t xml:space="preserve">（</w:t>
            </w:r>
            <w:r>
              <w:rPr>
                <w:rFonts w:hint="eastAsia"/>
                <w:spacing w:val="-3"/>
                <w:sz w:val="24"/>
                <w:szCs w:val="24"/>
                <w:highlight w:val="none"/>
                <w:lang w:val="en-US" w:eastAsia="zh-CN"/>
              </w:rPr>
              <w:t xml:space="preserve">元/套年</w:t>
            </w:r>
            <w:r>
              <w:rPr>
                <w:rFonts w:hint="eastAsia"/>
                <w:spacing w:val="-3"/>
                <w:sz w:val="24"/>
                <w:szCs w:val="24"/>
                <w:highlight w:val="none"/>
                <w:lang w:eastAsia="zh-CN"/>
              </w:rPr>
              <w:t xml:space="preserve">）</w:t>
            </w:r>
            <w:r/>
          </w:p>
        </w:tc>
        <w:tc>
          <w:tcPr>
            <w:tcW w:w="1050" w:type="dxa"/>
            <w:vAlign w:val="center"/>
            <w:textDirection w:val="lrTb"/>
            <w:noWrap w:val="false"/>
          </w:tcPr>
          <w:p>
            <w:pPr>
              <w:pStyle w:val="1022"/>
              <w:ind w:left="165" w:right="147"/>
              <w:jc w:val="center"/>
              <w:rPr>
                <w:rFonts w:hint="eastAsia"/>
                <w:sz w:val="24"/>
                <w:szCs w:val="24"/>
                <w:highlight w:val="none"/>
              </w:rPr>
            </w:pPr>
            <w:r>
              <w:rPr>
                <w:spacing w:val="-5"/>
                <w:sz w:val="24"/>
                <w:szCs w:val="24"/>
                <w:highlight w:val="none"/>
              </w:rPr>
              <w:t xml:space="preserve">是否接</w:t>
            </w:r>
            <w:r>
              <w:rPr>
                <w:spacing w:val="1"/>
                <w:sz w:val="24"/>
                <w:szCs w:val="24"/>
                <w:highlight w:val="none"/>
              </w:rPr>
              <w:t xml:space="preserve"> </w:t>
            </w:r>
            <w:r>
              <w:rPr>
                <w:spacing w:val="-5"/>
                <w:sz w:val="24"/>
                <w:szCs w:val="24"/>
                <w:highlight w:val="none"/>
              </w:rPr>
              <w:t xml:space="preserve">受进口</w:t>
            </w:r>
            <w:r/>
          </w:p>
        </w:tc>
        <w:tc>
          <w:tcPr>
            <w:tcW w:w="1116" w:type="dxa"/>
            <w:vAlign w:val="center"/>
            <w:textDirection w:val="lrTb"/>
            <w:noWrap w:val="false"/>
          </w:tcPr>
          <w:p>
            <w:pPr>
              <w:pStyle w:val="1022"/>
              <w:ind w:left="424" w:right="144" w:hanging="247"/>
              <w:jc w:val="center"/>
              <w:rPr>
                <w:rFonts w:hint="eastAsia"/>
                <w:sz w:val="24"/>
                <w:szCs w:val="24"/>
                <w:highlight w:val="none"/>
              </w:rPr>
            </w:pPr>
            <w:r>
              <w:rPr>
                <w:spacing w:val="-3"/>
                <w:sz w:val="24"/>
                <w:szCs w:val="24"/>
                <w:highlight w:val="none"/>
              </w:rPr>
              <w:t xml:space="preserve">产品类</w:t>
            </w:r>
            <w:r>
              <w:rPr>
                <w:sz w:val="24"/>
                <w:szCs w:val="24"/>
                <w:highlight w:val="none"/>
              </w:rPr>
              <w:t xml:space="preserve"> 型</w:t>
            </w:r>
            <w:r/>
          </w:p>
        </w:tc>
        <w:tc>
          <w:tcPr>
            <w:tcW w:w="1109" w:type="dxa"/>
            <w:vAlign w:val="center"/>
            <w:textDirection w:val="lrTb"/>
            <w:noWrap w:val="false"/>
          </w:tcPr>
          <w:p>
            <w:pPr>
              <w:pStyle w:val="1022"/>
              <w:ind w:left="411" w:right="143" w:hanging="247"/>
              <w:jc w:val="center"/>
              <w:rPr>
                <w:rFonts w:hint="eastAsia"/>
                <w:sz w:val="24"/>
                <w:szCs w:val="24"/>
                <w:highlight w:val="none"/>
              </w:rPr>
            </w:pPr>
            <w:r>
              <w:rPr>
                <w:spacing w:val="-3"/>
                <w:sz w:val="24"/>
                <w:szCs w:val="24"/>
                <w:highlight w:val="none"/>
              </w:rPr>
              <w:t xml:space="preserve">所属类</w:t>
            </w:r>
            <w:r>
              <w:rPr>
                <w:sz w:val="24"/>
                <w:szCs w:val="24"/>
                <w:highlight w:val="none"/>
              </w:rPr>
              <w:t xml:space="preserve"> 型</w:t>
            </w:r>
            <w:r/>
          </w:p>
        </w:tc>
        <w:tc>
          <w:tcPr>
            <w:tcW w:w="862" w:type="dxa"/>
            <w:vAlign w:val="center"/>
            <w:textDirection w:val="lrTb"/>
            <w:noWrap w:val="false"/>
          </w:tcPr>
          <w:p>
            <w:pPr>
              <w:pStyle w:val="1022"/>
              <w:jc w:val="center"/>
              <w:rPr>
                <w:rFonts w:hint="eastAsia"/>
                <w:sz w:val="24"/>
                <w:szCs w:val="24"/>
                <w:highlight w:val="none"/>
              </w:rPr>
            </w:pPr>
            <w:r>
              <w:rPr>
                <w:spacing w:val="-3"/>
                <w:sz w:val="24"/>
                <w:szCs w:val="24"/>
                <w:highlight w:val="none"/>
              </w:rPr>
              <w:t xml:space="preserve">类型</w:t>
            </w:r>
            <w:r/>
          </w:p>
        </w:tc>
      </w:tr>
      <w:tr>
        <w:trPr>
          <w:jc w:val="center"/>
          <w:trHeight w:val="844"/>
        </w:trPr>
        <w:tc>
          <w:tcPr>
            <w:tcW w:w="742" w:type="dxa"/>
            <w:vAlign w:val="center"/>
            <w:textDirection w:val="lrTb"/>
            <w:noWrap w:val="false"/>
          </w:tcPr>
          <w:p>
            <w:pPr>
              <w:pStyle w:val="1022"/>
              <w:ind w:left="327"/>
              <w:jc w:val="center"/>
              <w:rPr>
                <w:rFonts w:hint="eastAsia"/>
                <w:highlight w:val="none"/>
                <w:lang w:eastAsia="zh-CN"/>
              </w:rPr>
            </w:pPr>
            <w:r>
              <w:rPr>
                <w:highlight w:val="none"/>
              </w:rPr>
              <w:t xml:space="preserve">1</w:t>
            </w:r>
            <w:r/>
          </w:p>
        </w:tc>
        <w:tc>
          <w:tcPr>
            <w:tcW w:w="1437" w:type="dxa"/>
            <w:vAlign w:val="center"/>
            <w:textDirection w:val="lrTb"/>
            <w:noWrap w:val="false"/>
          </w:tcPr>
          <w:p>
            <w:pPr>
              <w:pStyle w:val="1022"/>
              <w:ind w:right="155"/>
              <w:jc w:val="center"/>
              <w:rPr>
                <w:rFonts w:hint="eastAsia"/>
                <w:highlight w:val="none"/>
                <w:lang w:eastAsia="zh-CN"/>
              </w:rPr>
            </w:pPr>
            <w:r>
              <w:rPr>
                <w:rFonts w:hint="eastAsia" w:ascii="Times New Roman" w:hAnsi="Times New Roman" w:eastAsia="仿宋" w:cs="Times New Roman"/>
                <w:color w:val="auto"/>
                <w:highlight w:val="none"/>
                <w:lang w:eastAsia="zh-CN" w:bidi="ar"/>
              </w:rPr>
              <w:t xml:space="preserve">骨干网基础能力服务</w:t>
            </w:r>
            <w:r/>
          </w:p>
        </w:tc>
        <w:tc>
          <w:tcPr>
            <w:tcW w:w="841" w:type="dxa"/>
            <w:vAlign w:val="center"/>
            <w:textDirection w:val="lrTb"/>
            <w:noWrap w:val="false"/>
          </w:tcPr>
          <w:p>
            <w:pPr>
              <w:pStyle w:val="1022"/>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1022"/>
              <w:jc w:val="center"/>
              <w:rPr>
                <w:rFonts w:hint="default"/>
                <w:highlight w:val="none"/>
                <w:lang w:val="en-US"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1022"/>
              <w:jc w:val="center"/>
              <w:rPr>
                <w:rFonts w:hint="eastAsia"/>
                <w:highlight w:val="none"/>
                <w:lang w:eastAsia="zh-CN"/>
              </w:rPr>
            </w:pPr>
            <w:r>
              <w:rPr>
                <w:rFonts w:hint="eastAsia"/>
                <w:highlight w:val="none"/>
                <w:lang w:val="en-US" w:eastAsia="zh-CN"/>
              </w:rPr>
              <w:t xml:space="preserve">294</w:t>
            </w:r>
            <w:r>
              <w:rPr>
                <w:rFonts w:hint="eastAsia"/>
                <w:highlight w:val="none"/>
                <w:lang w:eastAsia="zh-CN"/>
              </w:rPr>
              <w:t xml:space="preserve">000</w:t>
            </w:r>
            <w:r/>
          </w:p>
        </w:tc>
        <w:tc>
          <w:tcPr>
            <w:tcW w:w="1050" w:type="dxa"/>
            <w:vAlign w:val="center"/>
            <w:textDirection w:val="lrTb"/>
            <w:noWrap w:val="false"/>
          </w:tcPr>
          <w:p>
            <w:pPr>
              <w:pStyle w:val="1022"/>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1022"/>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1022"/>
              <w:ind w:left="225"/>
              <w:rPr>
                <w:rFonts w:hint="eastAsia"/>
                <w:highlight w:val="none"/>
              </w:rPr>
            </w:pPr>
            <w:r>
              <w:rPr>
                <w:spacing w:val="-3"/>
                <w:highlight w:val="none"/>
              </w:rPr>
              <w:t xml:space="preserve">服务*</w:t>
            </w:r>
            <w:r/>
          </w:p>
        </w:tc>
      </w:tr>
      <w:tr>
        <w:trPr>
          <w:jc w:val="center"/>
          <w:trHeight w:val="949"/>
        </w:trPr>
        <w:tc>
          <w:tcPr>
            <w:tcW w:w="742" w:type="dxa"/>
            <w:vAlign w:val="center"/>
            <w:textDirection w:val="lrTb"/>
            <w:noWrap w:val="false"/>
          </w:tcPr>
          <w:p>
            <w:pPr>
              <w:pStyle w:val="1022"/>
              <w:ind w:left="312"/>
              <w:jc w:val="center"/>
              <w:rPr>
                <w:rFonts w:hint="eastAsia"/>
                <w:highlight w:val="none"/>
              </w:rPr>
            </w:pPr>
            <w:r>
              <w:rPr>
                <w:highlight w:val="none"/>
              </w:rPr>
              <w:t xml:space="preserve">2</w:t>
            </w:r>
            <w:r/>
          </w:p>
        </w:tc>
        <w:tc>
          <w:tcPr>
            <w:tcW w:w="1437" w:type="dxa"/>
            <w:vAlign w:val="center"/>
            <w:textDirection w:val="lrTb"/>
            <w:noWrap w:val="false"/>
          </w:tcPr>
          <w:p>
            <w:pPr>
              <w:pStyle w:val="1022"/>
              <w:ind w:right="154"/>
              <w:jc w:val="center"/>
              <w:rPr>
                <w:rFonts w:hint="eastAsia"/>
                <w:highlight w:val="none"/>
              </w:rPr>
            </w:pPr>
            <w:r>
              <w:rPr>
                <w:rFonts w:hint="eastAsia" w:ascii="Times New Roman" w:hAnsi="Times New Roman" w:eastAsia="仿宋" w:cs="Times New Roman"/>
                <w:color w:val="auto"/>
                <w:highlight w:val="none"/>
                <w:lang w:eastAsia="zh-CN" w:bidi="ar"/>
              </w:rPr>
              <w:t xml:space="preserve">边界安全能力服务</w:t>
            </w:r>
            <w:r/>
          </w:p>
        </w:tc>
        <w:tc>
          <w:tcPr>
            <w:tcW w:w="841" w:type="dxa"/>
            <w:vAlign w:val="center"/>
            <w:textDirection w:val="lrTb"/>
            <w:noWrap w:val="false"/>
          </w:tcPr>
          <w:p>
            <w:pPr>
              <w:pStyle w:val="1022"/>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1022"/>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1022"/>
              <w:jc w:val="center"/>
              <w:rPr>
                <w:rFonts w:hint="eastAsia" w:eastAsia="宋体"/>
                <w:highlight w:val="none"/>
                <w:lang w:val="en-US" w:eastAsia="zh-CN"/>
              </w:rPr>
            </w:pPr>
            <w:r>
              <w:rPr>
                <w:rFonts w:hint="eastAsia"/>
                <w:highlight w:val="none"/>
                <w:lang w:val="en-US" w:eastAsia="zh-CN"/>
              </w:rPr>
              <w:t xml:space="preserve">504</w:t>
            </w:r>
            <w:r>
              <w:rPr>
                <w:rFonts w:hint="eastAsia"/>
                <w:highlight w:val="none"/>
              </w:rPr>
              <w:t xml:space="preserve">33</w:t>
            </w:r>
            <w:r>
              <w:rPr>
                <w:rFonts w:hint="eastAsia"/>
                <w:highlight w:val="none"/>
                <w:lang w:val="en-US" w:eastAsia="zh-CN"/>
              </w:rPr>
              <w:t xml:space="preserve">4</w:t>
            </w:r>
            <w:r/>
          </w:p>
        </w:tc>
        <w:tc>
          <w:tcPr>
            <w:tcW w:w="1050" w:type="dxa"/>
            <w:vAlign w:val="center"/>
            <w:textDirection w:val="lrTb"/>
            <w:noWrap w:val="false"/>
          </w:tcPr>
          <w:p>
            <w:pPr>
              <w:pStyle w:val="1022"/>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1022"/>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1022"/>
              <w:ind w:left="225"/>
              <w:rPr>
                <w:rFonts w:hint="eastAsia"/>
                <w:highlight w:val="none"/>
              </w:rPr>
            </w:pPr>
            <w:r>
              <w:rPr>
                <w:spacing w:val="-3"/>
                <w:highlight w:val="none"/>
              </w:rPr>
              <w:t xml:space="preserve">服务*</w:t>
            </w:r>
            <w:r/>
          </w:p>
        </w:tc>
      </w:tr>
      <w:tr>
        <w:trPr>
          <w:jc w:val="center"/>
          <w:trHeight w:val="614"/>
        </w:trPr>
        <w:tc>
          <w:tcPr>
            <w:tcW w:w="742" w:type="dxa"/>
            <w:vAlign w:val="center"/>
            <w:textDirection w:val="lrTb"/>
            <w:noWrap w:val="false"/>
          </w:tcPr>
          <w:p>
            <w:pPr>
              <w:pStyle w:val="1022"/>
              <w:ind w:left="312"/>
              <w:jc w:val="center"/>
              <w:rPr>
                <w:rFonts w:hint="eastAsia"/>
                <w:highlight w:val="none"/>
                <w:lang w:eastAsia="zh-CN"/>
              </w:rPr>
            </w:pPr>
            <w:r>
              <w:rPr>
                <w:rFonts w:hint="eastAsia"/>
                <w:highlight w:val="none"/>
                <w:lang w:eastAsia="zh-CN"/>
              </w:rPr>
              <w:t xml:space="preserve">3</w:t>
            </w:r>
            <w:r/>
          </w:p>
        </w:tc>
        <w:tc>
          <w:tcPr>
            <w:tcW w:w="1437" w:type="dxa"/>
            <w:vAlign w:val="center"/>
            <w:textDirection w:val="lrTb"/>
            <w:noWrap w:val="false"/>
          </w:tcPr>
          <w:p>
            <w:pPr>
              <w:pStyle w:val="1022"/>
              <w:ind w:right="154"/>
              <w:jc w:val="center"/>
              <w:rPr>
                <w:rFonts w:ascii="Times New Roman" w:hAnsi="Times New Roman" w:eastAsia="仿宋" w:cs="Times New Roman"/>
                <w:color w:val="auto"/>
                <w:highlight w:val="none"/>
                <w:lang w:eastAsia="zh-CN" w:bidi="ar"/>
              </w:rPr>
            </w:pPr>
            <w:r>
              <w:rPr>
                <w:rFonts w:hint="eastAsia" w:ascii="Times New Roman" w:hAnsi="Times New Roman" w:eastAsia="仿宋" w:cs="Times New Roman"/>
                <w:color w:val="auto"/>
                <w:highlight w:val="none"/>
                <w:lang w:eastAsia="zh-CN" w:bidi="ar"/>
              </w:rPr>
              <w:t xml:space="preserve">核心应用能力服务</w:t>
            </w:r>
            <w:r/>
          </w:p>
        </w:tc>
        <w:tc>
          <w:tcPr>
            <w:tcW w:w="841" w:type="dxa"/>
            <w:vAlign w:val="center"/>
            <w:textDirection w:val="lrTb"/>
            <w:noWrap w:val="false"/>
          </w:tcPr>
          <w:p>
            <w:pPr>
              <w:pStyle w:val="1022"/>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1022"/>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1022"/>
              <w:jc w:val="center"/>
              <w:rPr>
                <w:rFonts w:hint="eastAsia"/>
                <w:highlight w:val="none"/>
              </w:rPr>
            </w:pPr>
            <w:r>
              <w:rPr>
                <w:rFonts w:hint="eastAsia"/>
                <w:highlight w:val="none"/>
                <w:lang w:val="en-US" w:eastAsia="zh-CN"/>
              </w:rPr>
              <w:t xml:space="preserve">9</w:t>
            </w:r>
            <w:r>
              <w:rPr>
                <w:rFonts w:hint="eastAsia"/>
                <w:highlight w:val="none"/>
              </w:rPr>
              <w:t xml:space="preserve">5000</w:t>
            </w:r>
            <w:r/>
          </w:p>
        </w:tc>
        <w:tc>
          <w:tcPr>
            <w:tcW w:w="1050" w:type="dxa"/>
            <w:vAlign w:val="center"/>
            <w:textDirection w:val="lrTb"/>
            <w:noWrap w:val="false"/>
          </w:tcPr>
          <w:p>
            <w:pPr>
              <w:pStyle w:val="1022"/>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1022"/>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1022"/>
              <w:ind w:left="225"/>
              <w:rPr>
                <w:rFonts w:hint="eastAsia"/>
                <w:highlight w:val="none"/>
              </w:rPr>
            </w:pPr>
            <w:r>
              <w:rPr>
                <w:spacing w:val="-3"/>
                <w:highlight w:val="none"/>
              </w:rPr>
              <w:t xml:space="preserve">服务*</w:t>
            </w:r>
            <w:r/>
          </w:p>
        </w:tc>
      </w:tr>
      <w:tr>
        <w:trPr>
          <w:jc w:val="center"/>
          <w:trHeight w:val="949"/>
        </w:trPr>
        <w:tc>
          <w:tcPr>
            <w:tcW w:w="742" w:type="dxa"/>
            <w:vAlign w:val="center"/>
            <w:textDirection w:val="lrTb"/>
            <w:noWrap w:val="false"/>
          </w:tcPr>
          <w:p>
            <w:pPr>
              <w:pStyle w:val="1022"/>
              <w:ind w:left="312"/>
              <w:jc w:val="center"/>
              <w:rPr>
                <w:rFonts w:hint="eastAsia"/>
                <w:highlight w:val="none"/>
                <w:lang w:eastAsia="zh-CN"/>
              </w:rPr>
            </w:pPr>
            <w:r>
              <w:rPr>
                <w:rFonts w:hint="eastAsia"/>
                <w:highlight w:val="none"/>
                <w:lang w:eastAsia="zh-CN"/>
              </w:rPr>
              <w:t xml:space="preserve">4</w:t>
            </w:r>
            <w:r/>
          </w:p>
        </w:tc>
        <w:tc>
          <w:tcPr>
            <w:tcW w:w="1437" w:type="dxa"/>
            <w:vAlign w:val="center"/>
            <w:textDirection w:val="lrTb"/>
            <w:noWrap w:val="false"/>
          </w:tcPr>
          <w:p>
            <w:pPr>
              <w:pStyle w:val="1022"/>
              <w:ind w:right="154"/>
              <w:jc w:val="center"/>
              <w:rPr>
                <w:rFonts w:ascii="Times New Roman" w:hAnsi="Times New Roman" w:eastAsia="仿宋" w:cs="Times New Roman"/>
                <w:color w:val="auto"/>
                <w:highlight w:val="none"/>
                <w:lang w:eastAsia="zh-CN" w:bidi="ar"/>
              </w:rPr>
            </w:pPr>
            <w:r>
              <w:rPr>
                <w:rFonts w:hint="eastAsia" w:ascii="Times New Roman" w:hAnsi="Times New Roman" w:eastAsia="仿宋" w:cs="Times New Roman"/>
                <w:color w:val="auto"/>
                <w:highlight w:val="none"/>
                <w:lang w:eastAsia="zh-CN" w:bidi="ar"/>
              </w:rPr>
              <w:t xml:space="preserve">预留专网并网能力服务</w:t>
            </w:r>
            <w:r/>
          </w:p>
        </w:tc>
        <w:tc>
          <w:tcPr>
            <w:tcW w:w="841" w:type="dxa"/>
            <w:vAlign w:val="center"/>
            <w:textDirection w:val="lrTb"/>
            <w:noWrap w:val="false"/>
          </w:tcPr>
          <w:p>
            <w:pPr>
              <w:pStyle w:val="1022"/>
              <w:jc w:val="center"/>
              <w:rPr>
                <w:rFonts w:hint="eastAsia"/>
                <w:highlight w:val="none"/>
                <w:lang w:eastAsia="zh-CN"/>
              </w:rPr>
            </w:pPr>
            <w:r>
              <w:rPr>
                <w:rFonts w:hint="eastAsia"/>
                <w:highlight w:val="none"/>
                <w:lang w:val="en-US" w:eastAsia="zh-CN"/>
              </w:rPr>
              <w:t xml:space="preserve">3</w:t>
            </w:r>
            <w:r/>
          </w:p>
        </w:tc>
        <w:tc>
          <w:tcPr>
            <w:tcW w:w="834" w:type="dxa"/>
            <w:vAlign w:val="center"/>
            <w:textDirection w:val="lrTb"/>
            <w:noWrap w:val="false"/>
          </w:tcPr>
          <w:p>
            <w:pPr>
              <w:pStyle w:val="1022"/>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1022"/>
              <w:jc w:val="center"/>
              <w:rPr>
                <w:rFonts w:hint="eastAsia"/>
                <w:highlight w:val="none"/>
              </w:rPr>
            </w:pPr>
            <w:r>
              <w:rPr>
                <w:rFonts w:hint="eastAsia"/>
                <w:highlight w:val="none"/>
              </w:rPr>
              <w:t xml:space="preserve">6666</w:t>
            </w:r>
            <w:r/>
          </w:p>
        </w:tc>
        <w:tc>
          <w:tcPr>
            <w:tcW w:w="1050" w:type="dxa"/>
            <w:vAlign w:val="center"/>
            <w:textDirection w:val="lrTb"/>
            <w:noWrap w:val="false"/>
          </w:tcPr>
          <w:p>
            <w:pPr>
              <w:pStyle w:val="1022"/>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1022"/>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1022"/>
              <w:ind w:left="225"/>
              <w:rPr>
                <w:rFonts w:hint="eastAsia"/>
                <w:highlight w:val="none"/>
              </w:rPr>
            </w:pPr>
            <w:r>
              <w:rPr>
                <w:spacing w:val="-3"/>
                <w:highlight w:val="none"/>
              </w:rPr>
              <w:t xml:space="preserve">服务*</w:t>
            </w:r>
            <w:r/>
          </w:p>
        </w:tc>
      </w:tr>
      <w:tr>
        <w:trPr>
          <w:jc w:val="center"/>
          <w:trHeight w:val="494"/>
        </w:trPr>
        <w:tc>
          <w:tcPr>
            <w:tcW w:w="742" w:type="dxa"/>
            <w:vAlign w:val="center"/>
            <w:textDirection w:val="lrTb"/>
            <w:noWrap w:val="false"/>
          </w:tcPr>
          <w:p>
            <w:pPr>
              <w:pStyle w:val="1022"/>
              <w:ind w:left="310"/>
              <w:jc w:val="center"/>
              <w:rPr>
                <w:rFonts w:hint="eastAsia"/>
                <w:highlight w:val="none"/>
                <w:lang w:eastAsia="zh-CN"/>
              </w:rPr>
            </w:pPr>
            <w:r>
              <w:rPr>
                <w:rFonts w:hint="eastAsia"/>
                <w:highlight w:val="none"/>
                <w:lang w:eastAsia="zh-CN"/>
              </w:rPr>
              <w:t xml:space="preserve">5</w:t>
            </w:r>
            <w:r/>
          </w:p>
        </w:tc>
        <w:tc>
          <w:tcPr>
            <w:tcW w:w="1437" w:type="dxa"/>
            <w:vAlign w:val="center"/>
            <w:textDirection w:val="lrTb"/>
            <w:noWrap w:val="false"/>
          </w:tcPr>
          <w:p>
            <w:pPr>
              <w:pStyle w:val="1022"/>
              <w:ind w:right="215"/>
              <w:jc w:val="center"/>
              <w:rPr>
                <w:rFonts w:hint="eastAsia"/>
                <w:highlight w:val="none"/>
              </w:rPr>
            </w:pPr>
            <w:r>
              <w:rPr>
                <w:rFonts w:hint="eastAsia" w:ascii="Times New Roman" w:hAnsi="Times New Roman" w:eastAsia="仿宋" w:cs="Times New Roman"/>
                <w:color w:val="auto"/>
                <w:highlight w:val="none"/>
                <w:lang w:val="en-US" w:eastAsia="zh-CN" w:bidi="ar"/>
              </w:rPr>
              <w:t xml:space="preserve">运维保障</w:t>
            </w:r>
            <w:r>
              <w:rPr>
                <w:rFonts w:hint="eastAsia" w:ascii="Times New Roman" w:hAnsi="Times New Roman" w:eastAsia="仿宋" w:cs="Times New Roman"/>
                <w:color w:val="auto"/>
                <w:highlight w:val="none"/>
                <w:lang w:eastAsia="zh-CN" w:bidi="ar"/>
              </w:rPr>
              <w:t xml:space="preserve">服务</w:t>
            </w:r>
            <w:r/>
          </w:p>
        </w:tc>
        <w:tc>
          <w:tcPr>
            <w:tcW w:w="841" w:type="dxa"/>
            <w:vAlign w:val="center"/>
            <w:textDirection w:val="lrTb"/>
            <w:noWrap w:val="false"/>
          </w:tcPr>
          <w:p>
            <w:pPr>
              <w:pStyle w:val="1022"/>
              <w:jc w:val="center"/>
              <w:rPr>
                <w:rFonts w:hint="eastAsia"/>
                <w:highlight w:val="none"/>
                <w:lang w:eastAsia="zh-CN"/>
              </w:rPr>
            </w:pPr>
            <w:r>
              <w:rPr>
                <w:rFonts w:hint="eastAsia"/>
                <w:highlight w:val="none"/>
                <w:lang w:val="en-US" w:eastAsia="zh-CN"/>
              </w:rPr>
              <w:t xml:space="preserve">2</w:t>
            </w:r>
            <w:r/>
          </w:p>
        </w:tc>
        <w:tc>
          <w:tcPr>
            <w:tcW w:w="834" w:type="dxa"/>
            <w:vAlign w:val="center"/>
            <w:textDirection w:val="lrTb"/>
            <w:noWrap w:val="false"/>
          </w:tcPr>
          <w:p>
            <w:pPr>
              <w:pStyle w:val="1022"/>
              <w:jc w:val="center"/>
              <w:rPr>
                <w:rFonts w:hint="eastAsia"/>
                <w:highlight w:val="none"/>
                <w:lang w:eastAsia="zh-CN"/>
              </w:rPr>
            </w:pPr>
            <w:r>
              <w:rPr>
                <w:rFonts w:hint="eastAsia"/>
                <w:highlight w:val="none"/>
                <w:lang w:eastAsia="zh-CN"/>
              </w:rPr>
              <w:t xml:space="preserve">套</w:t>
            </w:r>
            <w:r>
              <w:rPr>
                <w:rFonts w:hint="eastAsia"/>
                <w:highlight w:val="none"/>
                <w:lang w:val="en-US" w:eastAsia="zh-CN"/>
              </w:rPr>
              <w:t xml:space="preserve">年</w:t>
            </w:r>
            <w:r/>
          </w:p>
        </w:tc>
        <w:tc>
          <w:tcPr>
            <w:tcW w:w="1350" w:type="dxa"/>
            <w:vAlign w:val="center"/>
            <w:textDirection w:val="lrTb"/>
            <w:noWrap w:val="false"/>
          </w:tcPr>
          <w:p>
            <w:pPr>
              <w:pStyle w:val="1022"/>
              <w:jc w:val="center"/>
              <w:rPr>
                <w:rFonts w:hint="eastAsia"/>
                <w:highlight w:val="none"/>
              </w:rPr>
            </w:pPr>
            <w:r>
              <w:rPr>
                <w:rFonts w:hint="eastAsia"/>
                <w:highlight w:val="none"/>
              </w:rPr>
              <w:t xml:space="preserve">200000</w:t>
            </w:r>
            <w:r/>
          </w:p>
        </w:tc>
        <w:tc>
          <w:tcPr>
            <w:tcW w:w="1050" w:type="dxa"/>
            <w:vAlign w:val="center"/>
            <w:textDirection w:val="lrTb"/>
            <w:noWrap w:val="false"/>
          </w:tcPr>
          <w:p>
            <w:pPr>
              <w:pStyle w:val="1022"/>
              <w:ind w:left="408"/>
              <w:jc w:val="both"/>
              <w:rPr>
                <w:rFonts w:hint="eastAsia"/>
                <w:highlight w:val="none"/>
              </w:rPr>
            </w:pPr>
            <w:r>
              <w:rPr>
                <w:highlight w:val="none"/>
              </w:rPr>
              <w:t xml:space="preserve">否</w:t>
            </w:r>
            <w:r/>
          </w:p>
        </w:tc>
        <w:tc>
          <w:tcPr>
            <w:tcW w:w="1116" w:type="dxa"/>
            <w:vAlign w:val="center"/>
            <w:textDirection w:val="lrTb"/>
            <w:noWrap w:val="false"/>
          </w:tcPr>
          <w:p>
            <w:pPr>
              <w:jc w:val="center"/>
              <w:rPr>
                <w:highlight w:val="none"/>
              </w:rPr>
            </w:pPr>
            <w:r>
              <w:rPr>
                <w:highlight w:val="none"/>
              </w:rPr>
            </w:r>
            <w:r/>
          </w:p>
        </w:tc>
        <w:tc>
          <w:tcPr>
            <w:tcW w:w="1109" w:type="dxa"/>
            <w:vAlign w:val="center"/>
            <w:textDirection w:val="lrTb"/>
            <w:noWrap w:val="false"/>
          </w:tcPr>
          <w:p>
            <w:pPr>
              <w:pStyle w:val="1022"/>
              <w:ind w:left="167"/>
              <w:rPr>
                <w:rFonts w:hint="eastAsia"/>
                <w:highlight w:val="none"/>
                <w:lang w:eastAsia="zh-CN"/>
              </w:rPr>
            </w:pPr>
            <w:r>
              <w:rPr>
                <w:spacing w:val="-3"/>
                <w:highlight w:val="none"/>
                <w:lang w:eastAsia="zh-CN"/>
              </w:rPr>
              <w:t xml:space="preserve">软件和</w:t>
            </w:r>
            <w:r>
              <w:rPr>
                <w:spacing w:val="-2"/>
                <w:highlight w:val="none"/>
                <w:lang w:eastAsia="zh-CN"/>
              </w:rPr>
              <w:t xml:space="preserve">信息技</w:t>
            </w:r>
            <w:r>
              <w:rPr>
                <w:spacing w:val="-3"/>
                <w:highlight w:val="none"/>
                <w:lang w:eastAsia="zh-CN"/>
              </w:rPr>
              <w:t xml:space="preserve">术服务</w:t>
            </w:r>
            <w:r>
              <w:rPr>
                <w:highlight w:val="none"/>
                <w:lang w:eastAsia="zh-CN"/>
              </w:rPr>
              <w:t xml:space="preserve">业</w:t>
            </w:r>
            <w:r/>
          </w:p>
        </w:tc>
        <w:tc>
          <w:tcPr>
            <w:tcW w:w="862" w:type="dxa"/>
            <w:vAlign w:val="center"/>
            <w:textDirection w:val="lrTb"/>
            <w:noWrap w:val="false"/>
          </w:tcPr>
          <w:p>
            <w:pPr>
              <w:pStyle w:val="1022"/>
              <w:ind w:left="225"/>
              <w:rPr>
                <w:rFonts w:hint="eastAsia"/>
                <w:highlight w:val="none"/>
              </w:rPr>
            </w:pPr>
            <w:r>
              <w:rPr>
                <w:spacing w:val="-3"/>
                <w:highlight w:val="none"/>
              </w:rPr>
              <w:t xml:space="preserve">服务*</w:t>
            </w:r>
            <w:r/>
          </w:p>
        </w:tc>
      </w:tr>
    </w:tbl>
    <w:p>
      <w:pPr>
        <w:rPr>
          <w:rFonts w:hint="eastAsia"/>
          <w:highlight w:val="none"/>
          <w:lang w:eastAsia="zh-CN"/>
        </w:rPr>
      </w:pPr>
      <w:r>
        <w:rPr>
          <w:rFonts w:hint="eastAsia"/>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22" w:name="_Toc120614281"/>
      <w:r>
        <w:rPr>
          <w:rFonts w:hint="eastAsia" w:ascii="宋体" w:hAnsi="宋体" w:eastAsia="宋体" w:cs="宋体"/>
          <w:bCs/>
          <w:color w:val="000000"/>
          <w:sz w:val="24"/>
          <w:szCs w:val="24"/>
          <w:highlight w:val="none"/>
        </w:rPr>
        <w:t xml:space="preserve">（一）技术要求</w:t>
      </w:r>
      <w:r/>
    </w:p>
    <w:p>
      <w:pPr>
        <w:pStyle w:val="716"/>
        <w:rPr>
          <w:rFonts w:hint="eastAsia"/>
          <w:highlight w:val="none"/>
          <w:lang w:eastAsia="zh-CN"/>
        </w:rPr>
      </w:pPr>
      <w:r>
        <w:rPr>
          <w:rFonts w:hint="eastAsia"/>
          <w:highlight w:val="none"/>
          <w:lang w:val="en-US" w:eastAsia="zh-CN"/>
        </w:rPr>
        <w:t xml:space="preserve">4.</w:t>
      </w:r>
      <w:r>
        <w:rPr>
          <w:highlight w:val="none"/>
          <w:lang w:eastAsia="zh-CN"/>
        </w:rPr>
        <w:t xml:space="preserve">1 </w:t>
      </w:r>
      <w:r>
        <w:rPr>
          <w:rFonts w:hint="eastAsia"/>
          <w:highlight w:val="none"/>
          <w:lang w:eastAsia="zh-CN"/>
        </w:rPr>
        <w:t xml:space="preserve">骨干网基础能力服务</w:t>
      </w:r>
      <w:r/>
    </w:p>
    <w:p>
      <w:pPr>
        <w:ind w:left="7" w:firstLine="419"/>
        <w:jc w:val="both"/>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二平面骨干网通过部署核心层路由器、核心层交换机、汇聚层交换机、汇聚层防火墙构成，具体配置如下：</w:t>
      </w:r>
      <w:r/>
    </w:p>
    <w:p>
      <w:pPr>
        <w:pStyle w:val="717"/>
        <w:rPr>
          <w:rFonts w:hint="eastAsia"/>
          <w:highlight w:val="none"/>
          <w:lang w:eastAsia="zh-CN"/>
        </w:rPr>
      </w:pPr>
      <w:r>
        <w:rPr>
          <w:rFonts w:hint="eastAsia"/>
          <w:highlight w:val="none"/>
          <w:lang w:val="en-US" w:eastAsia="zh-CN"/>
        </w:rPr>
        <w:t xml:space="preserve">4.1</w:t>
      </w:r>
      <w:r>
        <w:rPr>
          <w:rFonts w:hint="eastAsia"/>
          <w:highlight w:val="none"/>
          <w:lang w:eastAsia="zh-CN"/>
        </w:rPr>
        <w:t xml:space="preserve">.1</w:t>
      </w:r>
      <w:r>
        <w:rPr>
          <w:highlight w:val="none"/>
          <w:lang w:eastAsia="zh-CN"/>
        </w:rPr>
        <w:t xml:space="preserve"> </w:t>
      </w:r>
      <w:r>
        <w:rPr>
          <w:rFonts w:hint="eastAsia"/>
          <w:highlight w:val="none"/>
          <w:lang w:eastAsia="zh-CN"/>
        </w:rPr>
        <w:t xml:space="preserve">骨干网基础能力服务-</w:t>
      </w:r>
      <w:r>
        <w:rPr>
          <w:rFonts w:hint="eastAsia"/>
          <w:highlight w:val="none"/>
          <w:lang w:val="en-US" w:eastAsia="zh-CN"/>
        </w:rPr>
        <w:t xml:space="preserve">2台</w:t>
      </w:r>
      <w:r>
        <w:rPr>
          <w:highlight w:val="none"/>
          <w:lang w:eastAsia="zh-CN"/>
        </w:rPr>
        <w:t xml:space="preserve">核心</w:t>
      </w:r>
      <w:r>
        <w:rPr>
          <w:rFonts w:hint="eastAsia"/>
          <w:highlight w:val="none"/>
          <w:lang w:eastAsia="zh-CN"/>
        </w:rPr>
        <w:t xml:space="preserve">路由器</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配置要求：交换容量≥</w:t>
            </w:r>
            <w:r>
              <w:rPr>
                <w:rFonts w:hint="eastAsia" w:ascii="Times New Roman" w:hAnsi="Times New Roman" w:eastAsia="仿宋" w:cs="Times New Roman"/>
                <w:color w:val="auto"/>
                <w:highlight w:val="none"/>
                <w:lang w:val="en-US" w:eastAsia="zh-CN"/>
              </w:rPr>
              <w:t xml:space="preserve">4</w:t>
            </w:r>
            <w:r>
              <w:rPr>
                <w:rFonts w:ascii="Times New Roman" w:hAnsi="Times New Roman" w:eastAsia="仿宋" w:cs="Times New Roman"/>
                <w:color w:val="auto"/>
                <w:highlight w:val="none"/>
                <w:lang w:eastAsia="zh-CN"/>
              </w:rPr>
              <w:t xml:space="preserve">00Tbps，转发性能≥</w:t>
            </w:r>
            <w:r>
              <w:rPr>
                <w:rFonts w:hint="eastAsia" w:ascii="Times New Roman" w:hAnsi="Times New Roman" w:eastAsia="仿宋" w:cs="Times New Roman"/>
                <w:color w:val="auto"/>
                <w:highlight w:val="none"/>
                <w:lang w:val="en-US" w:eastAsia="zh-CN"/>
              </w:rPr>
              <w:t xml:space="preserve">100</w:t>
            </w:r>
            <w:r>
              <w:rPr>
                <w:rFonts w:ascii="Times New Roman" w:hAnsi="Times New Roman" w:eastAsia="仿宋" w:cs="Times New Roman"/>
                <w:color w:val="auto"/>
                <w:highlight w:val="none"/>
                <w:lang w:eastAsia="zh-CN"/>
              </w:rPr>
              <w:t xml:space="preserve">000Mpp</w:t>
            </w:r>
            <w:r>
              <w:rPr>
                <w:rFonts w:ascii="Times New Roman" w:hAnsi="Times New Roman" w:eastAsia="仿宋" w:cs="Times New Roman"/>
                <w:color w:val="auto"/>
                <w:highlight w:val="none"/>
                <w:lang w:eastAsia="zh-CN"/>
              </w:rPr>
              <w:t xml:space="preserve">s。</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b w:val="0"/>
                <w:bCs w:val="0"/>
                <w:color w:val="auto"/>
                <w:highlight w:val="none"/>
                <w:lang w:val="en-US" w:eastAsia="zh-CN"/>
              </w:rPr>
              <w:t xml:space="preserve">实配双主控，冗余电源，</w:t>
            </w:r>
            <w:r>
              <w:rPr>
                <w:rFonts w:ascii="Times New Roman" w:hAnsi="Times New Roman" w:eastAsia="仿宋" w:cs="Times New Roman"/>
                <w:color w:val="auto"/>
                <w:highlight w:val="none"/>
                <w:lang w:eastAsia="zh-CN"/>
              </w:rPr>
              <w:t xml:space="preserve">40GE接口数量≥2个、10GE接口数量≥20个、GE接口数量≥10个，实配本项目所需光</w:t>
            </w:r>
            <w:r>
              <w:rPr>
                <w:rFonts w:hint="eastAsia" w:ascii="Times New Roman" w:hAnsi="Times New Roman" w:eastAsia="仿宋" w:cs="Times New Roman"/>
                <w:color w:val="auto"/>
                <w:highlight w:val="none"/>
                <w:lang w:val="en-US" w:eastAsia="zh-CN"/>
              </w:rPr>
              <w:t xml:space="preserve">/电</w:t>
            </w:r>
            <w:r>
              <w:rPr>
                <w:rFonts w:ascii="Times New Roman" w:hAnsi="Times New Roman" w:eastAsia="仿宋" w:cs="Times New Roman"/>
                <w:color w:val="auto"/>
                <w:highlight w:val="none"/>
                <w:lang w:eastAsia="zh-CN"/>
              </w:rPr>
              <w:t xml:space="preserve">模块。</w:t>
            </w:r>
            <w:r>
              <w:rPr>
                <w:rFonts w:hint="eastAsia" w:ascii="Times New Roman" w:hAnsi="Times New Roman" w:eastAsia="仿宋" w:cs="Times New Roman"/>
                <w:color w:val="auto"/>
                <w:highlight w:val="none"/>
                <w:lang w:val="en-US" w:eastAsia="zh-CN"/>
              </w:rPr>
              <w:t xml:space="preserve">支持子母卡架构</w:t>
            </w:r>
            <w:r>
              <w:rPr>
                <w:rFonts w:ascii="Times New Roman" w:hAnsi="Times New Roman" w:eastAsia="仿宋" w:cs="Times New Roman"/>
                <w:color w:val="auto"/>
                <w:highlight w:val="none"/>
                <w:lang w:eastAsia="zh-CN"/>
              </w:rPr>
              <w:t xml:space="preserve">。</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功能要求：实配RSVP-TE、MPLS-TE、VxLAN、L3VPN、EVPN、网络切片、Telemetry、随流检测等功能。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SDN：支持SDN相关协议，包括NETCONF、SNMP、SSH、Telemetry、PCEP、BGP-LS等。</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IPv6+能力：支持动态下发EVPN IPv4 L3VPN功能。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路由功能：支持策略路由、路由策略和路由负荷分担，支持静态路由、RIPv1/v2、RIPng、OSPFv2、OSPFv3、IS-ISv4、IS-ISv6、BGP、BGP4+协议。</w:t>
            </w:r>
            <w:r/>
          </w:p>
          <w:p>
            <w:pPr>
              <w:pStyle w:val="1022"/>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服务要求：提供三年原厂硬件质保服务和软件升级服务。</w:t>
            </w:r>
            <w:bookmarkStart w:id="42" w:name="_GoBack"/>
            <w:r/>
            <w:bookmarkEnd w:id="42"/>
            <w:r/>
            <w:r/>
          </w:p>
          <w:p>
            <w:pPr>
              <w:pStyle w:val="1022"/>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二层特性：支持IEEE 802.1q、IEEE 802.1p、IEEE 802.3ad和IEEE 802.1ab等协议；支持STP、RSTP、MSTP和VLAN；支持MPLS/BGP VPN。</w:t>
            </w:r>
            <w:r/>
          </w:p>
        </w:tc>
      </w:tr>
      <w:tr>
        <w:trPr>
          <w:trHeight w:val="326"/>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1022"/>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1022"/>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pStyle w:val="717"/>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4.1.2 骨干网基础能力服务-2台核心交换机</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配置要求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lang w:eastAsia="zh-CN"/>
              </w:rPr>
              <w:t xml:space="preserve">交换容量</w:t>
            </w:r>
            <w:r>
              <w:rPr>
                <w:rFonts w:hint="eastAsia" w:ascii="Times New Roman" w:hAnsi="Times New Roman" w:eastAsia="仿宋" w:cs="Times New Roman"/>
                <w:color w:val="auto"/>
                <w:highlight w:val="none"/>
                <w:lang w:eastAsia="zh-CN"/>
              </w:rPr>
              <w:t xml:space="preserve">≥600</w:t>
            </w:r>
            <w:r>
              <w:rPr>
                <w:rFonts w:ascii="Times New Roman" w:hAnsi="Times New Roman" w:eastAsia="仿宋" w:cs="Times New Roman"/>
                <w:color w:val="auto"/>
                <w:highlight w:val="none"/>
                <w:lang w:eastAsia="zh-CN"/>
              </w:rPr>
              <w:t xml:space="preserve">Tbps，转发性能</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15</w:t>
            </w:r>
            <w:r>
              <w:rPr>
                <w:rFonts w:hint="eastAsia" w:ascii="Times New Roman" w:hAnsi="Times New Roman" w:eastAsia="仿宋" w:cs="Times New Roman"/>
                <w:color w:val="auto"/>
                <w:highlight w:val="none"/>
                <w:lang w:eastAsia="zh-CN"/>
              </w:rPr>
              <w:t xml:space="preserve">0</w:t>
            </w:r>
            <w:r>
              <w:rPr>
                <w:rFonts w:ascii="Times New Roman" w:hAnsi="Times New Roman" w:eastAsia="仿宋" w:cs="Times New Roman"/>
                <w:color w:val="auto"/>
                <w:highlight w:val="none"/>
                <w:lang w:eastAsia="zh-CN"/>
              </w:rPr>
              <w:t xml:space="preserve">000Mpps</w:t>
            </w:r>
            <w:r>
              <w:rPr>
                <w:rFonts w:hint="eastAsia" w:ascii="Times New Roman" w:hAnsi="Times New Roman" w:eastAsia="仿宋" w:cs="Times New Roman"/>
                <w:color w:val="auto"/>
                <w:highlight w:val="none"/>
                <w:lang w:eastAsia="zh-CN"/>
              </w:rPr>
              <w:t xml:space="preserve">。</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实配双主控，冗余电源；</w:t>
            </w:r>
            <w:r>
              <w:rPr>
                <w:rFonts w:hint="eastAsia" w:ascii="Times New Roman" w:hAnsi="Times New Roman" w:eastAsia="仿宋" w:cs="Times New Roman"/>
                <w:color w:val="auto"/>
                <w:sz w:val="22"/>
                <w:szCs w:val="22"/>
                <w:highlight w:val="none"/>
                <w:lang w:bidi="ar"/>
              </w:rPr>
              <w:t xml:space="preserve">10GE </w:t>
            </w:r>
            <w:r>
              <w:rPr>
                <w:rFonts w:hint="eastAsia" w:ascii="Times New Roman" w:hAnsi="Times New Roman" w:eastAsia="仿宋" w:cs="Times New Roman"/>
                <w:color w:val="auto"/>
                <w:sz w:val="22"/>
                <w:szCs w:val="22"/>
                <w:highlight w:val="none"/>
                <w:lang w:val="en-US" w:eastAsia="zh-CN" w:bidi="ar"/>
              </w:rPr>
              <w:t xml:space="preserve">/1GE自适应</w:t>
            </w:r>
            <w:r>
              <w:rPr>
                <w:rFonts w:hint="eastAsia" w:ascii="Times New Roman" w:hAnsi="Times New Roman" w:eastAsia="仿宋" w:cs="Times New Roman"/>
                <w:color w:val="auto"/>
                <w:sz w:val="22"/>
                <w:szCs w:val="22"/>
                <w:highlight w:val="none"/>
                <w:lang w:bidi="ar"/>
              </w:rPr>
              <w:t xml:space="preserve">光接口</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bidi="ar"/>
              </w:rPr>
              <w:t xml:space="preserve"> </w:t>
            </w:r>
            <w:r>
              <w:rPr>
                <w:rFonts w:hint="eastAsia" w:ascii="Times New Roman" w:hAnsi="Times New Roman" w:eastAsia="仿宋" w:cs="Times New Roman"/>
                <w:color w:val="auto"/>
                <w:sz w:val="22"/>
                <w:szCs w:val="22"/>
                <w:highlight w:val="none"/>
                <w:lang w:val="en-US" w:eastAsia="zh-CN" w:bidi="ar"/>
              </w:rPr>
              <w:t xml:space="preserve">48</w:t>
            </w:r>
            <w:r>
              <w:rPr>
                <w:rFonts w:hint="eastAsia" w:ascii="Times New Roman" w:hAnsi="Times New Roman" w:eastAsia="仿宋" w:cs="Times New Roman"/>
                <w:color w:val="auto"/>
                <w:sz w:val="22"/>
                <w:szCs w:val="22"/>
                <w:highlight w:val="none"/>
                <w:lang w:bidi="ar"/>
              </w:rPr>
              <w:t xml:space="preserve">个，</w:t>
            </w:r>
            <w:r>
              <w:rPr>
                <w:rFonts w:hint="eastAsia" w:ascii="Times New Roman" w:hAnsi="Times New Roman" w:eastAsia="仿宋" w:cs="Times New Roman"/>
                <w:color w:val="auto"/>
                <w:sz w:val="22"/>
                <w:szCs w:val="22"/>
                <w:highlight w:val="none"/>
                <w:lang w:val="en-US" w:eastAsia="zh-CN" w:bidi="ar"/>
              </w:rPr>
              <w:t xml:space="preserve">其中</w:t>
            </w:r>
            <w:r>
              <w:rPr>
                <w:rFonts w:hint="eastAsia" w:ascii="Times New Roman" w:hAnsi="Times New Roman" w:eastAsia="仿宋" w:cs="Times New Roman"/>
                <w:color w:val="auto"/>
                <w:sz w:val="22"/>
                <w:szCs w:val="22"/>
                <w:highlight w:val="none"/>
                <w:lang w:bidi="ar"/>
              </w:rPr>
              <w:t xml:space="preserve">万兆单模光模</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val="en-US" w:eastAsia="zh-CN" w:bidi="ar"/>
              </w:rPr>
              <w:t xml:space="preserve">24</w:t>
            </w:r>
            <w:r>
              <w:rPr>
                <w:rFonts w:hint="eastAsia" w:ascii="Times New Roman" w:hAnsi="Times New Roman" w:eastAsia="仿宋" w:cs="Times New Roman"/>
                <w:color w:val="auto"/>
                <w:sz w:val="22"/>
                <w:szCs w:val="22"/>
                <w:highlight w:val="none"/>
                <w:lang w:bidi="ar"/>
              </w:rPr>
              <w:t xml:space="preserve">个，万兆多模模块</w:t>
            </w:r>
            <w:r>
              <w:rPr>
                <w:rFonts w:hint="eastAsia" w:ascii="Times New Roman" w:hAnsi="Times New Roman" w:eastAsia="仿宋" w:cs="Times New Roman"/>
                <w:color w:val="auto"/>
                <w:sz w:val="22"/>
                <w:szCs w:val="22"/>
                <w:highlight w:val="none"/>
                <w:lang w:eastAsia="zh-CN" w:bidi="ar"/>
              </w:rPr>
              <w:t xml:space="preserve">≥</w:t>
            </w:r>
            <w:r>
              <w:rPr>
                <w:rFonts w:hint="eastAsia" w:ascii="Times New Roman" w:hAnsi="Times New Roman" w:eastAsia="仿宋" w:cs="Times New Roman"/>
                <w:color w:val="auto"/>
                <w:sz w:val="22"/>
                <w:szCs w:val="22"/>
                <w:highlight w:val="none"/>
                <w:lang w:val="en-US" w:eastAsia="zh-CN" w:bidi="ar"/>
              </w:rPr>
              <w:t xml:space="preserve">24</w:t>
            </w:r>
            <w:r>
              <w:rPr>
                <w:rFonts w:hint="eastAsia" w:ascii="Times New Roman" w:hAnsi="Times New Roman" w:eastAsia="仿宋" w:cs="Times New Roman"/>
                <w:color w:val="auto"/>
                <w:sz w:val="22"/>
                <w:szCs w:val="22"/>
                <w:highlight w:val="none"/>
                <w:lang w:bidi="ar"/>
              </w:rPr>
              <w:t xml:space="preserve">个</w:t>
            </w:r>
            <w:r>
              <w:rPr>
                <w:rFonts w:hint="eastAsia" w:ascii="Times New Roman" w:hAnsi="Times New Roman" w:eastAsia="仿宋" w:cs="Times New Roman"/>
                <w:color w:val="auto"/>
                <w:sz w:val="22"/>
                <w:szCs w:val="22"/>
                <w:highlight w:val="none"/>
                <w:lang w:eastAsia="zh-CN" w:bidi="ar"/>
              </w:rPr>
              <w:t xml:space="preserve">。</w:t>
            </w:r>
            <w:r/>
          </w:p>
          <w:p>
            <w:pPr>
              <w:pStyle w:val="1022"/>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功能要求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实配L3VPN、IPV6等功能。</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硬件架构：</w:t>
            </w:r>
            <w:r>
              <w:rPr>
                <w:rFonts w:ascii="Times New Roman" w:hAnsi="Times New Roman" w:eastAsia="仿宋" w:cs="Times New Roman"/>
                <w:color w:val="auto"/>
                <w:highlight w:val="none"/>
                <w:lang w:eastAsia="zh-CN"/>
              </w:rPr>
              <w:t xml:space="preserve">整机支持接口卡槽位数</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8</w:t>
            </w:r>
            <w:r>
              <w:rPr>
                <w:rFonts w:ascii="Times New Roman" w:hAnsi="Times New Roman" w:eastAsia="仿宋" w:cs="Times New Roman"/>
                <w:color w:val="auto"/>
                <w:highlight w:val="none"/>
                <w:lang w:eastAsia="zh-CN"/>
              </w:rPr>
              <w:t xml:space="preserve">个</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独立主控板槽位≥2，独立交换网板槽位≥2</w:t>
            </w:r>
            <w:r>
              <w:rPr>
                <w:rFonts w:hint="eastAsia" w:ascii="Times New Roman" w:hAnsi="Times New Roman" w:eastAsia="仿宋" w:cs="Times New Roman"/>
                <w:color w:val="auto"/>
                <w:highlight w:val="none"/>
                <w:lang w:eastAsia="zh-CN"/>
              </w:rPr>
              <w:t xml:space="preserve">。</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路由功能</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支持策略路由、路由策略和路由负荷分担，支持静态路由、RIPv1/v2、RIPng、OSPFv2、OSPFv3、IS-ISv4、IS-ISv6、BGP、BGP4+路由协议</w:t>
            </w:r>
            <w:r>
              <w:rPr>
                <w:rFonts w:hint="eastAsia" w:ascii="Times New Roman" w:hAnsi="Times New Roman" w:eastAsia="仿宋" w:cs="Times New Roman"/>
                <w:color w:val="auto"/>
                <w:highlight w:val="none"/>
                <w:lang w:eastAsia="zh-CN"/>
              </w:rPr>
              <w:t xml:space="preserve">。</w:t>
            </w:r>
            <w:r/>
          </w:p>
          <w:p>
            <w:pPr>
              <w:pStyle w:val="1022"/>
              <w:ind w:left="114" w:right="146" w:firstLine="1"/>
              <w:jc w:val="both"/>
              <w:rPr>
                <w:rFonts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服务要求</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lang w:eastAsia="zh-CN"/>
              </w:rPr>
              <w:t xml:space="preserve">提供三年原厂硬件质保服务和软件升级服务。</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二层特性</w:t>
            </w:r>
            <w:r>
              <w:rPr>
                <w:rFonts w:hint="eastAsia" w:ascii="Times New Roman" w:hAnsi="Times New Roman" w:eastAsia="仿宋" w:cs="Times New Roman"/>
                <w:color w:val="auto"/>
                <w:highlight w:val="none"/>
                <w:lang w:eastAsia="zh-CN"/>
              </w:rPr>
              <w:t xml:space="preserve">：</w:t>
            </w:r>
            <w:r>
              <w:rPr>
                <w:rFonts w:ascii="Times New Roman" w:hAnsi="Times New Roman" w:eastAsia="仿宋" w:cs="Times New Roman"/>
                <w:color w:val="auto"/>
                <w:highlight w:val="none"/>
              </w:rPr>
              <w:t xml:space="preserve">支持IEEE 802.1q、IEEE 802.1p、IEEE 802.3ad和IEEE 802.1ab等协议；支持STP、RSTP、MSTP和VLAN；支持MPLS/BGP VPN。</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1022"/>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717"/>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4.1.3 骨干网基础能力服务-2台汇聚交换机</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90"/>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配置要求：交换容量≥300Tbps，转发性能≥50000Mpps。</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实配双主控，冗余电源；10GE/1G自适应光接口数量≥48个，其中万兆单模光模块数量≥24个，其中千兆单模模块≥24个，千兆电口数量≥24个。 </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功能要求：实配L3VPN、IPV6等功能。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硬件架构：</w:t>
            </w:r>
            <w:r>
              <w:rPr>
                <w:rFonts w:ascii="Times New Roman" w:hAnsi="Times New Roman" w:eastAsia="仿宋" w:cs="Times New Roman"/>
                <w:color w:val="auto"/>
                <w:highlight w:val="none"/>
                <w:lang w:eastAsia="zh-CN"/>
              </w:rPr>
              <w:t xml:space="preserve">整机接口卡槽位数</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8</w:t>
            </w:r>
            <w:r>
              <w:rPr>
                <w:rFonts w:ascii="Times New Roman" w:hAnsi="Times New Roman" w:eastAsia="仿宋" w:cs="Times New Roman"/>
                <w:color w:val="auto"/>
                <w:highlight w:val="none"/>
                <w:lang w:eastAsia="zh-CN"/>
              </w:rPr>
              <w:t xml:space="preserve">个</w:t>
            </w:r>
            <w:r>
              <w:rPr>
                <w:rFonts w:hint="eastAsia" w:ascii="Times New Roman" w:hAnsi="Times New Roman" w:eastAsia="仿宋" w:cs="Times New Roman"/>
                <w:color w:val="auto"/>
                <w:highlight w:val="none"/>
                <w:lang w:eastAsia="zh-CN"/>
              </w:rPr>
              <w:t xml:space="preserve">，</w:t>
            </w:r>
            <w:r>
              <w:rPr>
                <w:rFonts w:hint="eastAsia" w:ascii="Times New Roman" w:hAnsi="Times New Roman" w:eastAsia="仿宋" w:cs="Times New Roman"/>
                <w:color w:val="auto"/>
                <w:highlight w:val="none"/>
                <w:lang w:val="en-US" w:eastAsia="zh-CN"/>
              </w:rPr>
              <w:t xml:space="preserve">独立主控板槽位≥2，独立交换网板槽位≥2</w:t>
            </w:r>
            <w:r>
              <w:rPr>
                <w:rFonts w:hint="eastAsia" w:ascii="Times New Roman" w:hAnsi="Times New Roman" w:eastAsia="仿宋" w:cs="Times New Roman"/>
                <w:color w:val="auto"/>
                <w:highlight w:val="none"/>
                <w:lang w:eastAsia="zh-CN"/>
              </w:rPr>
              <w:t xml:space="preserve">。</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采用无阻塞信元交换，NP可编程架构。</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路由功能：支持策略路由、路由策略和路由负荷分担，支持静态路由、RIPv1/v2、RIPng、OSPFv2、OSPFv3、IS-ISv4、IS-ISv6、BGP、BGP4+路由协议。</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二层特性</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支持IEEE 802.1q、IEEE 802.1p、IEEE 802.3ad和IEEE 802.1ab等协议；支持STP、RSTP、MSTP和VLAN；支持MPLS/BGP VPN。</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w:t>
            </w:r>
            <w:r>
              <w:rPr>
                <w:rFonts w:hint="eastAsia" w:eastAsia="仿宋" w:cs="Times New Roman"/>
                <w:color w:val="auto"/>
                <w:highlight w:val="none"/>
                <w:lang w:eastAsia="zh-CN"/>
              </w:rPr>
              <w:t xml:space="preserve">CMA</w:t>
            </w:r>
            <w:r>
              <w:rPr>
                <w:rFonts w:hint="eastAsia" w:ascii="Times New Roman" w:hAnsi="Times New Roman" w:eastAsia="仿宋" w:cs="Times New Roman"/>
                <w:color w:val="auto"/>
                <w:highlight w:val="none"/>
                <w:lang w:eastAsia="zh-CN"/>
              </w:rPr>
              <w:t xml:space="preserve">认证的第三方测试报告。</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717"/>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4.1.4 骨干网基础能力服务-2台汇聚防火墙</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提供千兆光接口数量≥4个，千兆电口数量≥4个，万兆光口数量≥10个，冗余电源，防火墙吞吐≥35G，并发连接数≥2000万，每秒新建连接数≥50万，包含3年入侵防御、防病毒规则库升级授权，存储模块≥240G。</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1022"/>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病毒防护：基于病毒特征进行检测，支持病毒库手动和自动升级，报文流处理模式</w:t>
            </w:r>
            <w:r>
              <w:rPr>
                <w:rFonts w:hint="eastAsia" w:ascii="Times New Roman" w:hAnsi="Times New Roman" w:eastAsia="仿宋" w:cs="Times New Roman"/>
                <w:color w:val="auto"/>
                <w:highlight w:val="none"/>
                <w:lang w:val="en-US" w:eastAsia="zh-CN"/>
              </w:rPr>
              <w:t xml:space="preserve">;</w:t>
            </w:r>
            <w:r>
              <w:rPr>
                <w:rFonts w:hint="eastAsia" w:ascii="Times New Roman" w:hAnsi="Times New Roman" w:eastAsia="仿宋" w:cs="Times New Roman"/>
                <w:color w:val="auto"/>
                <w:highlight w:val="none"/>
                <w:lang w:eastAsia="zh-CN"/>
              </w:rPr>
              <w:t xml:space="preserve">支持病毒日志和报表。</w:t>
            </w:r>
            <w:r/>
          </w:p>
          <w:p>
            <w:pPr>
              <w:pStyle w:val="1022"/>
              <w:ind w:left="114" w:right="146" w:firstLine="1"/>
              <w:jc w:val="both"/>
              <w:rPr>
                <w:rFonts w:hint="eastAsia" w:ascii="Times New Roman" w:hAnsi="Times New Roman" w:eastAsia="仿宋" w:cs="Times New Roman"/>
                <w:strike/>
                <w:color w:val="auto"/>
                <w:highlight w:val="none"/>
                <w:lang w:eastAsia="zh-CN"/>
              </w:rPr>
            </w:pPr>
            <w:r>
              <w:rPr>
                <w:rFonts w:hint="eastAsia" w:ascii="Times New Roman" w:hAnsi="Times New Roman" w:eastAsia="仿宋" w:cs="Times New Roman"/>
                <w:color w:val="auto"/>
                <w:highlight w:val="none"/>
                <w:lang w:eastAsia="zh-CN"/>
              </w:rPr>
              <w:t xml:space="preserve">支持HTTP、FTP、SMTP、POP3协议；</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深度入侵防御：支持对黑客攻击、蠕虫/病毒、木马、恶意代码、DoS/DDoS等常见的攻击防御；支持攻击特征库的分类（根据攻击类型、目标机系统进行分类）、分级（分高、中、低、提示四级）；支持攻击特征库的手动和自动升级（TFTP和HTTP）；支持对BT等P2P/IM识别和控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安全防护：支持独立的入侵防护规则特征库；支持对HTTP/SMTP/POP3/FTP/IMAP/IM等协议进行病毒防御；支持对6级以上的压缩文件进行解压查杀</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716"/>
        <w:rPr>
          <w:rFonts w:hint="eastAsia" w:ascii="Arial" w:hAnsi="Arial" w:eastAsia="Arial"/>
          <w:color w:val="auto"/>
          <w:highlight w:val="none"/>
          <w:lang w:val="en-US" w:eastAsia="zh-CN"/>
        </w:rPr>
      </w:pPr>
      <w:r>
        <w:rPr>
          <w:rFonts w:hint="eastAsia" w:ascii="Arial" w:hAnsi="Arial" w:eastAsia="Arial"/>
          <w:color w:val="auto"/>
          <w:highlight w:val="none"/>
          <w:lang w:val="en-US" w:eastAsia="zh-CN"/>
        </w:rPr>
        <w:t xml:space="preserve">4.2 边界安全能力服务</w:t>
      </w:r>
      <w:r/>
    </w:p>
    <w:p>
      <w:pPr>
        <w:ind w:left="7" w:firstLine="419"/>
        <w:jc w:val="both"/>
        <w:rPr>
          <w:rFonts w:hint="eastAsia" w:ascii="宋体" w:hAnsi="宋体" w:eastAsia="宋体" w:cs="宋体"/>
          <w:color w:val="auto"/>
          <w:spacing w:val="-2"/>
          <w:sz w:val="24"/>
          <w:szCs w:val="24"/>
          <w:highlight w:val="none"/>
          <w:lang w:eastAsia="zh-CN"/>
        </w:rPr>
      </w:pPr>
      <w:r>
        <w:rPr>
          <w:rFonts w:ascii="宋体" w:hAnsi="宋体" w:eastAsia="宋体" w:cs="宋体"/>
          <w:color w:val="auto"/>
          <w:spacing w:val="-2"/>
          <w:sz w:val="24"/>
          <w:szCs w:val="24"/>
          <w:highlight w:val="none"/>
          <w:lang w:eastAsia="zh-CN"/>
        </w:rPr>
        <w:t xml:space="preserve">二平面骨干网通过部署</w:t>
      </w:r>
      <w:r>
        <w:rPr>
          <w:rFonts w:hint="eastAsia" w:ascii="宋体" w:hAnsi="宋体" w:eastAsia="宋体" w:cs="宋体"/>
          <w:color w:val="auto"/>
          <w:spacing w:val="-2"/>
          <w:sz w:val="24"/>
          <w:szCs w:val="24"/>
          <w:highlight w:val="none"/>
          <w:lang w:eastAsia="zh-CN"/>
        </w:rPr>
        <w:t xml:space="preserve">互联网出口安全（出口负载均衡</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eastAsia="zh-CN"/>
        </w:rPr>
        <w:t xml:space="preserve">出口防火墙、出口上网行为管理）、专线出口安全、政务云边界安全（边界防火墙、WEB防火墙）、视频云边界安全构成。具体配置如下：</w:t>
      </w:r>
      <w:r/>
    </w:p>
    <w:p>
      <w:pPr>
        <w:pStyle w:val="717"/>
        <w:rPr>
          <w:rFonts w:hint="eastAsia" w:ascii="宋体" w:hAnsi="宋体" w:eastAsia="宋体" w:cs="宋体"/>
          <w:color w:val="auto"/>
          <w:spacing w:val="-2"/>
          <w:sz w:val="24"/>
          <w:szCs w:val="24"/>
          <w:highlight w:val="none"/>
          <w:lang w:eastAsia="zh-CN"/>
        </w:rPr>
      </w:pPr>
      <w:r>
        <w:rPr>
          <w:rFonts w:hint="eastAsia" w:ascii="Arial" w:hAnsi="Arial" w:eastAsia="Arial"/>
          <w:b w:val="0"/>
          <w:color w:val="auto"/>
          <w:highlight w:val="none"/>
          <w:lang w:val="en-US" w:eastAsia="zh-CN"/>
        </w:rPr>
        <w:t xml:space="preserve">4.2.1 边界安全能力服务-互联网出口</w:t>
      </w:r>
      <w:r/>
    </w:p>
    <w:p>
      <w:pPr>
        <w:pStyle w:val="718"/>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4.2.1.1 边界安全能力服务-互联网出口-2台出口负载均衡</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硬件参数：</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接口：千兆电口数量≥6个，千兆光口≥8个，万兆光口SFP+≥4个，硬盘容量：≥480G</w:t>
            </w:r>
            <w:r>
              <w:rPr>
                <w:rFonts w:hint="eastAsia" w:ascii="Times New Roman" w:hAnsi="Times New Roman" w:eastAsia="仿宋" w:cs="Times New Roman"/>
                <w:color w:val="auto"/>
                <w:highlight w:val="none"/>
                <w:lang w:val="en-US" w:eastAsia="zh-CN"/>
              </w:rPr>
              <w:t xml:space="preserve"> SSD</w:t>
            </w:r>
            <w:r>
              <w:rPr>
                <w:rFonts w:hint="eastAsia" w:ascii="Times New Roman" w:hAnsi="Times New Roman" w:eastAsia="仿宋" w:cs="Times New Roman"/>
                <w:color w:val="auto"/>
                <w:highlight w:val="none"/>
                <w:lang w:eastAsia="zh-CN"/>
              </w:rPr>
              <w:t xml:space="preserve">，电源：冗余电源。</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性能参数：4层吞吐量≥</w:t>
            </w:r>
            <w:r>
              <w:rPr>
                <w:rFonts w:hint="eastAsia" w:ascii="Times New Roman" w:hAnsi="Times New Roman" w:eastAsia="仿宋" w:cs="Times New Roman"/>
                <w:color w:val="auto"/>
                <w:highlight w:val="none"/>
                <w:lang w:val="en-US" w:eastAsia="zh-CN"/>
              </w:rPr>
              <w:t xml:space="preserve">5</w:t>
            </w:r>
            <w:r>
              <w:rPr>
                <w:rFonts w:hint="eastAsia" w:ascii="Times New Roman" w:hAnsi="Times New Roman" w:eastAsia="仿宋" w:cs="Times New Roman"/>
                <w:color w:val="auto"/>
                <w:highlight w:val="none"/>
                <w:lang w:eastAsia="zh-CN"/>
              </w:rPr>
              <w:t xml:space="preserve">0G，四层并发连接数≥800</w:t>
            </w:r>
            <w:r>
              <w:rPr>
                <w:rFonts w:hint="eastAsia" w:ascii="Times New Roman" w:hAnsi="Times New Roman" w:eastAsia="仿宋" w:cs="Times New Roman"/>
                <w:color w:val="auto"/>
                <w:highlight w:val="none"/>
                <w:lang w:val="en-US" w:eastAsia="zh-CN"/>
              </w:rPr>
              <w:t xml:space="preserve">万</w:t>
            </w:r>
            <w:r>
              <w:rPr>
                <w:rFonts w:hint="eastAsia" w:ascii="Times New Roman" w:hAnsi="Times New Roman" w:eastAsia="仿宋" w:cs="Times New Roman"/>
                <w:color w:val="auto"/>
                <w:highlight w:val="none"/>
                <w:lang w:eastAsia="zh-CN"/>
              </w:rPr>
              <w:t xml:space="preserve">，4层新建连接数 CPS≥21</w:t>
            </w:r>
            <w:r>
              <w:rPr>
                <w:rFonts w:hint="eastAsia" w:ascii="Times New Roman" w:hAnsi="Times New Roman" w:eastAsia="仿宋" w:cs="Times New Roman"/>
                <w:color w:val="auto"/>
                <w:highlight w:val="none"/>
                <w:lang w:val="en-US" w:eastAsia="zh-CN"/>
              </w:rPr>
              <w:t xml:space="preserve">万</w:t>
            </w:r>
            <w:r>
              <w:rPr>
                <w:rFonts w:hint="eastAsia" w:ascii="Times New Roman" w:hAnsi="Times New Roman" w:eastAsia="仿宋" w:cs="Times New Roman"/>
                <w:color w:val="auto"/>
                <w:highlight w:val="none"/>
                <w:lang w:eastAsia="zh-CN"/>
              </w:rPr>
              <w:t xml:space="preserve">，7层新建请求数 RPS≥35</w:t>
            </w:r>
            <w:r>
              <w:rPr>
                <w:rFonts w:hint="eastAsia" w:ascii="Times New Roman" w:hAnsi="Times New Roman" w:eastAsia="仿宋" w:cs="Times New Roman"/>
                <w:color w:val="auto"/>
                <w:highlight w:val="none"/>
                <w:lang w:val="en-US" w:eastAsia="zh-CN"/>
              </w:rPr>
              <w:t xml:space="preserve">万</w:t>
            </w:r>
            <w:r/>
          </w:p>
          <w:p>
            <w:pPr>
              <w:pStyle w:val="1022"/>
              <w:ind w:left="114" w:right="146" w:firstLine="1"/>
              <w:jc w:val="both"/>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设备部署：支持串接部署方式和旁路部署方式，支持三角传输模式。</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负载均衡算法：支持轮询、加权轮询、按主机加权轮询、加权最小连接、动态反馈、最快响应、加权最小流量、加权源IP哈希、带宽比例、哈希、首个可用、优先级等算法</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可编程流量控制</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通过某种编程语言（如lua）实现自定义的流量编排，对IP、TCP、HTTP和HTTPS等类型的流量进行分发、修改和统计等操作</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链路负载均衡：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支持静态IP和PPPOE两种线路接入方式</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支持IPv4/IPv6双协议栈，实现同时处理IPv4和IPv6数据包。支持IPv6的链路负载均衡，支持基于IPv6的DNS透明代理和调度策略。</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支持基于应用协议的智能选路，能对网银、游戏、视频等流量进行调度</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支持基于域名的流量调度，针对特定网站选择指定的链路转发</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SLB能够通过健康检查来获取后端服务器状态，同时将服务可用性、设备CPU、新建并发吞吐等数据上报GSLB，设备之间的联动使得GSLB能根据链路和服务器两者的综合状态实现智能切换，为用户选择最优的数据中心和服务器分配方式。</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服务器负载均衡：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支持源IP、Cookie（插入/被动/改写）、HTTP-Passive、SSL Session ID等多种会话保持机制，支持跨虚拟服务的会话保持。</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支持cookie加密，提升cookie安全性。</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支持大数据输出功能，输出必须包括客户端IP、x-forwarded-For IP、访问时间、访问IP、访问URL、响应时间和资源大小。</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r>
      <w:r/>
    </w:p>
    <w:p>
      <w:pPr>
        <w:pStyle w:val="718"/>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4.2.1.2边界安全能力服务-互联网出口安全能力-2台出口防火墙</w:t>
      </w:r>
      <w:r/>
    </w:p>
    <w:tbl>
      <w:tblPr>
        <w:tblStyle w:val="1011"/>
        <w:tblW w:w="955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87"/>
        <w:gridCol w:w="7968"/>
      </w:tblGrid>
      <w:tr>
        <w:trPr>
          <w:trHeight w:val="502"/>
        </w:trPr>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968"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968"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产品规格：配置千兆电口≥4个，配置千兆光口≥4个，万兆光口≥6个,冗余电源,防火墙吞吐≥</w:t>
            </w:r>
            <w:r>
              <w:rPr>
                <w:rFonts w:hint="eastAsia" w:ascii="Times New Roman" w:hAnsi="Times New Roman" w:eastAsia="仿宋" w:cs="Times New Roman"/>
                <w:color w:val="auto"/>
                <w:highlight w:val="none"/>
                <w:lang w:val="en-US" w:eastAsia="zh-CN"/>
              </w:rPr>
              <w:t xml:space="preserve">50G</w:t>
            </w:r>
            <w:r>
              <w:rPr>
                <w:rFonts w:hint="eastAsia" w:ascii="Times New Roman" w:hAnsi="Times New Roman" w:eastAsia="仿宋" w:cs="Times New Roman"/>
                <w:color w:val="auto"/>
                <w:highlight w:val="none"/>
                <w:lang w:eastAsia="zh-CN"/>
              </w:rPr>
              <w:t xml:space="preserve">，并发连接≥1000万，每秒新建连接≥11万，默认包含应用识别功能。包含3年入侵防御、防病毒规则库升级授权。</w:t>
            </w:r>
            <w:r/>
          </w:p>
          <w:p>
            <w:pPr>
              <w:pStyle w:val="1022"/>
              <w:ind w:left="114" w:right="146" w:firstLine="1"/>
              <w:jc w:val="both"/>
              <w:rPr>
                <w:rFonts w:hint="eastAsia" w:ascii="Times New Roman" w:hAnsi="Times New Roman" w:eastAsia="仿宋" w:cs="Times New Roman"/>
                <w:b/>
                <w:bCs/>
                <w:color w:val="auto"/>
                <w:highlight w:val="none"/>
                <w:lang w:eastAsia="zh-CN"/>
              </w:rPr>
            </w:pPr>
            <w:r>
              <w:rPr>
                <w:rFonts w:ascii="Times New Roman" w:hAnsi="Times New Roman" w:eastAsia="仿宋" w:cs="Times New Roman"/>
                <w:color w:val="auto"/>
                <w:highlight w:val="none"/>
                <w:lang w:eastAsia="zh-CN"/>
              </w:rPr>
              <w:t xml:space="preserve">自主可控：CPU、网络处理转发芯片为</w:t>
            </w:r>
            <w:r>
              <w:rPr>
                <w:rFonts w:hint="eastAsia" w:ascii="Times New Roman" w:hAnsi="Times New Roman" w:eastAsia="仿宋" w:cs="Times New Roman"/>
                <w:color w:val="auto"/>
                <w:highlight w:val="none"/>
                <w:lang w:eastAsia="zh-CN"/>
              </w:rPr>
              <w:t xml:space="preserve">国产</w:t>
            </w:r>
            <w:r>
              <w:rPr>
                <w:rFonts w:ascii="Times New Roman" w:hAnsi="Times New Roman" w:eastAsia="仿宋" w:cs="Times New Roman"/>
                <w:color w:val="auto"/>
                <w:highlight w:val="none"/>
                <w:lang w:eastAsia="zh-CN"/>
              </w:rPr>
              <w:t xml:space="preserve">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提供策略变更信息管理功能，支持查看变更策略、变更动作、变更时间、修改人、登陆IP，支持对变更前后的策略进行直观对比，并能一键还原配置</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 </w:t>
            </w:r>
            <w:r/>
          </w:p>
          <w:p>
            <w:pPr>
              <w:pStyle w:val="1022"/>
              <w:ind w:left="114" w:right="146" w:firstLine="1"/>
              <w:jc w:val="both"/>
              <w:rPr>
                <w:rFonts w:hint="eastAsia" w:ascii="Times New Roman" w:hAnsi="Times New Roman" w:eastAsia="仿宋" w:cs="Times New Roman"/>
                <w:strike/>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968"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1587" w:type="dxa"/>
            <w:textDirection w:val="lrTb"/>
            <w:noWrap w:val="false"/>
          </w:tcPr>
          <w:p>
            <w:pPr>
              <w:pStyle w:val="1022"/>
              <w:ind w:left="1057"/>
              <w:rPr>
                <w:rFonts w:hint="eastAsia"/>
                <w:color w:val="auto"/>
                <w:sz w:val="24"/>
                <w:szCs w:val="24"/>
                <w:highlight w:val="none"/>
              </w:rPr>
            </w:pPr>
            <w:r>
              <w:rPr>
                <w:color w:val="auto"/>
                <w:spacing w:val="-2"/>
                <w:sz w:val="24"/>
                <w:szCs w:val="24"/>
                <w:highlight w:val="none"/>
              </w:rPr>
              <w:t xml:space="preserve">参考图片</w:t>
            </w:r>
            <w:r/>
          </w:p>
        </w:tc>
        <w:tc>
          <w:tcPr>
            <w:tcW w:w="7968" w:type="dxa"/>
            <w:textDirection w:val="lrTb"/>
            <w:noWrap w:val="false"/>
          </w:tcPr>
          <w:p>
            <w:pPr>
              <w:ind w:left="1834"/>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pStyle w:val="718"/>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4.2.1.3边界安全能力服务-互联网出口安全能力-2台出口上网行为管理</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性能指标：网络层吞吐量（大包）≥5</w:t>
            </w:r>
            <w:r>
              <w:rPr>
                <w:rFonts w:hint="eastAsia" w:ascii="Times New Roman" w:hAnsi="Times New Roman" w:eastAsia="仿宋" w:cs="Times New Roman"/>
                <w:color w:val="auto"/>
                <w:highlight w:val="none"/>
                <w:lang w:val="en-US" w:eastAsia="zh-CN"/>
              </w:rPr>
              <w:t xml:space="preserve">0</w:t>
            </w:r>
            <w:r>
              <w:rPr>
                <w:rFonts w:hint="eastAsia" w:ascii="Times New Roman" w:hAnsi="Times New Roman" w:eastAsia="仿宋" w:cs="Times New Roman"/>
                <w:color w:val="auto"/>
                <w:highlight w:val="none"/>
                <w:lang w:eastAsia="zh-CN"/>
              </w:rPr>
              <w:t xml:space="preserve">G，</w:t>
            </w:r>
            <w:r>
              <w:rPr>
                <w:rFonts w:hint="eastAsia" w:ascii="Times New Roman" w:hAnsi="Times New Roman" w:eastAsia="仿宋" w:cs="Times New Roman"/>
                <w:color w:val="auto"/>
                <w:highlight w:val="none"/>
                <w:lang w:eastAsia="zh-CN"/>
              </w:rPr>
              <w:t xml:space="preserve">应用层吞吐量≥750M，支持用户数≥4000，包转发率≥90Kpps，每秒新建连接数≥35000，最大并发连接数≥700000。</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硬件参数：内存大小≥8G，硬盘容量≥</w:t>
            </w:r>
            <w:r>
              <w:rPr>
                <w:rFonts w:hint="eastAsia" w:ascii="Times New Roman" w:hAnsi="Times New Roman" w:eastAsia="仿宋" w:cs="Times New Roman"/>
                <w:color w:val="auto"/>
                <w:highlight w:val="none"/>
                <w:lang w:val="en-US" w:eastAsia="zh-CN"/>
              </w:rPr>
              <w:t xml:space="preserve">8</w:t>
            </w:r>
            <w:r>
              <w:rPr>
                <w:rFonts w:hint="eastAsia" w:ascii="Times New Roman" w:hAnsi="Times New Roman" w:eastAsia="仿宋" w:cs="Times New Roman"/>
                <w:color w:val="auto"/>
                <w:highlight w:val="none"/>
                <w:lang w:eastAsia="zh-CN"/>
              </w:rPr>
              <w:t xml:space="preserve">00G，电源：</w:t>
            </w:r>
            <w:r>
              <w:rPr>
                <w:rFonts w:hint="eastAsia" w:ascii="Times New Roman" w:hAnsi="Times New Roman" w:eastAsia="仿宋" w:cs="Times New Roman"/>
                <w:color w:val="auto"/>
                <w:highlight w:val="none"/>
                <w:lang w:val="en-US" w:eastAsia="zh-CN"/>
              </w:rPr>
              <w:t xml:space="preserve">双</w:t>
            </w:r>
            <w:r>
              <w:rPr>
                <w:rFonts w:hint="eastAsia" w:ascii="Times New Roman" w:hAnsi="Times New Roman" w:eastAsia="仿宋" w:cs="Times New Roman"/>
                <w:color w:val="auto"/>
                <w:highlight w:val="none"/>
                <w:lang w:eastAsia="zh-CN"/>
              </w:rPr>
              <w:t xml:space="preserve">电源，千兆光口接口≥6个，万兆光口SFP+≥4个。</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高可用：产品支持高可用支持主备、主主模式部署，同时持两台设备同时做主机的部署模式。</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违规翻墙行为：可识别常见VPN、翻墙工具的访问特征，对使用此类工具的行为进行告警和阻断，可对终端发起的境外违规网站访问请求直接拦截，留存访问日志满足审计溯源，可对异常流量特征进行检测，发现非合规信道的境外访问；</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支持用户名密码认证、IP/MAC认证、短信认证等本地认证方式，支持802.1x认证。</w:t>
            </w:r>
            <w:r/>
          </w:p>
          <w:p>
            <w:pPr>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网页访问审计：支持记录全部或者指定类别URL、网页标题、网页内容等信息，支持网页内容审计后的网页快照功能； </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支持IPv4/IPv6双栈协议栈，安全与审计：包含IPv6环境下的攻击防护（如DDoS、ARP欺骗），内容审计需覆盖IPv6协议下的邮件、网页搜索等行为。</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网页过滤：支持根据访问的URL和网页关键字进行网页过滤，</w:t>
            </w:r>
            <w:r>
              <w:rPr>
                <w:rFonts w:hint="eastAsia" w:ascii="Times New Roman" w:hAnsi="Times New Roman" w:eastAsia="仿宋" w:cs="Times New Roman"/>
                <w:strike w:val="0"/>
                <w:color w:val="auto"/>
                <w:highlight w:val="none"/>
                <w:lang w:eastAsia="zh-CN"/>
              </w:rPr>
              <w:t xml:space="preserve">支持设置拒绝以IP访问网</w:t>
            </w:r>
            <w:r>
              <w:rPr>
                <w:rFonts w:hint="eastAsia" w:ascii="Times New Roman" w:hAnsi="Times New Roman" w:eastAsia="仿宋" w:cs="Times New Roman"/>
                <w:strike w:val="0"/>
                <w:color w:val="auto"/>
                <w:highlight w:val="none"/>
                <w:lang w:val="en-US" w:eastAsia="zh-CN"/>
              </w:rPr>
              <w:t xml:space="preserve">页、URL</w:t>
            </w:r>
            <w:r>
              <w:rPr>
                <w:rFonts w:hint="eastAsia" w:ascii="Times New Roman" w:hAnsi="Times New Roman" w:eastAsia="仿宋" w:cs="Times New Roman"/>
                <w:strike w:val="0"/>
                <w:color w:val="auto"/>
                <w:highlight w:val="none"/>
                <w:lang w:eastAsia="zh-CN"/>
              </w:rPr>
              <w:t xml:space="preserve">行为；</w:t>
            </w:r>
            <w:r>
              <w:rPr>
                <w:rFonts w:hint="eastAsia" w:ascii="Times New Roman" w:hAnsi="Times New Roman" w:eastAsia="仿宋" w:cs="Times New Roman"/>
                <w:color w:val="auto"/>
                <w:highlight w:val="none"/>
                <w:lang w:eastAsia="zh-CN"/>
              </w:rPr>
              <w:t xml:space="preserve">支持根据文件类型限制HTTP、FTP方式上传、下载行为；</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认证管理：产品支持协同办公认证，支持通过企业微信等第三方协同办公软件进行授权认证； </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动态流量调整：支持在设置流量策略后，根据整体线路或者某流量通道内的空闲情况，自动启用和停止使用流量控制策略，以提升带宽的高使用率；空闲值可自定义； </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流量可视：能够实时</w:t>
            </w:r>
            <w:r>
              <w:rPr>
                <w:rFonts w:hint="eastAsia" w:ascii="Times New Roman" w:hAnsi="Times New Roman" w:eastAsia="仿宋" w:cs="Times New Roman"/>
                <w:strike w:val="0"/>
                <w:color w:val="auto"/>
                <w:highlight w:val="none"/>
                <w:lang w:eastAsia="zh-CN"/>
              </w:rPr>
              <w:t xml:space="preserve">看到各级流控通道的状态：包括所属线路、瞬时速率、通道占用比例、用户数</w:t>
            </w:r>
            <w:r>
              <w:rPr>
                <w:rFonts w:hint="eastAsia" w:ascii="Times New Roman" w:hAnsi="Times New Roman" w:eastAsia="仿宋" w:cs="Times New Roman"/>
                <w:color w:val="auto"/>
                <w:highlight w:val="none"/>
                <w:lang w:eastAsia="zh-CN"/>
              </w:rPr>
              <w:t xml:space="preserve">、保证带宽、最大带宽，启用状态等；</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外联行为检查：支持Windows终端外联行为检查，包括：连接外网检查、PPPoE拨号检查、双网卡行为检查、无线网卡检查、链接非法WIFI检查（可设置合法WIFI白名单）、4G网卡检查、否使用非法网关（可设置合法网关白名单），对不满足检查要求的终端强制断网，支持向管理员告警，并弹窗提示用户； </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应用控制策略：支持根据IP、端口、协议等自定义应用规则；支持根据端口设定用户不允许访问的目标IP组提供的服务；支持根据不同的应用类型或具体的某种应用设置允许或拒绝；</w:t>
            </w:r>
            <w:r/>
          </w:p>
          <w:p>
            <w:pPr>
              <w:pStyle w:val="1022"/>
              <w:ind w:right="146"/>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应用识别规则库：设备内置应用识别规则库，支持超过9000种以上应用规则数；支持根据标签选择应用，并支持给每个应用自定义标签；支持根据标签选择一类应用做控制； </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default"/>
                <w:color w:val="auto"/>
                <w:sz w:val="24"/>
                <w:szCs w:val="24"/>
                <w:highlight w:val="none"/>
                <w:lang w:val="en-US"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无</w:t>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pStyle w:val="717"/>
        <w:rPr>
          <w:rFonts w:hint="default"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4.2.2边界安全能力服务-2台专线出口防火墙</w:t>
      </w:r>
      <w:r/>
    </w:p>
    <w:p>
      <w:pPr>
        <w:ind w:left="7" w:firstLine="419"/>
        <w:jc w:val="both"/>
        <w:rPr>
          <w:rFonts w:hint="eastAsia" w:ascii="宋体" w:hAnsi="宋体" w:eastAsia="宋体" w:cs="宋体"/>
          <w:color w:val="auto"/>
          <w:spacing w:val="-2"/>
          <w:sz w:val="24"/>
          <w:szCs w:val="24"/>
          <w:highlight w:val="none"/>
          <w:lang w:eastAsia="zh-CN"/>
        </w:rPr>
      </w:pPr>
      <w:r>
        <w:rPr>
          <w:rFonts w:ascii="宋体" w:hAnsi="宋体" w:eastAsia="宋体" w:cs="宋体"/>
          <w:color w:val="auto"/>
          <w:spacing w:val="-2"/>
          <w:sz w:val="24"/>
          <w:szCs w:val="24"/>
          <w:highlight w:val="none"/>
          <w:lang w:eastAsia="zh-CN"/>
        </w:rPr>
        <w:t xml:space="preserve">通过部署</w:t>
      </w:r>
      <w:r>
        <w:rPr>
          <w:rFonts w:hint="eastAsia" w:ascii="宋体" w:hAnsi="宋体" w:cs="宋体"/>
          <w:color w:val="auto"/>
          <w:spacing w:val="-2"/>
          <w:sz w:val="24"/>
          <w:szCs w:val="24"/>
          <w:highlight w:val="none"/>
          <w:lang w:val="en-US" w:eastAsia="zh-CN"/>
        </w:rPr>
        <w:t xml:space="preserve">2</w:t>
      </w:r>
      <w:r>
        <w:rPr>
          <w:rFonts w:ascii="宋体" w:hAnsi="宋体" w:eastAsia="宋体" w:cs="宋体"/>
          <w:color w:val="auto"/>
          <w:spacing w:val="-2"/>
          <w:sz w:val="24"/>
          <w:szCs w:val="24"/>
          <w:highlight w:val="none"/>
          <w:lang w:eastAsia="zh-CN"/>
        </w:rPr>
        <w:t xml:space="preserve">台防火墙分别对接市网三平面、市网四平面、视频</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、政务云网络、教育</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、医疗</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、水务</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、统计</w:t>
      </w:r>
      <w:r>
        <w:rPr>
          <w:rFonts w:hint="eastAsia" w:ascii="宋体" w:hAnsi="宋体" w:eastAsia="宋体" w:cs="宋体"/>
          <w:color w:val="auto"/>
          <w:spacing w:val="-2"/>
          <w:sz w:val="24"/>
          <w:szCs w:val="24"/>
          <w:highlight w:val="none"/>
          <w:lang w:eastAsia="zh-CN"/>
        </w:rPr>
        <w:t xml:space="preserve">专网</w:t>
      </w:r>
      <w:r>
        <w:rPr>
          <w:rFonts w:ascii="宋体" w:hAnsi="宋体" w:eastAsia="宋体" w:cs="宋体"/>
          <w:color w:val="auto"/>
          <w:spacing w:val="-2"/>
          <w:sz w:val="24"/>
          <w:szCs w:val="24"/>
          <w:highlight w:val="none"/>
          <w:lang w:eastAsia="zh-CN"/>
        </w:rPr>
        <w:t xml:space="preserve">以及政务外网汇聚点对接和联调，同时在对接和联调过程中，要保障政务外网原有业务、服务稳定和可用。</w:t>
      </w:r>
      <w:r>
        <w:rPr>
          <w:rFonts w:hint="eastAsia" w:ascii="宋体" w:hAnsi="宋体" w:eastAsia="宋体" w:cs="宋体"/>
          <w:color w:val="auto"/>
          <w:spacing w:val="-2"/>
          <w:sz w:val="24"/>
          <w:szCs w:val="24"/>
          <w:highlight w:val="none"/>
          <w:lang w:eastAsia="zh-CN"/>
        </w:rPr>
        <w:t xml:space="preserve">具体配置如下：</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产品规格：配置千兆电口≥4个，千兆光口≥4个，万兆光接口≥</w:t>
            </w:r>
            <w:r>
              <w:rPr>
                <w:rFonts w:hint="eastAsia" w:ascii="Times New Roman" w:hAnsi="Times New Roman" w:eastAsia="仿宋" w:cs="Times New Roman"/>
                <w:color w:val="auto"/>
                <w:highlight w:val="none"/>
                <w:lang w:val="en-US" w:eastAsia="zh-CN"/>
              </w:rPr>
              <w:t xml:space="preserve">8</w:t>
            </w:r>
            <w:r>
              <w:rPr>
                <w:rFonts w:hint="eastAsia" w:ascii="Times New Roman" w:hAnsi="Times New Roman" w:eastAsia="仿宋" w:cs="Times New Roman"/>
                <w:color w:val="auto"/>
                <w:highlight w:val="none"/>
                <w:lang w:eastAsia="zh-CN"/>
              </w:rPr>
              <w:t xml:space="preserve">个,冗余电源,防火墙吞吐≥22G，并发连接≥500万，每秒新建连接≥10万，默认包含应用识别功能。包含3年入侵防御、防病毒规则库升级授权。</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邮件安全、数据过滤、文件过滤、僵木蠕防御、审计、数据库防护、防代理、APT等功能配置,简化用户管理</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 </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color w:val="auto"/>
                <w:spacing w:val="-3"/>
                <w:sz w:val="24"/>
                <w:szCs w:val="24"/>
                <w:highlight w:val="none"/>
              </w:rPr>
              <w:t xml:space="preserve">暂无内容</w:t>
            </w:r>
            <w:r/>
          </w:p>
        </w:tc>
      </w:tr>
    </w:tbl>
    <w:p>
      <w:pPr>
        <w:rPr>
          <w:color w:val="auto"/>
          <w:highlight w:val="none"/>
          <w:lang w:eastAsia="zh-CN"/>
        </w:rPr>
      </w:pPr>
      <w:r>
        <w:rPr>
          <w:color w:val="auto"/>
          <w:highlight w:val="none"/>
          <w:lang w:eastAsia="zh-CN"/>
        </w:rPr>
      </w:r>
      <w:r/>
    </w:p>
    <w:p>
      <w:pPr>
        <w:pStyle w:val="717"/>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4.2.3边界安全能力服务-政务云边界</w:t>
      </w:r>
      <w:r/>
    </w:p>
    <w:p>
      <w:pPr>
        <w:pStyle w:val="718"/>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4.2.3.1边界安全能力服务-政务云边界-2台边界防火墙</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产品规格：配置置千兆电口≥4个,千兆光口≥4个,万兆光口≥6个,冗余电源，防火墙吞吐≥</w:t>
            </w:r>
            <w:r>
              <w:rPr>
                <w:rFonts w:hint="eastAsia" w:ascii="Times New Roman" w:hAnsi="Times New Roman" w:eastAsia="仿宋" w:cs="Times New Roman"/>
                <w:color w:val="auto"/>
                <w:highlight w:val="none"/>
                <w:lang w:val="en-US" w:eastAsia="zh-CN"/>
              </w:rPr>
              <w:t xml:space="preserve">50</w:t>
            </w:r>
            <w:r>
              <w:rPr>
                <w:rFonts w:hint="eastAsia" w:ascii="Times New Roman" w:hAnsi="Times New Roman" w:eastAsia="仿宋" w:cs="Times New Roman"/>
                <w:color w:val="auto"/>
                <w:highlight w:val="none"/>
                <w:lang w:eastAsia="zh-CN"/>
              </w:rPr>
              <w:t xml:space="preserve">G，并发连接≥800万，每秒新建连接≥10万，包含3年入侵防御、防病毒规则库升级授权。</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安全防护：支持独立的入侵防护规则特征库；支持对HTTP/SMTP/POP3/FTP/IMAP/IM等协议进行病毒防御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jc w:val="both"/>
              <w:rPr>
                <w:rFonts w:hint="eastAsia"/>
                <w:color w:val="auto"/>
                <w:sz w:val="24"/>
                <w:szCs w:val="24"/>
                <w:highlight w:val="none"/>
              </w:rPr>
            </w:pPr>
            <w:r>
              <w:rPr>
                <w:color w:val="auto"/>
                <w:spacing w:val="-3"/>
                <w:sz w:val="24"/>
                <w:szCs w:val="24"/>
                <w:highlight w:val="none"/>
              </w:rPr>
              <w:t xml:space="preserve">暂无内容</w:t>
            </w:r>
            <w:r/>
          </w:p>
        </w:tc>
      </w:tr>
    </w:tbl>
    <w:p>
      <w:pPr>
        <w:rPr>
          <w:color w:val="auto"/>
          <w:highlight w:val="none"/>
          <w:lang w:eastAsia="zh-CN"/>
        </w:rPr>
      </w:pPr>
      <w:r>
        <w:rPr>
          <w:color w:val="auto"/>
          <w:highlight w:val="none"/>
          <w:lang w:eastAsia="zh-CN"/>
        </w:rPr>
      </w:r>
      <w:r/>
    </w:p>
    <w:p>
      <w:pPr>
        <w:pStyle w:val="718"/>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4.2.3.2边界安全能力服务-政务云边界-2台web 防火墙</w:t>
      </w:r>
      <w:r/>
    </w:p>
    <w:p>
      <w:pPr>
        <w:pStyle w:val="1022"/>
        <w:ind w:left="114" w:right="146" w:firstLine="1"/>
        <w:jc w:val="both"/>
        <w:rPr>
          <w:rFonts w:hint="eastAsia" w:eastAsia="仿宋"/>
          <w:color w:val="auto"/>
          <w:spacing w:val="-2"/>
          <w:sz w:val="24"/>
          <w:szCs w:val="24"/>
          <w:highlight w:val="none"/>
          <w:lang w:eastAsia="zh-CN"/>
        </w:rPr>
      </w:pPr>
      <w:r>
        <w:rPr>
          <w:rFonts w:hint="eastAsia" w:eastAsia="仿宋"/>
          <w:color w:val="auto"/>
          <w:spacing w:val="-2"/>
          <w:sz w:val="24"/>
          <w:szCs w:val="24"/>
          <w:highlight w:val="none"/>
          <w:lang w:eastAsia="zh-CN"/>
        </w:rPr>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502"/>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产品规格：千兆电口≥6个，万兆光口≥6个，冗余电源 ,网络层吞吐≥</w:t>
            </w:r>
            <w:r>
              <w:rPr>
                <w:rFonts w:hint="eastAsia" w:ascii="Times New Roman" w:hAnsi="Times New Roman" w:eastAsia="仿宋" w:cs="Times New Roman"/>
                <w:color w:val="auto"/>
                <w:highlight w:val="none"/>
                <w:lang w:val="en-US" w:eastAsia="zh-CN"/>
              </w:rPr>
              <w:t xml:space="preserve">5</w:t>
            </w:r>
            <w:r>
              <w:rPr>
                <w:rFonts w:hint="eastAsia" w:ascii="Times New Roman" w:hAnsi="Times New Roman" w:eastAsia="仿宋" w:cs="Times New Roman"/>
                <w:color w:val="auto"/>
                <w:highlight w:val="none"/>
                <w:lang w:eastAsia="zh-CN"/>
              </w:rPr>
              <w:t xml:space="preserve">0G，应用层吞吐≥4G，并发连接≥350万，新建连接≥21000，含3年特征库升级许可</w:t>
            </w:r>
            <w:r>
              <w:rPr>
                <w:rFonts w:hint="eastAsia" w:ascii="Times New Roman" w:hAnsi="Times New Roman" w:eastAsia="仿宋" w:cs="Times New Roman"/>
                <w:color w:val="auto"/>
                <w:highlight w:val="none"/>
                <w:lang w:val="en-US" w:eastAsia="zh-CN"/>
              </w:rPr>
              <w:t xml:space="preserve">;</w:t>
            </w:r>
            <w:r/>
          </w:p>
          <w:p>
            <w:pPr>
              <w:pStyle w:val="1022"/>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网络部署：支持无IP纯透明模式串联部署、负载均衡模式部署、反向代理模式部署、旁路监测模式部署</w:t>
            </w:r>
            <w:r>
              <w:rPr>
                <w:rFonts w:hint="eastAsia" w:ascii="Times New Roman" w:hAnsi="Times New Roman" w:eastAsia="仿宋" w:cs="Times New Roman"/>
                <w:color w:val="auto"/>
                <w:highlight w:val="none"/>
                <w:lang w:val="en-US" w:eastAsia="zh-CN"/>
              </w:rPr>
              <w:t xml:space="preserve">;</w:t>
            </w:r>
            <w:r>
              <w:rPr>
                <w:rFonts w:hint="eastAsia" w:ascii="Times New Roman" w:hAnsi="Times New Roman" w:eastAsia="仿宋" w:cs="Times New Roman"/>
                <w:color w:val="auto"/>
                <w:highlight w:val="none"/>
                <w:lang w:eastAsia="zh-CN"/>
              </w:rPr>
              <w:t xml:space="preserve">支持虚拟线接入，无论任何网络环境可强制数据从一个接口转发到另一个接口</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访问控制：支持网络层访问控制，支持基于源IP 地址、目的IP 地址、源端口、目的端口、协议类型及目的区域、地理区域等条件的访问控制。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支持应用层访问控制功能，针对 HTTP请求字段进行过滤，包括HTTP协议版本，请求方法，Cookie信息等。</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安全防护：能够识别和阻断跨站请求伪造(CSRF)攻击，支持HTTP token防护和referer匹配防护等多种防护方式。</w:t>
            </w:r>
            <w:r/>
          </w:p>
          <w:p>
            <w:pPr>
              <w:pStyle w:val="1022"/>
              <w:ind w:left="114" w:right="146" w:firstLine="1"/>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eastAsia="zh-CN"/>
              </w:rPr>
              <w:t xml:space="preserve">具备WebShell攻击、文件包含漏洞利用、目录遍历等攻击的防护功能。</w:t>
            </w:r>
            <w:r/>
          </w:p>
          <w:p>
            <w:pPr>
              <w:pStyle w:val="1022"/>
              <w:ind w:left="114" w:right="146" w:firstLine="1"/>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支持双栈：支持IPV6功能；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能够识别和阻断SQL注入攻击、Cookie 注入攻击、命令注入攻击、跨站脚本(XSS)攻击 </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支持多种爬虫攻击防护：包括但不限于内置爬虫对象库，自定义爬虫对象，导入或者下载后端服务器robots.txt 等方式提供爬虫攻击防护</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DOS防护：支持基线学习，可以自动学习用户http正常流量阈值模型，并给出推荐阈值配置项。对DDoS流量支持检测清洗和强制防御两种模式，检测清洗根据是否到达阈值对流量进行清洗，强制清洗对所有流量直接进行流量清洗判</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rPr>
                <w:rFonts w:hint="eastAsia"/>
                <w:color w:val="auto"/>
                <w:sz w:val="24"/>
                <w:szCs w:val="24"/>
                <w:highlight w:val="none"/>
              </w:rPr>
            </w:pPr>
            <w:r>
              <w:rPr>
                <w:rFonts w:hint="eastAsia" w:ascii="Times New Roman" w:hAnsi="Times New Roman" w:eastAsia="仿宋" w:cs="Times New Roman"/>
                <w:color w:val="auto"/>
                <w:sz w:val="21"/>
                <w:szCs w:val="22"/>
                <w:highlight w:val="none"/>
                <w:lang w:val="en-US" w:eastAsia="zh-CN" w:bidi="ar-SA"/>
              </w:rPr>
              <w:t xml:space="preserve">暂无内容</w:t>
            </w:r>
            <w:r/>
          </w:p>
        </w:tc>
      </w:tr>
    </w:tbl>
    <w:p>
      <w:pPr>
        <w:rPr>
          <w:color w:val="auto"/>
          <w:highlight w:val="none"/>
          <w:lang w:eastAsia="zh-CN"/>
        </w:rPr>
      </w:pPr>
      <w:r>
        <w:rPr>
          <w:color w:val="auto"/>
          <w:highlight w:val="none"/>
          <w:lang w:eastAsia="zh-CN"/>
        </w:rPr>
      </w:r>
      <w:r/>
    </w:p>
    <w:p>
      <w:pPr>
        <w:pStyle w:val="717"/>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4.2.4 边界安全能力服务-视频云边界-2台防火墙</w:t>
      </w:r>
      <w:r/>
    </w:p>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部署视频云和政务外网边界2台防火墙，对视频云网之间互访流量进行管控。具体配置如下：</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231"/>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 xml:space="preserve">配置千兆电口</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4</w:t>
            </w:r>
            <w:r>
              <w:rPr>
                <w:rFonts w:hint="eastAsia" w:ascii="Times New Roman" w:hAnsi="Times New Roman" w:eastAsia="仿宋" w:cs="Times New Roman"/>
                <w:color w:val="auto"/>
                <w:sz w:val="22"/>
                <w:szCs w:val="22"/>
                <w:highlight w:val="none"/>
              </w:rPr>
              <w:t xml:space="preserve">个，千兆</w:t>
            </w:r>
            <w:r>
              <w:rPr>
                <w:rFonts w:hint="eastAsia" w:ascii="Times New Roman" w:hAnsi="Times New Roman" w:eastAsia="仿宋" w:cs="Times New Roman"/>
                <w:color w:val="auto"/>
                <w:sz w:val="22"/>
                <w:szCs w:val="22"/>
                <w:highlight w:val="none"/>
                <w:lang w:val="en-US" w:eastAsia="zh-CN"/>
              </w:rPr>
              <w:t xml:space="preserve">光</w:t>
            </w:r>
            <w:r>
              <w:rPr>
                <w:rFonts w:hint="eastAsia" w:ascii="Times New Roman" w:hAnsi="Times New Roman" w:eastAsia="仿宋" w:cs="Times New Roman"/>
                <w:color w:val="auto"/>
                <w:sz w:val="22"/>
                <w:szCs w:val="22"/>
                <w:highlight w:val="none"/>
              </w:rPr>
              <w:t xml:space="preserve">口</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4</w:t>
            </w:r>
            <w:r>
              <w:rPr>
                <w:rFonts w:hint="eastAsia" w:ascii="Times New Roman" w:hAnsi="Times New Roman" w:eastAsia="仿宋" w:cs="Times New Roman"/>
                <w:color w:val="auto"/>
                <w:sz w:val="22"/>
                <w:szCs w:val="22"/>
                <w:highlight w:val="none"/>
              </w:rPr>
              <w:t xml:space="preserve">个</w:t>
            </w:r>
            <w:r>
              <w:rPr>
                <w:rFonts w:ascii="Times New Roman" w:hAnsi="Times New Roman" w:eastAsia="仿宋" w:cs="Times New Roman"/>
                <w:color w:val="auto"/>
                <w:sz w:val="22"/>
                <w:szCs w:val="22"/>
                <w:highlight w:val="none"/>
              </w:rPr>
              <w:t xml:space="preserve">，万兆</w:t>
            </w:r>
            <w:r>
              <w:rPr>
                <w:rFonts w:hint="eastAsia" w:ascii="Times New Roman" w:hAnsi="Times New Roman" w:eastAsia="仿宋" w:cs="Times New Roman"/>
                <w:color w:val="auto"/>
                <w:sz w:val="22"/>
                <w:szCs w:val="22"/>
                <w:highlight w:val="none"/>
              </w:rPr>
              <w:t xml:space="preserve">光口</w:t>
            </w:r>
            <w:r>
              <w:rPr>
                <w:rFonts w:hint="eastAsia" w:ascii="Times New Roman" w:hAnsi="Times New Roman" w:eastAsia="仿宋" w:cs="Times New Roman"/>
                <w:color w:val="auto"/>
                <w:sz w:val="22"/>
                <w:szCs w:val="22"/>
                <w:highlight w:val="none"/>
                <w:lang w:eastAsia="zh-CN"/>
              </w:rPr>
              <w:t xml:space="preserve">≥</w:t>
            </w:r>
            <w:r>
              <w:rPr>
                <w:rFonts w:ascii="Times New Roman" w:hAnsi="Times New Roman" w:eastAsia="仿宋" w:cs="Times New Roman"/>
                <w:color w:val="auto"/>
                <w:sz w:val="22"/>
                <w:szCs w:val="22"/>
                <w:highlight w:val="none"/>
              </w:rPr>
              <w:t xml:space="preserve">6个,冗余电源,防火墙吞吐</w:t>
            </w:r>
            <w:r>
              <w:rPr>
                <w:rFonts w:hint="eastAsia" w:ascii="Times New Roman" w:hAnsi="Times New Roman" w:eastAsia="仿宋" w:cs="Times New Roman"/>
                <w:color w:val="auto"/>
                <w:sz w:val="22"/>
                <w:szCs w:val="22"/>
                <w:highlight w:val="none"/>
                <w:lang w:eastAsia="zh-CN"/>
              </w:rPr>
              <w:t xml:space="preserve">≥</w:t>
            </w:r>
            <w:r>
              <w:rPr>
                <w:rFonts w:hint="eastAsia" w:ascii="Times New Roman" w:hAnsi="Times New Roman" w:eastAsia="仿宋" w:cs="Times New Roman"/>
                <w:color w:val="auto"/>
                <w:sz w:val="22"/>
                <w:szCs w:val="22"/>
                <w:highlight w:val="none"/>
                <w:lang w:val="en-US" w:eastAsia="zh-CN"/>
              </w:rPr>
              <w:t xml:space="preserve">50</w:t>
            </w:r>
            <w:r>
              <w:rPr>
                <w:rFonts w:ascii="Times New Roman" w:hAnsi="Times New Roman" w:eastAsia="仿宋" w:cs="Times New Roman"/>
                <w:color w:val="auto"/>
                <w:sz w:val="22"/>
                <w:szCs w:val="22"/>
                <w:highlight w:val="none"/>
              </w:rPr>
              <w:t xml:space="preserve">G，</w:t>
            </w:r>
            <w:r>
              <w:rPr>
                <w:rFonts w:hint="eastAsia" w:ascii="Times New Roman" w:hAnsi="Times New Roman" w:eastAsia="仿宋" w:cs="Times New Roman"/>
                <w:color w:val="auto"/>
                <w:highlight w:val="none"/>
                <w:lang w:eastAsia="zh-CN"/>
              </w:rPr>
              <w:t xml:space="preserve">，并发连接≥800万，每秒新建连接≥10万</w:t>
            </w:r>
            <w:r>
              <w:rPr>
                <w:rFonts w:ascii="Times New Roman" w:hAnsi="Times New Roman" w:eastAsia="仿宋" w:cs="Times New Roman"/>
                <w:color w:val="auto"/>
                <w:sz w:val="22"/>
                <w:szCs w:val="22"/>
                <w:highlight w:val="none"/>
              </w:rPr>
              <w:t xml:space="preserve">，包含3年入侵防御、防病毒规则库升级授权。</w:t>
            </w:r>
            <w:r/>
          </w:p>
          <w:p>
            <w:pPr>
              <w:pStyle w:val="1022"/>
              <w:ind w:left="114" w:right="146" w:firstLine="1"/>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访问控制：支持一体化安全策略配置，可以通过一条策略实现五元组、源MAC、源地区、目的地区、域名、应用、服务、时间、长连接、并发会话、WEB认证、IPS、AV、URL过滤、高级威胁防护、WAF、邮件安全、数据过滤、文件过滤、僵木蠕防御、审计、数据库防护、防代理、APT等功能配置,简化用户管理</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安全防护：</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支持独立的入侵防护规则特征库；支持对HTTP/SMTP/POP3/FTP/IMAP/IM等协议进行病毒防御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双栈支持：独立IPv6路由表与安全策略配置界面。</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安全增强：基于IPv6扩展头部的深度检测（AH/ESP协议），审计日志完整记录IPv6地址的连接事件和安全威胁事件。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配置对应的IPV6授权。</w:t>
            </w:r>
            <w:r/>
          </w:p>
          <w:p>
            <w:pPr>
              <w:pStyle w:val="1022"/>
              <w:ind w:left="114" w:right="146" w:firstLine="1"/>
              <w:jc w:val="both"/>
              <w:rPr>
                <w:rFonts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highlight w:val="none"/>
                <w:lang w:eastAsia="zh-CN"/>
              </w:rPr>
              <w:t xml:space="preserve">支持针对IP、ICMP、TCP、UDP、DNS、HTTP、HTTPS、SIP、NTP等协议进行DDOS防护</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1022"/>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1022"/>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rPr>
          <w:color w:val="auto"/>
          <w:highlight w:val="none"/>
          <w:lang w:eastAsia="zh-CN"/>
        </w:rPr>
      </w:pPr>
      <w:r>
        <w:rPr>
          <w:color w:val="auto"/>
          <w:highlight w:val="none"/>
          <w:lang w:eastAsia="zh-CN"/>
        </w:rPr>
      </w:r>
      <w:r/>
    </w:p>
    <w:p>
      <w:pPr>
        <w:pStyle w:val="716"/>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3 核心应用能力服务</w:t>
      </w:r>
      <w:r/>
    </w:p>
    <w:p>
      <w:pPr>
        <w:pStyle w:val="717"/>
        <w:rPr>
          <w:rFonts w:hint="default"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4.3.1 核心应用能力服务-1套智能DNS系统</w:t>
      </w:r>
      <w:r/>
    </w:p>
    <w:p>
      <w:pPr>
        <w:ind w:left="7" w:firstLine="419"/>
        <w:jc w:val="both"/>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智能DNS系统，通过域名访问，支持HTTPS证书绑定，通过域名访问可以动态指向不同IP，便于服务器迁移和负载均衡。对暴露在政务外网云上业务系统提供域名访问、URL过滤、恶意域名过滤。支持自定义规则，防止DNS类攻击，恶意域名、URL过滤等，并且支持IPV6绑定。具体配置如下：</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硬件要求：规格要求：设备采用2U标准机架式尺寸，配置冗余电源；网络接口：千兆电口≥6个；企业级硬盘≥2TB; DNS QPS指标≥8万；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功能描述：基本功能：设备集成权威/递归/转发/缓存等多种角色DNS服务、智能DNS解析、应用服务器宕机检测、DNS流量调度、DNS安全加固、DNS数据分析、终端服务端口扫描审计、全面支持IPv6；</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管理功能：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双因子登录：支持双因子登录鉴别，支持动态令牌种子文件的导入，支持动态令牌+用户名/密码方式，防止密码重放性攻击</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CSRF防御：支持登录认证页面产生加密随机数，可以和Session会话进行对比分析，预防CSRF攻击</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权限控制：支持DNS分级授权管理。在新增用户时，可指定DNS管理组角色。通过分级管理员登录，只能管理所授权的ZONE和资源记录，支持动态加载更新</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支持设定系统的管理IP或IP范围，只允许通过管理IP访问管理系统界面</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对系统进行管理提供登录用户自动注销功能，在规定时长内不做任何操作将自动注销</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管理审计：支持操作日志的完整记录与查询，包括登录日志、IP和DNS配置日志等</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自助申请：支持二级域名注册，支持管理员审核审批域名申请工单</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多网卡绑定：支持将网卡绑定为一个逻辑网卡，实现网卡的冗余，带宽扩容和负载均衡，支持七种绑定模式</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告警管理：支持通过微信、邮件调向管理员发送告警通知消息，自带微信告警服务平台，只需关注即可使用，告警及时通知管理员</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远程管理：支持WEB远程管理，支持HTTPS访问，支持TELNET或SSH</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DNS基础服务：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DNS服务：支持包括：VIEW、ZONE、访问控制、AXFR/IXFR、IPv6，存根区、转发区、本地数据、资源记录排序等功能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资源记录：支持对NS、SOA、A、AAAA、MX、CNAME、DNAME、TXT、PTR、SRV、NAPTR、SPF、CAA等记录的解析</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记录批量修改：支持跨区域一次配置相同前缀记录，实现跨视图记录的统一增、删修改</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视图管理：支持VIEW备注，支持多区多视图，支持资源记录的修改</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递归转发：支持DNS全局和区域转发；支持区域委派功能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DNS主从：支持DNS主从实时备份机制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TTL设置：更改资源记录的TTL值，以便DNS服务器提供更好的解析响应能力</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支持IPv6：DNS解析支持IPv6，支持DNS64 </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VRRP支持：支持配置虚拟VIP，对外发布DNS服务虚拟IP，支持配置抢占/非抢占模式</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多级部署：支持域名服务系统分布式部署，各节点数据统一下发，并能保证数据一致性</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域/记录数量：DNS解析支持多个域，无限制；要求每个域下的地址记录，无限制</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DNS实用工具：提供DNS实用工具，支持WHOIS查询，网站域名ICP备案查询，中文域名PUNYCODE编码转换、Ping/Traceroute/Dig等命令工具，方便管理员运维排错。</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DNS全局负载：</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负载均衡算法：支持多种负载均衡算法，实现灵活动态的业务调度，包括就近性、全局可用性、轮询、主备等算法。支持多算法叠加。</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递归转发探测：支持转发服务器分组；支持对转发服务器健康状态进行监测，支持对异常服务器进行复检，保证异常服务器恢复后快速可用。</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智能解析：支持设定网通、电信、移动、教育、科技网等IP地址段，针对不同的地址段解析不同的IP，便于外部访问主页提高访问速度</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宕机检测：支持ICMP，TCP/端口，HTTP URL，HTTPS URL，SNMP，TCP SYN，TCP CONNECT，FTP，UDP SCAN，SNMP_LINK，SMTP，MYSQL，PostgreSQL、ORACLE等多种检测方式</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支持DNS域名解析检测，通过设定预期结果进行解析比较，实现对重点域名进行检测</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代理功能：支持正向代理功能，支持反向代理功能。支持IPv4和IPv6双栈资源转换</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DNS安全防护：</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DNS防火墙：支持禁止DNS ANY类型请求，支持防止DDOS攻击和放大攻击，支持基于IP或域名进行请求限速，支持自定义防火墙规则</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透明代理：支持DNS设备配置为桥接模式，串接入网，实现DNS透明代理功能。DNS透明代理功能截获DNS请求报文时，使用出接口上绑定的DNS服务器地址替换报文的目的地址，实现DNS对来自终端DNS请求的分流</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黑名单：支持DNS黑名单，自定义待过滤黑名单IP，实时生效</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URL过滤：支持DNS域名过滤，自定义域名URL，实时生效</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恶意域名库：支持本地恶意域名库和威胁情报库联动两种方式，威胁情报库联动要支持微步、深信服等系统（需提供界面截图，加盖投标人公章）</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恶意域名过滤：支持DNS防火墙响应策略，支持恶意域名的识别和过滤，针对域名进行阻断，支持域名不存在/存在无响应/不启用策略/强制TCP/丢弃/域名劫持等操作</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恶意排名：支持显示和下载已定义恶意域名的访问命中率报表</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DNS TSIG：支持定义TSIG，确保Zone转换、Notify、动态升级更新、递归查询邮件等DNS消息的安全，预防DNS欺骗</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数据分析：</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数据分析：具有丰富DNS解析日志及统计报告，所有节点DNS解析实时展示和统计，实时展现服务设备访问的并发数据，通过饼图、柱状图进行清晰展现，帮助网络管理员跟踪和快速解决与 DNS配置有关的问题。包括QPS、Top域名、Top IP、解析记录统计；支持中国和世界的DNS访问排名统计分析</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联动：支持与微信、钉钉办公系统联动，实现实名认证；支持微信扫描授权登录，便于IP实名溯源；支持与钉钉办公系统联动。实现实名认证，支持读取部门信息；支持钉钉扫描授权登录和钉钉账号密码登录认证两种方式，便于IP实名溯源</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IPv6绑定：支持DHCP Option79参数，支持识别IPv6终端的真实MAC，通过MAC绑定IPv6地址进行用户实名。</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服务支持：</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售后服务：所供货DNS设备的投标人或生产厂商，应能提供不低于365 x 24的标准技术支持服务，应包括但不限于客户服务网站/MAIL/电话热线服务</w:t>
            </w:r>
            <w:r/>
          </w:p>
          <w:p>
            <w:pPr>
              <w:pStyle w:val="1022"/>
              <w:ind w:left="114" w:right="146" w:firstLine="1"/>
              <w:jc w:val="both"/>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highlight w:val="none"/>
                <w:lang w:eastAsia="zh-CN"/>
              </w:rPr>
              <w:t xml:space="preserve">所供货DNS设备必须具有NBD服务，当硬件出现故障时，能够及时提供备品备件</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1022"/>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1022"/>
              <w:ind w:left="113" w:right="146" w:firstLine="7"/>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pStyle w:val="724"/>
        <w:rPr>
          <w:color w:val="auto"/>
          <w:highlight w:val="none"/>
          <w:lang w:eastAsia="zh-CN"/>
        </w:rPr>
      </w:pPr>
      <w:r>
        <w:rPr>
          <w:color w:val="auto"/>
          <w:highlight w:val="none"/>
          <w:lang w:eastAsia="zh-CN"/>
        </w:rPr>
      </w:r>
      <w:r/>
    </w:p>
    <w:p>
      <w:pPr>
        <w:pStyle w:val="717"/>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4.3.2核心应用能力服务-1台政务外网堡垒机</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部署堡垒机，收缩开发单位运维入口，按需提供文件上传、下载，统一管理权限，防止权限交叉问题，针对堡垒机服务对应设备配置要求如下：</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配置要求：硬件要求：架式硬件架构，双电源，内存≥8G，硬盘容量≥12T，配置以太网千兆电口≥6个。 </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性能要求：配置支持300个资产的管理能力。 </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浏览器兼容性：支持通过Google、IE、Firefox、Safrai浏览器对系统进行管理及访问操作</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应用发布：支持通过应用发布方式实现对B/S、C/S运维管理工具统一管理</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操作审计：支持对用户操作进行详细记录，包含但不局限于记录用户操作时间、访问设备、设备IP、源IP、用户账号及系统账号等信息，可通过Web页面回放用户相应操作记录。</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报表功能：管理员可以自定义报表模版，并支持根据不同模版自动生成日报、周报、月报，报表内容自动发送给相关管理员。</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1022"/>
              <w:ind w:left="114" w:right="146" w:firstLine="1"/>
              <w:jc w:val="both"/>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1022"/>
              <w:ind w:left="114" w:right="146" w:firstLine="1"/>
              <w:jc w:val="both"/>
              <w:rPr>
                <w:rFonts w:hint="eastAsia" w:eastAsia="宋体"/>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暂无内容</w:t>
            </w:r>
            <w:r/>
          </w:p>
        </w:tc>
      </w:tr>
    </w:tbl>
    <w:p>
      <w:pPr>
        <w:pStyle w:val="724"/>
        <w:rPr>
          <w:color w:val="auto"/>
          <w:highlight w:val="none"/>
          <w:lang w:eastAsia="zh-CN"/>
        </w:rPr>
      </w:pPr>
      <w:r>
        <w:rPr>
          <w:color w:val="auto"/>
          <w:highlight w:val="none"/>
          <w:lang w:eastAsia="zh-CN"/>
        </w:rPr>
      </w:r>
      <w:r/>
    </w:p>
    <w:p>
      <w:pPr>
        <w:pStyle w:val="717"/>
        <w:rPr>
          <w:rFonts w:hint="eastAsia" w:ascii="Arial" w:hAnsi="Arial" w:eastAsia="Arial"/>
          <w:b w:val="0"/>
          <w:color w:val="auto"/>
          <w:highlight w:val="none"/>
          <w:lang w:val="en-US" w:eastAsia="zh-CN"/>
        </w:rPr>
      </w:pPr>
      <w:r>
        <w:rPr>
          <w:rFonts w:hint="eastAsia" w:ascii="Arial" w:hAnsi="Arial" w:eastAsia="Arial"/>
          <w:b w:val="0"/>
          <w:color w:val="auto"/>
          <w:highlight w:val="none"/>
          <w:lang w:val="en-US" w:eastAsia="zh-CN"/>
        </w:rPr>
        <w:t xml:space="preserve">4.3.3 核心应用能力服务-1套统一运维管理平台</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部署统一运维管理平台，实现全网设备性能和告警实时监控，针对统一运维管理平台服务对应平台参数如下：</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18"/>
        <w:gridCol w:w="7258"/>
      </w:tblGrid>
      <w:tr>
        <w:trPr>
          <w:trHeight w:val="475"/>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18"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258"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18"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258"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拓扑展示：拓扑支持分层分级展现，用户可以选择不同层数来控制大规模的拓扑图的展现。</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整体管理：能在一个页面上提供系统总览、异常一览、报表一览。把系统的各个方面的情况及时反映。通过图形方式，实时展现查看哪些设备亚健康或哪些设备不可用，实时进行管理。</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告警方式：支持多种告警方式，包括拓扑图图标颜色变化告警，声音告警，短信告警，微信告警，邮件告警，关闭网络端口告警、运维告警等方式。</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智能巡检：支持按不同巡检内容和设备制定周期性的定点智能巡检，构建巡检规则，以模板规范标准值为依据,根据预设的要求进行数据采集,进行自主分析判断,进行定期巡检。</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工具模块：集成常用网络诊断和分析工具：Ping 、TraceRoute、链路延时、SNMP连接测试、Telnet&amp;ssh</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资产管理：至少支持Huawei、H3C等厂商的设备管理。要求具备自定义设备的管理能力（至少包括告警参数、性能指标），从而达到对新设备快速管理</w:t>
            </w:r>
            <w:r/>
          </w:p>
          <w:p>
            <w:pPr>
              <w:pStyle w:val="1022"/>
              <w:ind w:left="114" w:right="146" w:firstLine="1"/>
              <w:jc w:val="both"/>
              <w:rPr>
                <w:rFonts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网元：配置500个网络节点管理license，含告警管理、性能管理等功能</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18"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258" w:type="dxa"/>
            <w:textDirection w:val="lrTb"/>
            <w:noWrap w:val="false"/>
          </w:tcPr>
          <w:p>
            <w:pPr>
              <w:pStyle w:val="1022"/>
              <w:ind w:left="113" w:right="146" w:firstLine="7"/>
              <w:rPr>
                <w:rFonts w:hint="eastAsia"/>
                <w:color w:val="auto"/>
                <w:sz w:val="24"/>
                <w:szCs w:val="24"/>
                <w:highlight w:val="none"/>
                <w:lang w:eastAsia="zh-CN"/>
              </w:rPr>
            </w:pPr>
            <w:r>
              <w:rPr>
                <w:rFonts w:hint="eastAsia"/>
                <w:color w:val="auto"/>
                <w:sz w:val="24"/>
                <w:szCs w:val="24"/>
                <w:highlight w:val="none"/>
                <w:lang w:eastAsia="zh-CN"/>
              </w:rPr>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18"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258" w:type="dxa"/>
            <w:textDirection w:val="lrTb"/>
            <w:noWrap w:val="false"/>
          </w:tcPr>
          <w:p>
            <w:pPr>
              <w:pStyle w:val="1022"/>
              <w:ind w:left="1834"/>
              <w:rPr>
                <w:rFonts w:hint="eastAsia"/>
                <w:color w:val="auto"/>
                <w:sz w:val="24"/>
                <w:szCs w:val="24"/>
                <w:highlight w:val="none"/>
              </w:rPr>
            </w:pPr>
            <w:r>
              <w:rPr>
                <w:color w:val="auto"/>
                <w:spacing w:val="-3"/>
                <w:sz w:val="24"/>
                <w:szCs w:val="24"/>
                <w:highlight w:val="none"/>
              </w:rPr>
              <w:t xml:space="preserve">暂无内容</w:t>
            </w:r>
            <w:r/>
          </w:p>
        </w:tc>
      </w:tr>
    </w:tbl>
    <w:p>
      <w:pPr>
        <w:pStyle w:val="724"/>
        <w:rPr>
          <w:color w:val="auto"/>
          <w:highlight w:val="none"/>
          <w:lang w:eastAsia="zh-CN"/>
        </w:rPr>
      </w:pPr>
      <w:r>
        <w:rPr>
          <w:color w:val="auto"/>
          <w:highlight w:val="none"/>
          <w:lang w:eastAsia="zh-CN"/>
        </w:rPr>
      </w:r>
      <w:r/>
    </w:p>
    <w:p>
      <w:pPr>
        <w:pStyle w:val="716"/>
        <w:rPr>
          <w:rFonts w:hint="eastAsia"/>
          <w:color w:val="auto"/>
          <w:highlight w:val="none"/>
          <w:lang w:eastAsia="zh-CN"/>
        </w:rPr>
      </w:pPr>
      <w:r>
        <w:rPr>
          <w:rFonts w:hint="eastAsia"/>
          <w:color w:val="auto"/>
          <w:highlight w:val="none"/>
          <w:lang w:val="en-US" w:eastAsia="zh-CN"/>
        </w:rPr>
        <w:t xml:space="preserve">4.</w:t>
      </w:r>
      <w:r>
        <w:rPr>
          <w:rFonts w:hint="eastAsia"/>
          <w:color w:val="auto"/>
          <w:highlight w:val="none"/>
          <w:lang w:eastAsia="zh-CN"/>
        </w:rPr>
        <w:t xml:space="preserve">4 预留专网并网能力服务—2台并网汇聚交换机</w:t>
      </w:r>
      <w:r/>
    </w:p>
    <w:p>
      <w:pPr>
        <w:ind w:left="147" w:firstLine="472"/>
        <w:keepLines w:val="0"/>
        <w:keepNext w:val="0"/>
        <w:pageBreakBefore w:val="0"/>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通过增加并网汇聚层，并且部署2台并网汇聚交换机，预留后期专网并网能力。具体配置如下</w:t>
      </w:r>
      <w:r>
        <w:rPr>
          <w:rFonts w:hint="eastAsia" w:ascii="宋体" w:hAnsi="宋体" w:cs="宋体"/>
          <w:color w:val="auto"/>
          <w:spacing w:val="-2"/>
          <w:sz w:val="24"/>
          <w:szCs w:val="24"/>
          <w:highlight w:val="none"/>
          <w:lang w:eastAsia="zh-CN"/>
        </w:rPr>
        <w:t xml:space="preserve">：</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配置要求：交换容量≥1T，包转发率≥400Mpps，配置千兆SFP≥24个，万兆SFP+≥4个，支持双电源</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功能要求：实配L3VPN、IPV6等功能。</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自主可控：CPU、网络处理转发芯片为国产芯片。</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路由功能：支持策略路由、路由策略和路由负荷分担，支持静态路由、RIPv1/v2、RIPng、OSPFv2、OSPFv3、IS-ISv4、IS-ISv6、BGP、BGP4+路由协议</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VLAN</w:t>
            </w:r>
            <w:r>
              <w:rPr>
                <w:rFonts w:hint="eastAsia" w:ascii="Times New Roman" w:hAnsi="Times New Roman" w:eastAsia="仿宋" w:cs="Times New Roman"/>
                <w:color w:val="auto"/>
                <w:highlight w:val="none"/>
                <w:lang w:eastAsia="zh-CN"/>
              </w:rPr>
              <w:tab/>
            </w:r>
            <w:r>
              <w:rPr>
                <w:rFonts w:hint="eastAsia" w:ascii="Times New Roman" w:hAnsi="Times New Roman" w:eastAsia="仿宋" w:cs="Times New Roman"/>
                <w:color w:val="auto"/>
                <w:highlight w:val="none"/>
                <w:lang w:eastAsia="zh-CN"/>
              </w:rPr>
              <w:t xml:space="preserve">支持Access、Trunk、Hybrid</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支持default VLAN</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支持QinQ</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服务要求：提供三年原厂硬件质保服务和软件升级服务。</w:t>
            </w:r>
            <w:r/>
          </w:p>
          <w:p>
            <w:pPr>
              <w:pStyle w:val="1022"/>
              <w:ind w:left="114" w:right="146" w:firstLine="1"/>
              <w:jc w:val="both"/>
              <w:rPr>
                <w:rFonts w:hint="eastAsia" w:ascii="Times New Roman" w:hAnsi="Times New Roman" w:eastAsia="仿宋" w:cs="Times New Roman"/>
                <w:color w:val="auto"/>
                <w:highlight w:val="none"/>
                <w:lang w:eastAsia="zh-CN"/>
              </w:rPr>
            </w:pPr>
            <w:r>
              <w:rPr>
                <w:rFonts w:hint="eastAsia" w:ascii="Times New Roman" w:hAnsi="Times New Roman" w:eastAsia="仿宋" w:cs="Times New Roman"/>
                <w:color w:val="auto"/>
                <w:highlight w:val="none"/>
                <w:lang w:eastAsia="zh-CN"/>
              </w:rPr>
              <w:t xml:space="preserve">二层特性：支持IEEE 802.1q、IEEE 802.1p、IEEE 802.3ad和IEEE 802.1ab等协议；支持STP、RSTP、MSTP和VLAN；支持MPLS/BGP VPN。</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1022"/>
              <w:ind w:left="113" w:right="146" w:firstLine="7"/>
              <w:rPr>
                <w:rFonts w:hint="eastAsia"/>
                <w:color w:val="auto"/>
                <w:sz w:val="24"/>
                <w:szCs w:val="24"/>
                <w:highlight w:val="none"/>
                <w:lang w:eastAsia="zh-CN"/>
              </w:rPr>
            </w:pPr>
            <w:r>
              <w:rPr>
                <w:rFonts w:hint="eastAsia" w:ascii="Times New Roman" w:hAnsi="Times New Roman" w:eastAsia="仿宋" w:cs="Times New Roman"/>
                <w:color w:val="auto"/>
                <w:highlight w:val="none"/>
                <w:lang w:eastAsia="zh-CN"/>
              </w:rPr>
              <w:t xml:space="preserve">▲设备关键芯片采用国产化芯片，自主可控，需提供具有CMA认证的第三方测试报告。</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1022"/>
              <w:rPr>
                <w:rFonts w:hint="eastAsia"/>
                <w:color w:val="auto"/>
                <w:sz w:val="24"/>
                <w:szCs w:val="24"/>
                <w:highlight w:val="none"/>
              </w:rPr>
            </w:pPr>
            <w:r>
              <w:rPr>
                <w:rFonts w:hint="eastAsia" w:ascii="Times New Roman" w:hAnsi="Times New Roman" w:eastAsia="仿宋" w:cs="Times New Roman"/>
                <w:color w:val="auto"/>
                <w:highlight w:val="none"/>
                <w:lang w:eastAsia="zh-CN"/>
              </w:rPr>
              <w:t xml:space="preserve">暂无内容</w:t>
            </w:r>
            <w:r/>
          </w:p>
        </w:tc>
      </w:tr>
    </w:tbl>
    <w:p>
      <w:pPr>
        <w:pStyle w:val="724"/>
        <w:rPr>
          <w:color w:val="auto"/>
          <w:highlight w:val="none"/>
          <w:lang w:eastAsia="zh-CN"/>
        </w:rPr>
      </w:pPr>
      <w:r>
        <w:rPr>
          <w:color w:val="auto"/>
          <w:highlight w:val="none"/>
          <w:lang w:eastAsia="zh-CN"/>
        </w:rPr>
      </w:r>
      <w:r/>
    </w:p>
    <w:p>
      <w:pPr>
        <w:pStyle w:val="716"/>
        <w:rPr>
          <w:rFonts w:hint="eastAsia" w:ascii="Arial" w:hAnsi="Arial" w:eastAsia="Arial"/>
          <w:color w:val="auto"/>
          <w:highlight w:val="none"/>
          <w:lang w:val="en-US" w:eastAsia="zh-CN"/>
        </w:rPr>
      </w:pPr>
      <w:r>
        <w:rPr>
          <w:rFonts w:hint="eastAsia" w:ascii="Arial" w:hAnsi="Arial" w:eastAsia="Arial"/>
          <w:color w:val="auto"/>
          <w:highlight w:val="none"/>
          <w:lang w:val="en-US" w:eastAsia="zh-CN"/>
        </w:rPr>
        <w:t xml:space="preserve">4.5 运维保障服务</w:t>
      </w:r>
      <w:r/>
    </w:p>
    <w:p>
      <w:pPr>
        <w:ind w:firstLine="560"/>
        <w:keepLines w:val="0"/>
        <w:keepNext w:val="0"/>
        <w:pageBreakBefore w:val="0"/>
        <w:spacing w:line="240" w:lineRule="auto"/>
        <w:widowControl/>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鉴于电子政务外网相关设备在使用过程中所形成的信息留存安全，本次采购服务所落实的设备资产，服务期结束后，将统一移交数治中心。</w:t>
      </w:r>
      <w:r/>
    </w:p>
    <w:p>
      <w:pPr>
        <w:keepLines w:val="0"/>
        <w:keepNext w:val="0"/>
        <w:pageBreakBefore w:val="0"/>
        <w:spacing w:line="240" w:lineRule="auto"/>
        <w:widowControl/>
        <w:rPr>
          <w:rFonts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    结合资产管理要求，在本项目中采购</w:t>
      </w:r>
      <w:r>
        <w:rPr>
          <w:rFonts w:hint="eastAsia" w:eastAsia="仿宋" w:cs="Times New Roman"/>
          <w:color w:val="auto"/>
          <w:sz w:val="28"/>
          <w:szCs w:val="28"/>
          <w:highlight w:val="none"/>
          <w:lang w:val="en-US" w:eastAsia="zh-CN"/>
        </w:rPr>
        <w:t xml:space="preserve">资产移交后的</w:t>
      </w:r>
      <w:r>
        <w:rPr>
          <w:rFonts w:hint="eastAsia" w:ascii="Times New Roman" w:hAnsi="Times New Roman" w:eastAsia="仿宋" w:cs="Times New Roman"/>
          <w:color w:val="auto"/>
          <w:sz w:val="28"/>
          <w:szCs w:val="28"/>
          <w:highlight w:val="none"/>
          <w:lang w:eastAsia="zh-CN"/>
        </w:rPr>
        <w:t xml:space="preserve">运维保障服务</w:t>
      </w:r>
      <w:r>
        <w:rPr>
          <w:rFonts w:hint="eastAsia" w:eastAsia="仿宋" w:cs="Times New Roman"/>
          <w:color w:val="auto"/>
          <w:sz w:val="28"/>
          <w:szCs w:val="28"/>
          <w:highlight w:val="none"/>
          <w:lang w:eastAsia="zh-CN"/>
        </w:rPr>
        <w:t xml:space="preserve">，</w:t>
      </w:r>
      <w:r>
        <w:rPr>
          <w:rFonts w:hint="eastAsia" w:eastAsia="仿宋" w:cs="Times New Roman"/>
          <w:color w:val="auto"/>
          <w:sz w:val="28"/>
          <w:szCs w:val="28"/>
          <w:highlight w:val="none"/>
          <w:lang w:val="en-US" w:eastAsia="zh-CN"/>
        </w:rPr>
        <w:t xml:space="preserve">包含本项目中采购的骨干网基础能力服务、边界安全能力服务、核心应用能力服务、预留装网并网能力服务所涉及</w:t>
      </w:r>
      <w:r>
        <w:rPr>
          <w:rFonts w:hint="eastAsia" w:ascii="Times New Roman" w:hAnsi="Times New Roman" w:eastAsia="仿宋" w:cs="Times New Roman"/>
          <w:color w:val="auto"/>
          <w:sz w:val="28"/>
          <w:szCs w:val="28"/>
          <w:highlight w:val="none"/>
          <w:lang w:val="en-US" w:eastAsia="zh-CN"/>
        </w:rPr>
        <w:t xml:space="preserve">全套软件、硬件原厂质保服务，以及对应运维保障服务，运维保障服务按照对应条款响应考核</w:t>
      </w:r>
      <w:r>
        <w:rPr>
          <w:rFonts w:hint="eastAsia" w:ascii="Times New Roman" w:hAnsi="Times New Roman" w:eastAsia="仿宋" w:cs="Times New Roman"/>
          <w:color w:val="auto"/>
          <w:sz w:val="28"/>
          <w:szCs w:val="28"/>
          <w:highlight w:val="none"/>
          <w:lang w:eastAsia="zh-CN"/>
        </w:rPr>
        <w:t xml:space="preserve">。</w:t>
      </w:r>
      <w:r/>
    </w:p>
    <w:tbl>
      <w:tblPr>
        <w:tblStyle w:val="1011"/>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5"/>
        <w:gridCol w:w="1587"/>
        <w:gridCol w:w="7189"/>
      </w:tblGrid>
      <w:tr>
        <w:trPr>
          <w:trHeight w:val="475"/>
        </w:trPr>
        <w:tc>
          <w:tcPr>
            <w:tcW w:w="805" w:type="dxa"/>
            <w:vAlign w:val="center"/>
            <w:textDirection w:val="lrTb"/>
            <w:noWrap w:val="false"/>
          </w:tcPr>
          <w:p>
            <w:pPr>
              <w:pStyle w:val="1022"/>
              <w:jc w:val="center"/>
              <w:rPr>
                <w:rFonts w:hint="eastAsia"/>
                <w:color w:val="auto"/>
                <w:sz w:val="24"/>
                <w:szCs w:val="24"/>
                <w:highlight w:val="none"/>
              </w:rPr>
            </w:pPr>
            <w:r>
              <w:rPr>
                <w:color w:val="auto"/>
                <w:spacing w:val="-2"/>
                <w:sz w:val="24"/>
                <w:szCs w:val="24"/>
                <w:highlight w:val="none"/>
              </w:rPr>
              <w:t xml:space="preserve">序号</w:t>
            </w:r>
            <w:r/>
          </w:p>
        </w:tc>
        <w:tc>
          <w:tcPr>
            <w:tcW w:w="1587" w:type="dxa"/>
            <w:vAlign w:val="center"/>
            <w:textDirection w:val="lrTb"/>
            <w:noWrap w:val="false"/>
          </w:tcPr>
          <w:p>
            <w:pPr>
              <w:pStyle w:val="1022"/>
              <w:jc w:val="center"/>
              <w:rPr>
                <w:rFonts w:hint="eastAsia"/>
                <w:color w:val="auto"/>
                <w:sz w:val="24"/>
                <w:szCs w:val="24"/>
                <w:highlight w:val="none"/>
              </w:rPr>
            </w:pPr>
            <w:r>
              <w:rPr>
                <w:color w:val="auto"/>
                <w:spacing w:val="-3"/>
                <w:sz w:val="24"/>
                <w:szCs w:val="24"/>
                <w:highlight w:val="none"/>
              </w:rPr>
              <w:t xml:space="preserve">名称</w:t>
            </w:r>
            <w:r/>
          </w:p>
        </w:tc>
        <w:tc>
          <w:tcPr>
            <w:tcW w:w="7189" w:type="dxa"/>
            <w:vAlign w:val="center"/>
            <w:textDirection w:val="lrTb"/>
            <w:noWrap w:val="false"/>
          </w:tcPr>
          <w:p>
            <w:pPr>
              <w:pStyle w:val="1022"/>
              <w:jc w:val="center"/>
              <w:rPr>
                <w:rFonts w:hint="eastAsia"/>
                <w:color w:val="auto"/>
                <w:sz w:val="24"/>
                <w:szCs w:val="24"/>
                <w:highlight w:val="none"/>
              </w:rPr>
            </w:pPr>
            <w:r>
              <w:rPr>
                <w:color w:val="auto"/>
                <w:spacing w:val="-1"/>
                <w:sz w:val="24"/>
                <w:szCs w:val="24"/>
                <w:highlight w:val="none"/>
              </w:rPr>
              <w:t xml:space="preserve">功能、性能、配置要求</w:t>
            </w:r>
            <w:r/>
          </w:p>
        </w:tc>
      </w:tr>
      <w:tr>
        <w:trPr>
          <w:trHeight w:val="353"/>
        </w:trPr>
        <w:tc>
          <w:tcPr>
            <w:tcW w:w="805" w:type="dxa"/>
            <w:vAlign w:val="center"/>
            <w:textDirection w:val="lrTb"/>
            <w:noWrap w:val="false"/>
          </w:tcPr>
          <w:p>
            <w:pPr>
              <w:pStyle w:val="1022"/>
              <w:ind w:left="913"/>
              <w:rPr>
                <w:rFonts w:hint="eastAsia"/>
                <w:color w:val="auto"/>
                <w:sz w:val="24"/>
                <w:szCs w:val="24"/>
                <w:highlight w:val="none"/>
              </w:rPr>
            </w:pPr>
            <w:r>
              <w:rPr>
                <w:rFonts w:hint="eastAsia"/>
                <w:color w:val="auto"/>
                <w:sz w:val="24"/>
                <w:szCs w:val="24"/>
                <w:highlight w:val="none"/>
                <w:lang w:eastAsia="zh-CN"/>
              </w:rPr>
              <w:t xml:space="preserve">11</w:t>
            </w:r>
            <w:r>
              <w:rPr>
                <w:color w:val="auto"/>
                <w:sz w:val="24"/>
                <w:szCs w:val="24"/>
                <w:highlight w:val="none"/>
              </w:rPr>
              <w:t xml:space="preserve">1</w:t>
            </w:r>
            <w:r/>
          </w:p>
        </w:tc>
        <w:tc>
          <w:tcPr>
            <w:tcW w:w="1587" w:type="dxa"/>
            <w:vAlign w:val="center"/>
            <w:textDirection w:val="lrTb"/>
            <w:noWrap w:val="false"/>
          </w:tcPr>
          <w:p>
            <w:pPr>
              <w:pStyle w:val="1022"/>
              <w:rPr>
                <w:rFonts w:hint="eastAsia"/>
                <w:color w:val="auto"/>
                <w:sz w:val="24"/>
                <w:szCs w:val="24"/>
                <w:highlight w:val="none"/>
              </w:rPr>
            </w:pPr>
            <w:r>
              <w:rPr>
                <w:color w:val="auto"/>
                <w:spacing w:val="-2"/>
                <w:sz w:val="24"/>
                <w:szCs w:val="24"/>
                <w:highlight w:val="none"/>
              </w:rPr>
              <w:t xml:space="preserve">★实质性要求</w:t>
            </w:r>
            <w:r/>
          </w:p>
        </w:tc>
        <w:tc>
          <w:tcPr>
            <w:tcW w:w="7189" w:type="dxa"/>
            <w:vAlign w:val="center"/>
            <w:textDirection w:val="lrTb"/>
            <w:noWrap w:val="false"/>
          </w:tcPr>
          <w:p>
            <w:pPr>
              <w:pStyle w:val="1022"/>
              <w:numPr>
                <w:ilvl w:val="0"/>
                <w:numId w:val="0"/>
              </w:numPr>
              <w:ind w:left="115" w:right="146"/>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一、质保服务要求：</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本项目中采购的骨干网基础能力服务、边界安全能力服务、核心应用能力服务、预留装网并网能力服务所涉及全套软件、硬件资产移交后，配套2年全体系原厂质保及安全设备许可服务，覆盖上述四类能力涉及的全部软硬件资产，提供硬件故障免费更换、原厂技术兜底支持，保障政务外网长期稳定运行。</w:t>
            </w:r>
            <w:r/>
          </w:p>
          <w:p>
            <w:pPr>
              <w:pStyle w:val="1022"/>
              <w:numPr>
                <w:ilvl w:val="0"/>
                <w:numId w:val="0"/>
              </w:numPr>
              <w:ind w:left="115" w:right="146"/>
              <w:jc w:val="both"/>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二、运维保障服务要求：</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1、7×24 小时实时监控服务</w:t>
            </w:r>
            <w:r/>
          </w:p>
          <w:p>
            <w:pPr>
              <w:pStyle w:val="1022"/>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设备状态监控：CPU、内存、端口、电源、风扇、板卡状态</w:t>
            </w:r>
            <w:r/>
          </w:p>
          <w:p>
            <w:pPr>
              <w:pStyle w:val="1022"/>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链路监控：带宽利用率、延迟、丢包、抖动、链路通断</w:t>
            </w:r>
            <w:r/>
          </w:p>
          <w:p>
            <w:pPr>
              <w:pStyle w:val="1022"/>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业务监控：路由状态、策略状态、会话数、解析成功率、调度健康度</w:t>
            </w:r>
            <w:r/>
          </w:p>
          <w:p>
            <w:pPr>
              <w:pStyle w:val="1022"/>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安全监控：攻击告警、异常访问、越权操作、策略冲突</w:t>
            </w:r>
            <w:r/>
          </w:p>
          <w:p>
            <w:pPr>
              <w:pStyle w:val="1022"/>
              <w:numPr>
                <w:ilvl w:val="0"/>
                <w:numId w:val="5"/>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异常自动告警：短信 / 邮件 / 平台实时推送</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2. 配置管理与版本管理</w:t>
            </w:r>
            <w:r/>
          </w:p>
          <w:p>
            <w:pPr>
              <w:pStyle w:val="1022"/>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配置定期自动备份（每日 / 每周）</w:t>
            </w:r>
            <w:r/>
          </w:p>
          <w:p>
            <w:pPr>
              <w:pStyle w:val="1022"/>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配置变更审核、实施、回滚机制</w:t>
            </w:r>
            <w:r/>
          </w:p>
          <w:p>
            <w:pPr>
              <w:pStyle w:val="1022"/>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版本合规检查：固件 / 系统版本升级、补丁更新</w:t>
            </w:r>
            <w:r/>
          </w:p>
          <w:p>
            <w:pPr>
              <w:pStyle w:val="1022"/>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配置基线固化：防误改、防漏配、防冲突</w:t>
            </w:r>
            <w:r/>
          </w:p>
          <w:p>
            <w:pPr>
              <w:pStyle w:val="1022"/>
              <w:numPr>
                <w:ilvl w:val="0"/>
                <w:numId w:val="6"/>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双机热备 / 集群配置一致性检查</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3. 故障排查与快速恢复</w:t>
            </w:r>
            <w:r/>
          </w:p>
          <w:p>
            <w:pPr>
              <w:pStyle w:val="1022"/>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设备宕机、端口 DOWN、链路中断快速定位</w:t>
            </w:r>
            <w:r/>
          </w:p>
          <w:p>
            <w:pPr>
              <w:pStyle w:val="1022"/>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路由不可达、策略不生效、NAT 异常处理</w:t>
            </w:r>
            <w:r/>
          </w:p>
          <w:p>
            <w:pPr>
              <w:pStyle w:val="1022"/>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负载均衡调度异常、节点摘除、会话异常处理</w:t>
            </w:r>
            <w:r/>
          </w:p>
          <w:p>
            <w:pPr>
              <w:pStyle w:val="1022"/>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智能 DNS 解析失败、劫持、调度错误处理</w:t>
            </w:r>
            <w:r/>
          </w:p>
          <w:p>
            <w:pPr>
              <w:pStyle w:val="1022"/>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堡垒机登录失败、权限异常、审计中断处置</w:t>
            </w:r>
            <w:r/>
          </w:p>
          <w:p>
            <w:pPr>
              <w:pStyle w:val="1022"/>
              <w:numPr>
                <w:ilvl w:val="0"/>
                <w:numId w:val="7"/>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故障分级响应，提供快速恢复保障</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4. 安全运维与加固服务</w:t>
            </w:r>
            <w:r/>
          </w:p>
          <w:p>
            <w:pPr>
              <w:pStyle w:val="1022"/>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防火墙策略审计、冗余策略清理、最小权限优化</w:t>
            </w:r>
            <w:r/>
          </w:p>
          <w:p>
            <w:pPr>
              <w:pStyle w:val="1022"/>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入侵防御库、病毒库、特征库升级</w:t>
            </w:r>
            <w:r/>
          </w:p>
          <w:p>
            <w:pPr>
              <w:pStyle w:val="1022"/>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 DDoS、端口扫描、暴力破解防护</w:t>
            </w:r>
            <w:r/>
          </w:p>
          <w:p>
            <w:pPr>
              <w:pStyle w:val="1022"/>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设备账号密码安全、权限最小化管理</w:t>
            </w:r>
            <w:r/>
          </w:p>
          <w:p>
            <w:pPr>
              <w:pStyle w:val="1022"/>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关闭危险服务、禁用弱口令、日志安全审计</w:t>
            </w:r>
            <w:r/>
          </w:p>
          <w:p>
            <w:pPr>
              <w:pStyle w:val="1022"/>
              <w:numPr>
                <w:ilvl w:val="0"/>
                <w:numId w:val="8"/>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安全漏洞扫描与加固建议</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5. 性能优化与健康保障</w:t>
            </w:r>
            <w:r/>
          </w:p>
          <w:p>
            <w:pPr>
              <w:pStyle w:val="1022"/>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网络拥塞分析、带宽瓶颈优化</w:t>
            </w:r>
            <w:r/>
          </w:p>
          <w:p>
            <w:pPr>
              <w:pStyle w:val="1022"/>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路由策略优化、负载均衡算法调优</w:t>
            </w:r>
            <w:r/>
          </w:p>
          <w:p>
            <w:pPr>
              <w:pStyle w:val="1022"/>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DNS 智能调度优化、运营商线路质量优化</w:t>
            </w:r>
            <w:r/>
          </w:p>
          <w:p>
            <w:pPr>
              <w:pStyle w:val="1022"/>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设备散热、环境、硬件状态巡检</w:t>
            </w:r>
            <w:r/>
          </w:p>
          <w:p>
            <w:pPr>
              <w:pStyle w:val="1022"/>
              <w:numPr>
                <w:ilvl w:val="0"/>
                <w:numId w:val="9"/>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长期性能趋势分析，提前预警瓶颈</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6. 变更与演练服务</w:t>
            </w:r>
            <w:r/>
          </w:p>
          <w:p>
            <w:pPr>
              <w:pStyle w:val="1022"/>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设备升级、割接、扩容、迁移方案制定与实施</w:t>
            </w:r>
            <w:r/>
          </w:p>
          <w:p>
            <w:pPr>
              <w:pStyle w:val="1022"/>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双机热备切换演练</w:t>
            </w:r>
            <w:r/>
          </w:p>
          <w:p>
            <w:pPr>
              <w:pStyle w:val="1022"/>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链路故障自动切换演练</w:t>
            </w:r>
            <w:r/>
          </w:p>
          <w:p>
            <w:pPr>
              <w:pStyle w:val="1022"/>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DNS 智能调度切流演练</w:t>
            </w:r>
            <w:r/>
          </w:p>
          <w:p>
            <w:pPr>
              <w:pStyle w:val="1022"/>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防火墙主备切换演练</w:t>
            </w:r>
            <w:r/>
          </w:p>
          <w:p>
            <w:pPr>
              <w:pStyle w:val="1022"/>
              <w:numPr>
                <w:ilvl w:val="0"/>
                <w:numId w:val="10"/>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变更后验证、测试、回滚保障</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7. 日志审计与合规保障</w:t>
            </w:r>
            <w:r/>
          </w:p>
          <w:p>
            <w:pPr>
              <w:pStyle w:val="1022"/>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设备运行日志、安全日志、访问日志留存</w:t>
            </w:r>
            <w:r/>
          </w:p>
          <w:p>
            <w:pPr>
              <w:pStyle w:val="1022"/>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堡垒机操作、指令审计、高危操作拦截</w:t>
            </w:r>
            <w:r/>
          </w:p>
          <w:p>
            <w:pPr>
              <w:pStyle w:val="1022"/>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运维操作可追溯、可审计、可复盘</w:t>
            </w:r>
            <w:r/>
          </w:p>
          <w:p>
            <w:pPr>
              <w:pStyle w:val="1022"/>
              <w:numPr>
                <w:ilvl w:val="0"/>
                <w:numId w:val="11"/>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满足等保 / 监管要求的审计输出</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 周期性巡检服务</w:t>
            </w:r>
            <w:r/>
          </w:p>
          <w:p>
            <w:pPr>
              <w:pStyle w:val="1022"/>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每日巡检：设备状态、链路状态、告警处理</w:t>
            </w:r>
            <w:r/>
          </w:p>
          <w:p>
            <w:pPr>
              <w:pStyle w:val="1022"/>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每周巡检：配置备份、策略检查、性能趋势</w:t>
            </w:r>
            <w:r/>
          </w:p>
          <w:p>
            <w:pPr>
              <w:pStyle w:val="1022"/>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月度巡检：全面健康检查、安全风险评估</w:t>
            </w:r>
            <w:r/>
          </w:p>
          <w:p>
            <w:pPr>
              <w:pStyle w:val="1022"/>
              <w:numPr>
                <w:ilvl w:val="0"/>
                <w:numId w:val="12"/>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季度 / 年度：深度优化、架构评估、扩容建议</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9. 应急响应服务</w:t>
            </w:r>
            <w:r/>
          </w:p>
          <w:p>
            <w:pPr>
              <w:pStyle w:val="1022"/>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网络中断应急处置</w:t>
            </w:r>
            <w:r/>
          </w:p>
          <w:p>
            <w:pPr>
              <w:pStyle w:val="1022"/>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安全攻击事件应急</w:t>
            </w:r>
            <w:r/>
          </w:p>
          <w:p>
            <w:pPr>
              <w:pStyle w:val="1022"/>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设备硬件故障应急</w:t>
            </w:r>
            <w:r/>
          </w:p>
          <w:p>
            <w:pPr>
              <w:pStyle w:val="1022"/>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业务大面积异常应急</w:t>
            </w:r>
            <w:r/>
          </w:p>
          <w:p>
            <w:pPr>
              <w:pStyle w:val="1022"/>
              <w:numPr>
                <w:ilvl w:val="0"/>
                <w:numId w:val="13"/>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提供应急方案、处置记录、复盘报告</w:t>
            </w:r>
            <w:r/>
          </w:p>
          <w:p>
            <w:pPr>
              <w:pStyle w:val="1022"/>
              <w:numPr>
                <w:ilvl w:val="0"/>
                <w:numId w:val="0"/>
              </w:numPr>
              <w:ind w:left="115" w:right="146"/>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10. 运维报告输出</w:t>
            </w:r>
            <w:r/>
          </w:p>
          <w:p>
            <w:pPr>
              <w:pStyle w:val="1022"/>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日报：告警、故障、变更记录</w:t>
            </w:r>
            <w:r/>
          </w:p>
          <w:p>
            <w:pPr>
              <w:pStyle w:val="1022"/>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周报：运行概况、问题统计</w:t>
            </w:r>
            <w:r/>
          </w:p>
          <w:p>
            <w:pPr>
              <w:pStyle w:val="1022"/>
              <w:numPr>
                <w:ilvl w:val="0"/>
                <w:numId w:val="14"/>
              </w:numPr>
              <w:ind w:left="0" w:right="146" w:firstLine="283"/>
              <w:jc w:val="both"/>
              <w:rPr>
                <w:rFonts w:hint="eastAsia"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月报：性能分析、安全风险、优化建议、故障总结</w:t>
            </w:r>
            <w:r/>
          </w:p>
          <w:p>
            <w:pPr>
              <w:pStyle w:val="1022"/>
              <w:numPr>
                <w:ilvl w:val="0"/>
                <w:numId w:val="14"/>
              </w:numPr>
              <w:ind w:left="0" w:right="146" w:firstLine="283"/>
              <w:jc w:val="both"/>
              <w:rPr>
                <w:rFonts w:hint="default" w:ascii="Times New Roman" w:hAnsi="Times New Roman" w:eastAsia="仿宋" w:cs="Times New Roman"/>
                <w:color w:val="auto"/>
                <w:sz w:val="28"/>
                <w:szCs w:val="28"/>
                <w:highlight w:val="none"/>
                <w:lang w:val="en-US" w:eastAsia="zh-CN"/>
              </w:rPr>
            </w:pPr>
            <w:r>
              <w:rPr>
                <w:rFonts w:hint="eastAsia" w:ascii="Times New Roman" w:hAnsi="Times New Roman" w:eastAsia="仿宋" w:cs="Times New Roman"/>
                <w:color w:val="auto"/>
                <w:highlight w:val="none"/>
                <w:lang w:val="en-US" w:eastAsia="zh-CN"/>
              </w:rPr>
              <w:t xml:space="preserve">专项报告：演练报告、安全评估报告、架构优化报告</w:t>
            </w:r>
            <w:r/>
          </w:p>
        </w:tc>
      </w:tr>
      <w:tr>
        <w:trPr>
          <w:trHeight w:val="252"/>
        </w:trPr>
        <w:tc>
          <w:tcPr>
            <w:tcW w:w="805" w:type="dxa"/>
            <w:textDirection w:val="lrTb"/>
            <w:noWrap w:val="false"/>
          </w:tcPr>
          <w:p>
            <w:pPr>
              <w:pStyle w:val="1022"/>
              <w:ind w:left="898"/>
              <w:rPr>
                <w:rFonts w:hint="eastAsia"/>
                <w:color w:val="auto"/>
                <w:sz w:val="24"/>
                <w:szCs w:val="24"/>
                <w:highlight w:val="none"/>
              </w:rPr>
            </w:pPr>
            <w:r>
              <w:rPr>
                <w:color w:val="auto"/>
                <w:sz w:val="24"/>
                <w:szCs w:val="24"/>
                <w:highlight w:val="none"/>
              </w:rPr>
              <w:t xml:space="preserve">2</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非实质性要求</w:t>
            </w:r>
            <w:r/>
          </w:p>
        </w:tc>
        <w:tc>
          <w:tcPr>
            <w:tcW w:w="7189" w:type="dxa"/>
            <w:textDirection w:val="lrTb"/>
            <w:noWrap w:val="false"/>
          </w:tcPr>
          <w:p>
            <w:pPr>
              <w:pStyle w:val="1022"/>
              <w:ind w:left="113" w:right="146" w:firstLine="7"/>
              <w:rPr>
                <w:rFonts w:hint="default"/>
                <w:color w:val="auto"/>
                <w:sz w:val="24"/>
                <w:szCs w:val="24"/>
                <w:highlight w:val="none"/>
                <w:lang w:val="en-US" w:eastAsia="zh-CN"/>
              </w:rPr>
            </w:pPr>
            <w:r>
              <w:rPr>
                <w:rFonts w:hint="eastAsia" w:ascii="Times New Roman" w:hAnsi="Times New Roman" w:eastAsia="仿宋" w:cs="Times New Roman"/>
                <w:color w:val="auto"/>
                <w:highlight w:val="none"/>
                <w:lang w:val="en-US" w:eastAsia="zh-CN"/>
              </w:rPr>
              <w:t xml:space="preserve">无</w:t>
            </w:r>
            <w:r/>
          </w:p>
        </w:tc>
      </w:tr>
      <w:tr>
        <w:trPr>
          <w:trHeight w:val="456"/>
        </w:trPr>
        <w:tc>
          <w:tcPr>
            <w:tcW w:w="805" w:type="dxa"/>
            <w:textDirection w:val="lrTb"/>
            <w:noWrap w:val="false"/>
          </w:tcPr>
          <w:p>
            <w:pPr>
              <w:pStyle w:val="1022"/>
              <w:ind w:left="900"/>
              <w:rPr>
                <w:rFonts w:hint="eastAsia"/>
                <w:color w:val="auto"/>
                <w:sz w:val="24"/>
                <w:szCs w:val="24"/>
                <w:highlight w:val="none"/>
              </w:rPr>
            </w:pPr>
            <w:r>
              <w:rPr>
                <w:color w:val="auto"/>
                <w:sz w:val="24"/>
                <w:szCs w:val="24"/>
                <w:highlight w:val="none"/>
              </w:rPr>
              <w:t xml:space="preserve">3</w:t>
            </w:r>
            <w:r/>
          </w:p>
        </w:tc>
        <w:tc>
          <w:tcPr>
            <w:tcW w:w="1587" w:type="dxa"/>
            <w:textDirection w:val="lrTb"/>
            <w:noWrap w:val="false"/>
          </w:tcPr>
          <w:p>
            <w:pPr>
              <w:pStyle w:val="1022"/>
              <w:rPr>
                <w:rFonts w:hint="eastAsia"/>
                <w:color w:val="auto"/>
                <w:sz w:val="24"/>
                <w:szCs w:val="24"/>
                <w:highlight w:val="none"/>
              </w:rPr>
            </w:pPr>
            <w:r>
              <w:rPr>
                <w:color w:val="auto"/>
                <w:spacing w:val="-2"/>
                <w:sz w:val="24"/>
                <w:szCs w:val="24"/>
                <w:highlight w:val="none"/>
              </w:rPr>
              <w:t xml:space="preserve">参考图片</w:t>
            </w:r>
            <w:r/>
          </w:p>
        </w:tc>
        <w:tc>
          <w:tcPr>
            <w:tcW w:w="7189" w:type="dxa"/>
            <w:textDirection w:val="lrTb"/>
            <w:noWrap w:val="false"/>
          </w:tcPr>
          <w:p>
            <w:pPr>
              <w:pStyle w:val="1022"/>
              <w:ind w:left="113" w:right="146" w:firstLine="7"/>
              <w:rPr>
                <w:rFonts w:hint="eastAsia"/>
                <w:color w:val="auto"/>
                <w:sz w:val="24"/>
                <w:szCs w:val="24"/>
                <w:highlight w:val="none"/>
              </w:rPr>
            </w:pPr>
            <w:r>
              <w:rPr>
                <w:rFonts w:hint="eastAsia" w:ascii="Times New Roman" w:hAnsi="Times New Roman" w:eastAsia="仿宋" w:cs="Times New Roman"/>
                <w:color w:val="auto"/>
                <w:highlight w:val="none"/>
                <w:lang w:val="en-US" w:eastAsia="zh-CN"/>
              </w:rPr>
              <w:t xml:space="preserve">暂无内容</w:t>
            </w:r>
            <w:r/>
          </w:p>
        </w:tc>
      </w:tr>
    </w:tbl>
    <w:p>
      <w:pPr>
        <w:pStyle w:val="724"/>
        <w:rPr>
          <w:rFonts w:hint="eastAsia"/>
        </w:rPr>
      </w:pPr>
      <w:r>
        <w:rPr>
          <w:rFonts w:hint="eastAsia"/>
        </w:rPr>
      </w:r>
      <w:r/>
    </w:p>
    <w:p>
      <w:pPr>
        <w:ind w:firstLine="480"/>
        <w:keepLines w:val="0"/>
        <w:keepNext w:val="0"/>
        <w:pageBreakBefore w:val="0"/>
        <w:spacing w:line="264" w:lineRule="auto"/>
        <w:widowControl w:val="off"/>
        <w:rPr>
          <w:rFonts w:hint="eastAsia" w:ascii="宋体" w:hAnsi="宋体" w:eastAsia="宋体" w:cs="宋体"/>
          <w:b/>
          <w:bCs/>
          <w:color w:val="000000"/>
          <w:sz w:val="24"/>
          <w:szCs w:val="24"/>
        </w:rPr>
        <w:outlineLvl w:val="2"/>
      </w:pPr>
      <w:r>
        <w:rPr>
          <w:rFonts w:hint="eastAsia" w:ascii="黑体" w:hAnsi="黑体" w:eastAsia="黑体" w:cs="黑体"/>
          <w:b/>
          <w:bCs/>
          <w:color w:val="000000"/>
          <w:sz w:val="24"/>
          <w:szCs w:val="24"/>
          <w:lang w:val="en-US" w:eastAsia="zh-CN"/>
        </w:rPr>
        <w:t xml:space="preserve">★</w:t>
      </w:r>
      <w:r>
        <w:rPr>
          <w:rFonts w:hint="eastAsia" w:ascii="宋体" w:hAnsi="宋体" w:eastAsia="宋体" w:cs="宋体"/>
          <w:b/>
          <w:bCs/>
          <w:color w:val="000000"/>
          <w:sz w:val="24"/>
          <w:szCs w:val="24"/>
        </w:rPr>
        <w:t xml:space="preserve">（二）商务要求</w:t>
      </w:r>
      <w:r/>
    </w:p>
    <w:p>
      <w:pPr>
        <w:pStyle w:val="716"/>
        <w:rPr>
          <w:lang w:val="en-US" w:eastAsia="zh-CN"/>
        </w:rPr>
      </w:pPr>
      <w:r>
        <w:rPr>
          <w:rFonts w:hint="eastAsia"/>
          <w:lang w:val="en-US" w:eastAsia="zh-CN"/>
        </w:rPr>
        <w:t xml:space="preserve">1.</w:t>
      </w:r>
      <w:r>
        <w:rPr>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w:t>
      </w:r>
      <w:r>
        <w:rPr>
          <w:rFonts w:hint="eastAsia" w:ascii="宋体" w:hAnsi="宋体" w:eastAsia="宋体" w:cs="宋体"/>
          <w:sz w:val="24"/>
          <w:szCs w:val="24"/>
        </w:rPr>
        <w:t xml:space="preserve">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报价中包含该服务项目中所涉及的设备、系统网络对接、建设、开发、运行、维护、管理、技术支持费用，不含数据中心接入网络费用。不得填报有选择性报价方案。报价表必须每项填写，不接受零报价方式。</w:t>
      </w:r>
      <w:r>
        <w:rPr>
          <w:rFonts w:hint="eastAsia" w:ascii="宋体" w:hAnsi="宋体" w:eastAsia="宋体" w:cs="宋体"/>
          <w:b/>
          <w:bCs/>
          <w:sz w:val="24"/>
          <w:szCs w:val="24"/>
          <w:highlight w:val="none"/>
          <w:lang w:val="en-US" w:eastAsia="zh-CN"/>
        </w:rPr>
        <w:t xml:space="preserve">每项提供对应的分项报价</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见</w:t>
      </w:r>
      <w:r>
        <w:rPr>
          <w:rFonts w:hint="eastAsia" w:ascii="宋体" w:hAnsi="宋体" w:cs="宋体"/>
          <w:b/>
          <w:bCs/>
          <w:sz w:val="24"/>
          <w:szCs w:val="24"/>
          <w:highlight w:val="none"/>
          <w:lang w:val="en-US" w:eastAsia="zh-CN"/>
        </w:rPr>
        <w:t xml:space="preserve">响应文件格式-分项报价表。</w:t>
      </w:r>
      <w:r/>
    </w:p>
    <w:p>
      <w:pPr>
        <w:pStyle w:val="716"/>
        <w:rPr>
          <w:rFonts w:hint="eastAsia"/>
          <w:lang w:val="en-US" w:eastAsia="zh-CN"/>
        </w:rPr>
      </w:pPr>
      <w:r>
        <w:rPr>
          <w:rFonts w:hint="eastAsia"/>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供应商需针对本项目开发规范建立规范、完整的开发文档。主要包括需求分析、概要设计、详细设计、代码文档、测试文档、系统实施手册、管理员手册、使用手册等。开发过程中发生需求变更、设计调整等情况时，要有规范的、可回溯的记录文档。产品和所有技术文档要具有严格的一致性。</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highlight w:val="none"/>
          <w:lang w:val="en-US" w:eastAsia="zh-CN"/>
        </w:rPr>
        <w:t xml:space="preserve">鉴于一二平面的关系，</w:t>
      </w:r>
      <w:r>
        <w:rPr>
          <w:rFonts w:hint="eastAsia" w:ascii="宋体" w:hAnsi="宋体" w:eastAsia="宋体" w:cs="宋体"/>
          <w:color w:val="auto"/>
          <w:sz w:val="24"/>
          <w:szCs w:val="24"/>
          <w:highlight w:val="none"/>
          <w:lang w:val="en-US" w:eastAsia="zh-CN"/>
        </w:rPr>
        <w:t xml:space="preserve">以及新区电子政务外网链路汇聚情况，本次服务所对应设备需存放在新区电子政务外网机房，相关托管费用由数治中心另外支付，不在本项目采购费用范围内。</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p>
    <w:p>
      <w:pPr>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供应商需针对售后服务响应时效做出承诺。</w:t>
      </w:r>
      <w:r>
        <w:rPr>
          <w:rFonts w:hint="eastAsia" w:ascii="宋体" w:hAnsi="宋体"/>
          <w:color w:val="000000"/>
          <w:sz w:val="24"/>
          <w:szCs w:val="24"/>
        </w:rPr>
        <w:t xml:space="preserve">疑难问题（不危及运行）在 24小时内答复用户。重大问题（危及运行）在 2 小时内到现场处理或通过网络远程处理。特大问题（系统不能正常运行）在 2 小时内恢复系统运行，并在 24 小时内派技术人员到现场解决。</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①</w:t>
      </w:r>
      <w:r>
        <w:rPr>
          <w:rFonts w:hint="eastAsia" w:ascii="宋体" w:hAnsi="宋体" w:cs="Times New Roman"/>
          <w:color w:val="000000"/>
          <w:sz w:val="24"/>
          <w:szCs w:val="24"/>
          <w:lang w:val="en-US" w:eastAsia="zh-CN"/>
        </w:rPr>
        <w:t xml:space="preserve">相关软件、硬件设备</w:t>
      </w:r>
      <w:r>
        <w:rPr>
          <w:rFonts w:hint="eastAsia" w:ascii="宋体" w:hAnsi="宋体" w:eastAsia="宋体" w:cs="Times New Roman"/>
          <w:color w:val="000000"/>
          <w:sz w:val="24"/>
          <w:szCs w:val="24"/>
          <w:lang w:val="en-US" w:eastAsia="zh-CN"/>
        </w:rPr>
        <w:t xml:space="preserve">部署和调试后，</w:t>
      </w:r>
      <w:r>
        <w:rPr>
          <w:rFonts w:hint="eastAsia" w:ascii="宋体" w:hAnsi="宋体" w:eastAsia="宋体" w:cs="Times New Roman"/>
          <w:color w:val="000000"/>
          <w:sz w:val="24"/>
          <w:szCs w:val="24"/>
          <w:highlight w:val="none"/>
          <w:lang w:val="en-US" w:eastAsia="zh-CN"/>
        </w:rPr>
        <w:t xml:space="preserve">采购人将组织</w:t>
      </w:r>
      <w:r>
        <w:rPr>
          <w:rFonts w:hint="eastAsia" w:ascii="宋体" w:hAnsi="宋体" w:eastAsia="宋体" w:cs="宋体"/>
          <w:spacing w:val="2"/>
          <w:sz w:val="24"/>
          <w:szCs w:val="24"/>
          <w:highlight w:val="none"/>
          <w:lang w:eastAsia="zh-CN"/>
        </w:rPr>
        <w:t xml:space="preserve">服务交付能力验收</w:t>
      </w:r>
      <w:r>
        <w:rPr>
          <w:rFonts w:hint="eastAsia" w:ascii="宋体" w:hAnsi="宋体" w:eastAsia="宋体" w:cs="Times New Roman"/>
          <w:color w:val="000000"/>
          <w:sz w:val="24"/>
          <w:szCs w:val="24"/>
          <w:highlight w:val="none"/>
          <w:lang w:val="en-US" w:eastAsia="zh-CN"/>
        </w:rPr>
        <w:t xml:space="preserve">，以采购人验收报告为最终验收结果。验收时发现未完成安装部署的、未进行调试的，采购人有权要求供应商立即进行补充。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宋体"/>
          <w:spacing w:val="2"/>
          <w:sz w:val="24"/>
          <w:szCs w:val="24"/>
          <w:highlight w:val="none"/>
          <w:lang w:eastAsia="zh-CN"/>
        </w:rPr>
        <w:t xml:space="preserve">交付能力</w:t>
      </w:r>
      <w:r>
        <w:rPr>
          <w:rFonts w:hint="eastAsia" w:ascii="宋体" w:hAnsi="宋体" w:eastAsia="宋体" w:cs="Times New Roman"/>
          <w:color w:val="000000"/>
          <w:sz w:val="24"/>
          <w:szCs w:val="24"/>
          <w:highlight w:val="none"/>
          <w:lang w:val="en-US" w:eastAsia="zh-CN"/>
        </w:rPr>
        <w:t xml:space="preserve">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为验收依据。验收合格</w:t>
      </w:r>
      <w:r>
        <w:rPr>
          <w:rFonts w:hint="eastAsia" w:ascii="宋体" w:hAnsi="宋体" w:cs="Times New Roman"/>
          <w:bCs w:val="0"/>
          <w:color w:val="000000"/>
          <w:sz w:val="24"/>
          <w:szCs w:val="24"/>
          <w:highlight w:val="none"/>
          <w:lang w:val="en-US" w:eastAsia="zh-CN"/>
        </w:rPr>
        <w:t xml:space="preserve">之日起计算服务期</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cs="Times New Roman"/>
          <w:color w:val="000000"/>
          <w:sz w:val="24"/>
          <w:szCs w:val="24"/>
          <w:lang w:val="en-US" w:eastAsia="zh-CN"/>
        </w:rPr>
        <w:t xml:space="preserve">服务期内，每年基于服务考核结果做费用支付</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lang w:val="en-US" w:eastAsia="zh-CN"/>
        </w:rPr>
      </w:pPr>
      <w:r>
        <w:rPr>
          <w:rFonts w:hint="eastAsia" w:ascii="宋体" w:hAnsi="宋体" w:cs="Times New Roman"/>
          <w:color w:val="000000"/>
          <w:sz w:val="24"/>
          <w:szCs w:val="24"/>
          <w:lang w:val="en-US" w:eastAsia="zh-CN"/>
        </w:rPr>
        <w:t xml:space="preserve">④运维保障服务期内，每年按照相关服务要求落实考核，按照服务考核结果做费用支付</w:t>
      </w:r>
      <w:r>
        <w:rPr>
          <w:rFonts w:hint="eastAsia" w:ascii="宋体" w:hAnsi="宋体" w:eastAsia="宋体" w:cs="Times New Roman"/>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（4）人员要求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①项目经理：1人，具有至少3年以上信息化项目管理工作经验。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②技术负责人：1人，具有至少3年以上信息化项目技术管理工作经验。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③实施人员：不少于3人，具有信息化工作经验，项目开发期间须至少1人驻</w:t>
      </w:r>
      <w:r>
        <w:rPr>
          <w:rFonts w:hint="eastAsia" w:ascii="宋体" w:hAnsi="宋体" w:cs="Times New Roman"/>
          <w:color w:val="000000"/>
          <w:sz w:val="24"/>
          <w:szCs w:val="24"/>
          <w:lang w:val="en-US" w:eastAsia="zh-CN"/>
        </w:rPr>
        <w:t xml:space="preserve">场</w:t>
      </w:r>
      <w:r>
        <w:rPr>
          <w:rFonts w:hint="eastAsia" w:ascii="宋体" w:hAnsi="宋体" w:eastAsia="宋体" w:cs="Times New Roman"/>
          <w:color w:val="000000"/>
          <w:sz w:val="24"/>
          <w:szCs w:val="24"/>
          <w:lang w:val="en-US" w:eastAsia="zh-CN"/>
        </w:rPr>
        <w:t xml:space="preserve">服务。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④运维服务人员：不少于1人，须提供驻</w:t>
      </w:r>
      <w:r>
        <w:rPr>
          <w:rFonts w:hint="eastAsia" w:ascii="宋体" w:hAnsi="宋体" w:cs="Times New Roman"/>
          <w:color w:val="000000"/>
          <w:sz w:val="24"/>
          <w:szCs w:val="24"/>
          <w:lang w:val="en-US" w:eastAsia="zh-CN"/>
        </w:rPr>
        <w:t xml:space="preserve">场</w:t>
      </w:r>
      <w:r>
        <w:rPr>
          <w:rFonts w:hint="eastAsia" w:ascii="宋体" w:hAnsi="宋体" w:eastAsia="宋体" w:cs="Times New Roman"/>
          <w:color w:val="000000"/>
          <w:sz w:val="24"/>
          <w:szCs w:val="24"/>
          <w:lang w:val="en-US" w:eastAsia="zh-CN"/>
        </w:rPr>
        <w:t xml:space="preserve">服务，具有信息化工作经验。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w:t>
      </w:r>
      <w:r>
        <w:rPr>
          <w:rFonts w:hint="eastAsia" w:ascii="宋体" w:hAnsi="宋体" w:cs="Times New Roman"/>
          <w:color w:val="000000"/>
          <w:sz w:val="24"/>
          <w:szCs w:val="24"/>
          <w:lang w:val="en-US" w:eastAsia="zh-CN"/>
        </w:rPr>
        <w:t xml:space="preserve">服务能力和软件平台</w:t>
      </w:r>
      <w:r>
        <w:rPr>
          <w:rFonts w:hint="eastAsia" w:ascii="宋体" w:hAnsi="宋体" w:eastAsia="宋体" w:cs="Times New Roman"/>
          <w:color w:val="000000"/>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信创适配要求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项目涉及的软件、硬件产品满足信创要求。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8</w:t>
      </w:r>
      <w:r>
        <w:rPr>
          <w:rFonts w:hint="eastAsia" w:ascii="宋体" w:hAnsi="宋体" w:eastAsia="宋体" w:cs="Times New Roman"/>
          <w:color w:val="000000"/>
          <w:sz w:val="24"/>
          <w:szCs w:val="24"/>
          <w:lang w:val="en-US" w:eastAsia="zh-CN"/>
        </w:rPr>
        <w:t xml:space="preserve">）网络安全等级保护测评要求</w:t>
      </w:r>
      <w:r/>
    </w:p>
    <w:p>
      <w:pPr>
        <w:pStyle w:val="724"/>
        <w:ind w:firstLine="476"/>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pacing w:val="-1"/>
          <w:sz w:val="24"/>
          <w:szCs w:val="24"/>
          <w:highlight w:val="none"/>
          <w:lang w:eastAsia="zh-CN"/>
        </w:rPr>
        <w:t xml:space="preserve">供应商若中标，在项目投入使用时，需提供政务外网核心网环境信息系统安全等级保护备案证书（公安机关颁发），要求为三级（含）以上。（注：针对上述内容供应商需提供承诺函加盖其公章后上传至投标系统）</w:t>
      </w:r>
      <w:r/>
    </w:p>
    <w:p>
      <w:pPr>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w:t>
      </w:r>
      <w:r>
        <w:rPr>
          <w:rFonts w:hint="eastAsia" w:ascii="宋体" w:hAnsi="宋体" w:cs="Times New Roman"/>
          <w:color w:val="000000"/>
          <w:sz w:val="24"/>
          <w:szCs w:val="24"/>
          <w:lang w:val="en-US" w:eastAsia="zh-CN"/>
        </w:rPr>
        <w:t xml:space="preserve">9</w:t>
      </w:r>
      <w:r>
        <w:rPr>
          <w:rFonts w:hint="eastAsia" w:ascii="宋体" w:hAnsi="宋体" w:eastAsia="宋体" w:cs="Times New Roman"/>
          <w:color w:val="000000"/>
          <w:sz w:val="24"/>
          <w:szCs w:val="24"/>
          <w:lang w:val="en-US" w:eastAsia="zh-CN"/>
        </w:rPr>
        <w:t xml:space="preserve">）网络安全和数据安全要求，外包网络安全管理要求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根据《南京江北新区政府投资信息化项目及资金管理办法实施细则（试行）》（宁新区信息化办发〔2024〕7号），合同约定付款比例原则上按以下规定执行：</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合同签订后，支付骨干网基础能力服务、边界安全能力服务、核心应用能力服务、预留装网并网能力服务共计4项服务总金额的20%作为预付款；</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服务交付能力验收通过后，开始计算服务时间，每年支付一次，支付金额为骨干网基础能力服务、边界安全能力服务、核心应用能力服务、预留装网并网能力服务共计4项服务总金额*80%/3*考核系</w:t>
      </w:r>
      <w:r>
        <w:rPr>
          <w:rFonts w:hint="eastAsia" w:ascii="宋体" w:hAnsi="宋体" w:eastAsia="宋体" w:cs="Times New Roman"/>
          <w:color w:val="000000"/>
          <w:sz w:val="24"/>
          <w:szCs w:val="24"/>
          <w:lang w:val="en-US" w:eastAsia="zh-CN"/>
        </w:rPr>
        <w:t xml:space="preserve">数；服务期结束后，相关设备资产移数治中心；</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自资产移交完成日起计算</w:t>
      </w:r>
      <w:r>
        <w:rPr>
          <w:rFonts w:hint="eastAsia" w:ascii="宋体" w:hAnsi="宋体" w:cs="Times New Roman"/>
          <w:color w:val="000000"/>
          <w:sz w:val="24"/>
          <w:szCs w:val="24"/>
          <w:lang w:val="en-US" w:eastAsia="zh-CN"/>
        </w:rPr>
        <w:t xml:space="preserve">运维保障</w:t>
      </w:r>
      <w:r>
        <w:rPr>
          <w:rFonts w:hint="eastAsia" w:ascii="宋体" w:hAnsi="宋体" w:eastAsia="宋体" w:cs="Times New Roman"/>
          <w:color w:val="000000"/>
          <w:sz w:val="24"/>
          <w:szCs w:val="24"/>
          <w:lang w:val="en-US" w:eastAsia="zh-CN"/>
        </w:rPr>
        <w:t xml:space="preserve">期，每年支付一次，支付金额为维保年度价格*考核系数；</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基于“服务能力考核要求”得分，落实最终考核评分：考评得分90≤X≤100，结果为优秀，考核系数为1；考评得分80≤X＜90，结果为良好，考核系数为0.95；考评得分60≤X＜80，结果为合格，考核系数为0.9；考评得分X＜60，结果为不合格，不支付并追究违约责任。</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提示：根据工业和信息化部关于印发《保障中小企业款项支付投诉处理暂行办法》的通知（工信部企业〔2021〕224号），采购人未按合同约定支付款项的，供应商可以向有关部门投诉。</w:t>
      </w:r>
      <w:r/>
    </w:p>
    <w:p>
      <w:pPr>
        <w:numPr>
          <w:ilvl w:val="0"/>
          <w:numId w:val="0"/>
        </w:numPr>
        <w:ind w:firstLine="480"/>
        <w:keepLines w:val="0"/>
        <w:keepNext w:val="0"/>
        <w:pageBreakBefore w:val="0"/>
        <w:spacing w:line="264" w:lineRule="auto"/>
        <w:widowControl w:val="off"/>
        <w:rPr>
          <w:rFonts w:hint="eastAsia" w:ascii="宋体" w:hAnsi="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整体服务按照100分制，</w:t>
      </w:r>
      <w:r>
        <w:rPr>
          <w:rFonts w:hint="eastAsia" w:ascii="宋体" w:hAnsi="宋体" w:cs="Times New Roman"/>
          <w:color w:val="000000"/>
          <w:sz w:val="24"/>
          <w:szCs w:val="24"/>
          <w:lang w:val="en-US" w:eastAsia="zh-CN"/>
        </w:rPr>
        <w:t xml:space="preserve">考核要求如下：</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服务工作要求：</w:t>
      </w:r>
      <w:r>
        <w:rPr>
          <w:rFonts w:hint="eastAsia" w:ascii="宋体" w:hAnsi="宋体" w:eastAsia="宋体" w:cs="Times New Roman"/>
          <w:color w:val="000000"/>
          <w:sz w:val="24"/>
          <w:szCs w:val="24"/>
          <w:lang w:val="en-US" w:eastAsia="zh-CN"/>
        </w:rPr>
        <w:t xml:space="preserve">提供 7*24 小时的不间断技术服务,按时完成规定的日常维护服务工作以及临时派发的其他工作任务。 每发生一次间断响应，扣1分；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请求响应时间：</w:t>
      </w:r>
      <w:r>
        <w:rPr>
          <w:rFonts w:hint="eastAsia" w:ascii="宋体" w:hAnsi="宋体" w:eastAsia="宋体" w:cs="Times New Roman"/>
          <w:color w:val="000000"/>
          <w:sz w:val="24"/>
          <w:szCs w:val="24"/>
          <w:lang w:val="en-US" w:eastAsia="zh-CN"/>
        </w:rPr>
        <w:t xml:space="preserve">（1）请求响应时间小于 5 分钟； （2）反馈时间小于 30 分钟； （3）所有影响汇聚及以上的业务故障，业务恢复时间小于4小时，单汇聚节点可用性≥99.999%，单汇聚层设备到核心层线路可用性≥99.9999%。（其中用于软硬件系统安装、调试的服务中断时间不计算在内）。  以上，每发生一次不及时响应，扣1分；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配置变更任务响应：</w:t>
      </w:r>
      <w:r>
        <w:rPr>
          <w:rFonts w:hint="eastAsia" w:ascii="宋体" w:hAnsi="宋体" w:eastAsia="宋体" w:cs="Times New Roman"/>
          <w:color w:val="000000"/>
          <w:sz w:val="24"/>
          <w:szCs w:val="24"/>
          <w:lang w:val="en-US" w:eastAsia="zh-CN"/>
        </w:rPr>
        <w:t xml:space="preserve">收到用户配置变更请求后，在 3 个工作日内完成网络配置变更任务。每发生一次不及时响应，扣1分；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项目管理：</w:t>
      </w:r>
      <w:r>
        <w:rPr>
          <w:rFonts w:hint="eastAsia" w:ascii="宋体" w:hAnsi="宋体" w:eastAsia="宋体" w:cs="Times New Roman"/>
          <w:color w:val="000000"/>
          <w:sz w:val="24"/>
          <w:szCs w:val="24"/>
          <w:lang w:val="en-US" w:eastAsia="zh-CN"/>
        </w:rPr>
        <w:t xml:space="preserve">包括外包服务运行过程中的新建项目和变更项目，需根据用户需求提供合理的基础设施建设、变更方案，以及方案实施的管理流程； 每发生一次非规建设，扣5分；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资料管理：</w:t>
      </w:r>
      <w:r>
        <w:rPr>
          <w:rFonts w:hint="eastAsia" w:ascii="宋体" w:hAnsi="宋体" w:eastAsia="宋体" w:cs="Times New Roman"/>
          <w:color w:val="000000"/>
          <w:sz w:val="24"/>
          <w:szCs w:val="24"/>
          <w:lang w:val="en-US" w:eastAsia="zh-CN"/>
        </w:rPr>
        <w:t xml:space="preserve">基础设施管理资料每季度更新一次、每月提供系统运行日志，故障分析报告、运行评估报告等相关内容，同时提供文档资料的管理流程； 每发生一次未按要求提供资料的情况，扣2分；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质量管理：</w:t>
      </w:r>
      <w:r>
        <w:rPr>
          <w:rFonts w:hint="eastAsia" w:ascii="宋体" w:hAnsi="宋体" w:eastAsia="宋体" w:cs="Times New Roman"/>
          <w:color w:val="000000"/>
          <w:sz w:val="24"/>
          <w:szCs w:val="24"/>
          <w:lang w:val="en-US" w:eastAsia="zh-CN"/>
        </w:rPr>
        <w:t xml:space="preserve">建立质量控制体系，包括了解业务应用需求，制定服务标准、计划和监控工具，每半年更新一次并生成质量评估报告，提出相应的质量管理流程。每发生一次不合格质量管理或不提供更新报告，扣2分</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重大保障：</w:t>
      </w:r>
      <w:r>
        <w:rPr>
          <w:rFonts w:hint="eastAsia" w:ascii="宋体" w:hAnsi="宋体" w:eastAsia="宋体" w:cs="Times New Roman"/>
          <w:color w:val="000000"/>
          <w:sz w:val="24"/>
          <w:szCs w:val="24"/>
          <w:lang w:val="en-US" w:eastAsia="zh-CN"/>
        </w:rPr>
        <w:t xml:space="preserve">做好主要节假日、重大活动或重要通信的保障任务，制定具体的保障措施和应急预案，确保网络承载的重要业务万无一失。每发生一次不合格质量管理或不提供更新报告，扣2分；</w:t>
      </w:r>
      <w:r/>
    </w:p>
    <w:p>
      <w:pPr>
        <w:numPr>
          <w:ilvl w:val="0"/>
          <w:numId w:val="0"/>
        </w:numPr>
        <w:ind w:firstLine="480"/>
        <w:keepLines w:val="0"/>
        <w:keepNext w:val="0"/>
        <w:pageBreakBefore w:val="0"/>
        <w:spacing w:line="264"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确保相关设备许可完整性、可用性，</w:t>
      </w:r>
      <w:r>
        <w:rPr>
          <w:rFonts w:hint="eastAsia" w:ascii="宋体" w:hAnsi="宋体" w:eastAsia="宋体" w:cs="Times New Roman"/>
          <w:color w:val="000000"/>
          <w:sz w:val="24"/>
          <w:szCs w:val="24"/>
          <w:lang w:val="en-US" w:eastAsia="zh-CN"/>
        </w:rPr>
        <w:t xml:space="preserve">每发生一次服务期内无可用许可授权情况，扣1分。</w:t>
      </w:r>
      <w:r/>
    </w:p>
    <w:p>
      <w:pPr>
        <w:pStyle w:val="72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注：具体执行考核项如有更新，以南京江北新区城市数字治理中心相关服务考核管理要求为准。</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ascii="宋体" w:hAnsi="宋体" w:eastAsia="宋体" w:cs="宋体"/>
          <w:spacing w:val="2"/>
          <w:sz w:val="24"/>
          <w:szCs w:val="24"/>
          <w:lang w:eastAsia="zh-CN"/>
        </w:rPr>
        <w:t xml:space="preserve">自合同签订之日起，供应商须于90天内满足采购人</w:t>
      </w:r>
      <w:r>
        <w:rPr>
          <w:rFonts w:hint="eastAsia" w:ascii="宋体" w:hAnsi="宋体" w:eastAsia="宋体" w:cs="宋体"/>
          <w:spacing w:val="2"/>
          <w:sz w:val="24"/>
          <w:szCs w:val="24"/>
          <w:lang w:eastAsia="zh-CN"/>
        </w:rPr>
        <w:t xml:space="preserve">本项目相关</w:t>
      </w:r>
      <w:r>
        <w:rPr>
          <w:rFonts w:ascii="宋体" w:hAnsi="宋体" w:eastAsia="宋体" w:cs="宋体"/>
          <w:spacing w:val="2"/>
          <w:sz w:val="24"/>
          <w:szCs w:val="24"/>
          <w:lang w:eastAsia="zh-CN"/>
        </w:rPr>
        <w:t xml:space="preserve">上线运行的要求，并满足采购人要求的安全防护条件；105天内完成云管理平台的上线运行。</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3" w:name="OLE_LINK1"/>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.其他要求</w:t>
      </w:r>
      <w:bookmarkEnd w:id="23"/>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pStyle w:val="724"/>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br w:type="page" w:clear="all"/>
      </w:r>
      <w:r/>
    </w:p>
    <w:p>
      <w:pPr>
        <w:pStyle w:val="724"/>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rPr>
          <w:rFonts w:hint="eastAsia"/>
          <w:lang w:val="en-US" w:eastAsia="zh-CN"/>
        </w:rPr>
      </w:pPr>
      <w:r>
        <w:rPr>
          <w:rFonts w:hint="eastAsia"/>
          <w:lang w:val="en-US" w:eastAsia="zh-CN"/>
        </w:rPr>
      </w:r>
      <w:r/>
    </w:p>
    <w:p>
      <w:pPr>
        <w:pStyle w:val="101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s="宋体"/>
          <w:sz w:val="24"/>
          <w:szCs w:val="24"/>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p>
    <w:tbl>
      <w:tblPr>
        <w:tblStyle w:val="723"/>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W w:w="1179"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W w:w="6425"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W w:w="637"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W w:w="852" w:type="dxa"/>
            <w:vAlign w:val="center"/>
            <w:textDirection w:val="lrTb"/>
            <w:noWrap w:val="false"/>
          </w:tcPr>
          <w:p>
            <w:pPr>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jc w:val="center"/>
          <w:trHeight w:val="460"/>
        </w:trPr>
        <w:tc>
          <w:tcPr>
            <w:gridSpan w:val="5"/>
            <w:tcW w:w="9612" w:type="dxa"/>
            <w:vAlign w:val="top"/>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p>
        </w:tc>
      </w:tr>
      <w:tr>
        <w:trPr>
          <w:jc w:val="center"/>
          <w:trHeight w:val="1030"/>
        </w:trPr>
        <w:tc>
          <w:tcPr>
            <w:tcW w:w="519"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ascii="宋体" w:hAnsi="宋体" w:cs="宋体"/>
                <w:szCs w:val="21"/>
              </w:rPr>
            </w:pPr>
            <w:r>
              <w:rPr>
                <w:rFonts w:ascii="宋体" w:hAnsi="宋体" w:cs="宋体"/>
                <w:spacing w:val="-2"/>
                <w:szCs w:val="21"/>
              </w:rPr>
              <w:t xml:space="preserve">价格分</w:t>
            </w:r>
            <w:r/>
          </w:p>
        </w:tc>
        <w:tc>
          <w:tcPr>
            <w:tcW w:w="6425" w:type="dxa"/>
            <w:vAlign w:val="center"/>
            <w:textDirection w:val="lrTb"/>
            <w:noWrap w:val="false"/>
          </w:tcPr>
          <w:p>
            <w:pPr>
              <w:jc w:val="left"/>
              <w:spacing w:line="264" w:lineRule="auto"/>
              <w:rPr>
                <w:rFonts w:ascii="宋体" w:hAnsi="宋体" w:cs="宋体"/>
                <w:color w:val="000000"/>
                <w:szCs w:val="21"/>
              </w:rPr>
            </w:pPr>
            <w:r>
              <w:rPr>
                <w:rFonts w:ascii="宋体" w:hAnsi="宋体" w:cs="宋体"/>
                <w:color w:val="000000"/>
                <w:spacing w:val="1"/>
                <w:szCs w:val="21"/>
              </w:rPr>
              <w:t xml:space="preserve">采用低价优先</w:t>
            </w:r>
            <w:r>
              <w:rPr>
                <w:rFonts w:ascii="宋体" w:hAnsi="宋体" w:cs="宋体"/>
                <w:color w:val="000000"/>
                <w:szCs w:val="21"/>
              </w:rPr>
              <w:t xml:space="preserve">法计算</w:t>
            </w:r>
            <w:r>
              <w:rPr>
                <w:rFonts w:hint="eastAsia" w:ascii="宋体" w:hAnsi="宋体" w:cs="宋体"/>
                <w:color w:val="000000"/>
                <w:szCs w:val="21"/>
              </w:rPr>
              <w:t xml:space="preserve">，</w:t>
            </w:r>
            <w:r>
              <w:rPr>
                <w:rFonts w:ascii="宋体" w:hAnsi="宋体" w:cs="宋体"/>
                <w:color w:val="000000"/>
                <w:szCs w:val="21"/>
              </w:rPr>
              <w:t xml:space="preserve">即满足</w:t>
            </w:r>
            <w:r>
              <w:rPr>
                <w:rFonts w:hint="eastAsia" w:ascii="宋体" w:hAnsi="宋体" w:cs="宋体"/>
                <w:color w:val="000000"/>
                <w:szCs w:val="21"/>
              </w:rPr>
              <w:t xml:space="preserve">采购</w:t>
            </w:r>
            <w:r>
              <w:rPr>
                <w:rFonts w:ascii="宋体" w:hAnsi="宋体" w:cs="宋体"/>
                <w:color w:val="000000"/>
                <w:szCs w:val="21"/>
              </w:rPr>
              <w:t xml:space="preserve">文件要求且</w:t>
            </w:r>
            <w:r>
              <w:rPr>
                <w:rFonts w:hint="eastAsia" w:ascii="宋体" w:hAnsi="宋体" w:cs="宋体"/>
                <w:color w:val="000000"/>
                <w:szCs w:val="21"/>
              </w:rPr>
              <w:t xml:space="preserve">最终报价</w:t>
            </w:r>
            <w:r>
              <w:rPr>
                <w:rFonts w:ascii="宋体" w:hAnsi="宋体" w:cs="宋体"/>
                <w:color w:val="000000"/>
                <w:szCs w:val="21"/>
              </w:rPr>
              <w:t xml:space="preserve">最低的</w:t>
            </w:r>
            <w:r>
              <w:rPr>
                <w:rFonts w:hint="eastAsia" w:ascii="宋体" w:hAnsi="宋体" w:cs="宋体"/>
                <w:color w:val="000000"/>
                <w:szCs w:val="21"/>
              </w:rPr>
              <w:t xml:space="preserve">供应商</w:t>
            </w:r>
            <w:r>
              <w:rPr>
                <w:rFonts w:ascii="宋体" w:hAnsi="宋体" w:cs="宋体"/>
                <w:color w:val="000000"/>
                <w:spacing w:val="1"/>
                <w:szCs w:val="21"/>
              </w:rPr>
              <w:t xml:space="preserve">报价为评标基准</w:t>
            </w:r>
            <w:r>
              <w:rPr>
                <w:rFonts w:ascii="宋体" w:hAnsi="宋体" w:cs="宋体"/>
                <w:color w:val="000000"/>
                <w:szCs w:val="21"/>
              </w:rPr>
              <w:t xml:space="preserve">价</w:t>
            </w:r>
            <w:r>
              <w:rPr>
                <w:rFonts w:hint="eastAsia" w:ascii="宋体" w:hAnsi="宋体" w:cs="宋体"/>
                <w:color w:val="000000"/>
                <w:szCs w:val="21"/>
              </w:rPr>
              <w:t xml:space="preserve">，</w:t>
            </w:r>
            <w:r>
              <w:rPr>
                <w:rFonts w:ascii="宋体" w:hAnsi="宋体" w:cs="宋体"/>
                <w:color w:val="000000"/>
                <w:szCs w:val="21"/>
              </w:rPr>
              <w:t xml:space="preserve">其价格分为满分。其他</w:t>
            </w:r>
            <w:r>
              <w:rPr>
                <w:rFonts w:hint="eastAsia" w:ascii="宋体" w:hAnsi="宋体" w:cs="宋体"/>
                <w:color w:val="000000"/>
                <w:szCs w:val="21"/>
              </w:rPr>
              <w:t xml:space="preserve">供应商</w:t>
            </w:r>
            <w:r>
              <w:rPr>
                <w:rFonts w:ascii="宋体" w:hAnsi="宋体" w:cs="宋体"/>
                <w:color w:val="000000"/>
                <w:szCs w:val="21"/>
              </w:rPr>
              <w:t xml:space="preserve">的价格分统一按</w:t>
            </w:r>
            <w:r>
              <w:rPr>
                <w:rFonts w:ascii="宋体" w:hAnsi="宋体" w:cs="宋体"/>
                <w:color w:val="000000"/>
                <w:spacing w:val="-1"/>
                <w:szCs w:val="21"/>
              </w:rPr>
              <w:t xml:space="preserve">照下列公</w:t>
            </w:r>
            <w:r>
              <w:rPr>
                <w:rFonts w:ascii="宋体" w:hAnsi="宋体" w:cs="宋体"/>
                <w:color w:val="000000"/>
                <w:szCs w:val="21"/>
              </w:rPr>
              <w:t xml:space="preserve">式计算：报价得分=(评标基准价/</w:t>
            </w:r>
            <w:r>
              <w:rPr>
                <w:rFonts w:hint="eastAsia" w:ascii="宋体" w:hAnsi="宋体" w:cs="宋体"/>
                <w:color w:val="000000"/>
                <w:szCs w:val="21"/>
              </w:rPr>
              <w:t xml:space="preserve">最终</w:t>
            </w:r>
            <w:r>
              <w:rPr>
                <w:rFonts w:ascii="宋体" w:hAnsi="宋体" w:cs="宋体"/>
                <w:color w:val="000000"/>
                <w:szCs w:val="21"/>
              </w:rPr>
              <w:t xml:space="preserve">报价)×</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（小数点保留两位）</w:t>
            </w:r>
            <w:r/>
          </w:p>
        </w:tc>
        <w:tc>
          <w:tcPr>
            <w:tcW w:w="637" w:type="dxa"/>
            <w:vAlign w:val="center"/>
            <w:textDirection w:val="lrTb"/>
            <w:noWrap w:val="false"/>
          </w:tcPr>
          <w:p>
            <w:pPr>
              <w:jc w:val="center"/>
              <w:spacing w:before="68" w:line="264"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20</w:t>
            </w:r>
            <w:r/>
          </w:p>
        </w:tc>
        <w:tc>
          <w:tcPr>
            <w:tcW w:w="852"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价格分</w:t>
            </w:r>
            <w:r/>
          </w:p>
        </w:tc>
      </w:tr>
      <w:tr>
        <w:trPr>
          <w:jc w:val="center"/>
          <w:trHeight w:val="460"/>
        </w:trPr>
        <w:tc>
          <w:tcPr>
            <w:gridSpan w:val="5"/>
            <w:tcW w:w="9612" w:type="dxa"/>
            <w:vAlign w:val="top"/>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2.服务</w:t>
            </w:r>
            <w:r/>
          </w:p>
        </w:tc>
      </w:tr>
      <w:tr>
        <w:trPr>
          <w:jc w:val="center"/>
          <w:trHeight w:val="891"/>
        </w:trPr>
        <w:tc>
          <w:tcPr>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2.1</w:t>
            </w:r>
            <w:r/>
          </w:p>
        </w:tc>
        <w:tc>
          <w:tcPr>
            <w:tcW w:w="1179" w:type="dxa"/>
            <w:vAlign w:val="center"/>
            <w:textDirection w:val="lrTb"/>
            <w:noWrap w:val="false"/>
          </w:tcPr>
          <w:p>
            <w:pPr>
              <w:ind w:right="108"/>
              <w:jc w:val="left"/>
              <w:spacing w:before="68" w:line="264" w:lineRule="auto"/>
              <w:rPr>
                <w:rFonts w:ascii="宋体" w:hAnsi="宋体" w:cs="宋体"/>
                <w:spacing w:val="-2"/>
                <w:szCs w:val="21"/>
              </w:rPr>
            </w:pPr>
            <w:r>
              <w:rPr>
                <w:rFonts w:hint="eastAsia" w:ascii="宋体" w:hAnsi="宋体" w:cs="宋体"/>
                <w:spacing w:val="-2"/>
                <w:szCs w:val="21"/>
              </w:rPr>
              <w:t xml:space="preserve">产品功能、性能、配置要求</w:t>
            </w:r>
            <w:r/>
          </w:p>
        </w:tc>
        <w:tc>
          <w:tcPr>
            <w:tcW w:w="6425" w:type="dxa"/>
            <w:vAlign w:val="center"/>
            <w:textDirection w:val="lrTb"/>
            <w:noWrap w:val="false"/>
          </w:tcPr>
          <w:p>
            <w:pPr>
              <w:spacing w:line="264" w:lineRule="auto"/>
              <w:rPr>
                <w:rFonts w:ascii="宋体" w:hAnsi="宋体" w:cs="宋体"/>
                <w:spacing w:val="1"/>
                <w:szCs w:val="21"/>
              </w:rPr>
            </w:pPr>
            <w:r>
              <w:rPr>
                <w:rFonts w:hint="eastAsia" w:ascii="宋体" w:hAnsi="宋体" w:cs="宋体"/>
                <w:spacing w:val="1"/>
                <w:szCs w:val="21"/>
              </w:rPr>
              <w:t xml:space="preserve">技术参数全部满足招标要求的得满分1</w:t>
            </w:r>
            <w:r>
              <w:rPr>
                <w:rFonts w:hint="eastAsia" w:ascii="宋体" w:hAnsi="宋体" w:cs="宋体"/>
                <w:spacing w:val="1"/>
                <w:szCs w:val="21"/>
                <w:lang w:val="en-US" w:eastAsia="zh-CN"/>
              </w:rPr>
              <w:t xml:space="preserve">2</w:t>
            </w:r>
            <w:r>
              <w:rPr>
                <w:rFonts w:hint="eastAsia" w:ascii="宋体" w:hAnsi="宋体" w:cs="宋体"/>
                <w:spacing w:val="1"/>
                <w:szCs w:val="21"/>
              </w:rPr>
              <w:t xml:space="preserve">分；打★号指标为必须满足项，如有负偏离将作为无效投标；打▲号指标为重要指标，有一项负偏离扣 </w:t>
            </w:r>
            <w:r>
              <w:rPr>
                <w:rFonts w:hint="eastAsia" w:ascii="宋体" w:hAnsi="宋体" w:cs="宋体"/>
                <w:spacing w:val="1"/>
                <w:szCs w:val="21"/>
                <w:lang w:val="en-US" w:eastAsia="zh-CN"/>
              </w:rPr>
              <w:t xml:space="preserve">3</w:t>
            </w:r>
            <w:r>
              <w:rPr>
                <w:rFonts w:hint="eastAsia" w:ascii="宋体" w:hAnsi="宋体" w:cs="宋体"/>
                <w:spacing w:val="1"/>
                <w:szCs w:val="21"/>
              </w:rPr>
              <w:t xml:space="preserve">分</w:t>
            </w:r>
            <w:r>
              <w:rPr>
                <w:rFonts w:ascii="Arial" w:hAnsi="Arial" w:eastAsia="Arial" w:cs="Arial"/>
                <w:color w:val="000000"/>
                <w:sz w:val="22"/>
                <w:highlight w:val="none"/>
              </w:rPr>
              <w:t xml:space="preserve">；扣完为止</w:t>
            </w:r>
            <w:r>
              <w:rPr>
                <w:rFonts w:hint="eastAsia" w:ascii="宋体" w:hAnsi="宋体" w:cs="宋体"/>
                <w:spacing w:val="1"/>
                <w:szCs w:val="21"/>
              </w:rPr>
              <w:t xml:space="preserve">。严重负偏离影响产品性能的经半数以上评委认定，本项得零分。</w:t>
            </w:r>
            <w:r/>
          </w:p>
        </w:tc>
        <w:tc>
          <w:tcPr>
            <w:tcW w:w="637" w:type="dxa"/>
            <w:vAlign w:val="center"/>
            <w:textDirection w:val="lrTb"/>
            <w:noWrap w:val="false"/>
          </w:tcPr>
          <w:p>
            <w:pPr>
              <w:jc w:val="center"/>
              <w:spacing w:before="68" w:line="264"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85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161"/>
        </w:trPr>
        <w:tc>
          <w:tcPr>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p>
        </w:tc>
        <w:tc>
          <w:tcPr>
            <w:tcW w:w="1179" w:type="dxa"/>
            <w:vAlign w:val="center"/>
            <w:textDirection w:val="lrTb"/>
            <w:noWrap w:val="false"/>
          </w:tcPr>
          <w:p>
            <w:pPr>
              <w:jc w:val="left"/>
              <w:spacing w:before="260" w:line="264" w:lineRule="auto"/>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总体</w:t>
            </w:r>
            <w:r>
              <w:rPr>
                <w:rFonts w:hint="eastAsia" w:ascii="宋体" w:hAnsi="宋体" w:cs="宋体"/>
                <w:spacing w:val="-2"/>
                <w:szCs w:val="21"/>
                <w:lang w:val="en-US" w:eastAsia="zh-CN"/>
              </w:rPr>
              <w:t xml:space="preserve">建设</w:t>
            </w:r>
            <w:r>
              <w:rPr>
                <w:rFonts w:hint="eastAsia" w:ascii="宋体" w:hAnsi="宋体" w:eastAsia="宋体" w:cs="宋体"/>
                <w:spacing w:val="-2"/>
                <w:szCs w:val="21"/>
                <w:lang w:val="en-US" w:eastAsia="zh-CN"/>
              </w:rPr>
              <w:t xml:space="preserve">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项目总体</w:t>
            </w:r>
            <w:r>
              <w:rPr>
                <w:rFonts w:hint="eastAsia" w:ascii="宋体" w:hAnsi="宋体" w:cs="宋体"/>
                <w:spacing w:val="1"/>
                <w:szCs w:val="21"/>
                <w:lang w:val="en-US" w:eastAsia="zh-CN"/>
              </w:rPr>
              <w:t xml:space="preserve">建设</w:t>
            </w:r>
            <w:r>
              <w:rPr>
                <w:rFonts w:hint="eastAsia" w:ascii="宋体" w:hAnsi="宋体" w:cs="宋体"/>
                <w:spacing w:val="1"/>
                <w:szCs w:val="21"/>
                <w:lang w:eastAsia="zh-CN"/>
              </w:rPr>
              <w:t xml:space="preserve">方案，内容包含但不限于①需求分析②现状分析③总体设计方案④系统总体架构，以上每项内容逐条阐述。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ascii="宋体" w:hAnsi="宋体" w:cs="宋体"/>
                <w:spacing w:val="1"/>
                <w:szCs w:val="21"/>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color w:val="ff0000"/>
                <w:szCs w:val="21"/>
                <w:lang w:val="en-US" w:eastAsia="zh-CN"/>
              </w:rPr>
            </w:pPr>
            <w:r>
              <w:rPr>
                <w:rFonts w:hint="eastAsia" w:ascii="宋体" w:hAnsi="宋体" w:cs="宋体"/>
                <w:color w:val="000000" w:themeColor="text1"/>
                <w:szCs w:val="21"/>
                <w:lang w:val="en-US" w:eastAsia="zh-CN"/>
                <w14:textFill>
                  <w14:solidFill>
                    <w14:schemeClr w14:val="tx1"/>
                  </w14:solidFill>
                </w14:textFill>
              </w:rPr>
              <w:t xml:space="preserve">8</w:t>
            </w:r>
            <w:r/>
          </w:p>
        </w:tc>
        <w:tc>
          <w:tcPr>
            <w:tcW w:w="852" w:type="dxa"/>
            <w:vAlign w:val="center"/>
            <w:textDirection w:val="lrTb"/>
            <w:noWrap w:val="false"/>
          </w:tcPr>
          <w:p>
            <w:pPr>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2.3</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eastAsia="宋体" w:cs="宋体"/>
                <w:spacing w:val="-2"/>
                <w:szCs w:val="21"/>
                <w:lang w:val="en-US" w:eastAsia="zh-CN"/>
              </w:rPr>
              <w:t xml:space="preserve">项目</w:t>
            </w:r>
            <w:r>
              <w:rPr>
                <w:rFonts w:hint="eastAsia" w:ascii="宋体" w:hAnsi="宋体" w:cs="宋体"/>
                <w:spacing w:val="-2"/>
                <w:szCs w:val="21"/>
                <w:lang w:val="en-US" w:eastAsia="zh-CN"/>
              </w:rPr>
              <w:t xml:space="preserve">实施</w:t>
            </w:r>
            <w:r>
              <w:rPr>
                <w:rFonts w:hint="eastAsia" w:ascii="宋体" w:hAnsi="宋体" w:eastAsia="宋体" w:cs="宋体"/>
                <w:spacing w:val="-2"/>
                <w:szCs w:val="21"/>
                <w:lang w:val="en-US" w:eastAsia="zh-CN"/>
              </w:rPr>
              <w:t xml:space="preserve">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项目</w:t>
            </w:r>
            <w:r>
              <w:rPr>
                <w:rFonts w:hint="eastAsia" w:ascii="宋体" w:hAnsi="宋体" w:cs="宋体"/>
                <w:spacing w:val="1"/>
                <w:szCs w:val="21"/>
                <w:lang w:val="en-US" w:eastAsia="zh-CN"/>
              </w:rPr>
              <w:t xml:space="preserve">实施</w:t>
            </w:r>
            <w:r>
              <w:rPr>
                <w:rFonts w:hint="eastAsia" w:ascii="宋体" w:hAnsi="宋体" w:cs="宋体"/>
                <w:spacing w:val="1"/>
                <w:szCs w:val="21"/>
                <w:lang w:eastAsia="zh-CN"/>
              </w:rPr>
              <w:t xml:space="preserve">方案，内容包含但不限于①进度安排②组织架构③进度控制④风险控制管理，以上每项内容逐条阐述。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2.4</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技术方案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编制技术</w:t>
            </w:r>
            <w:r>
              <w:rPr>
                <w:rFonts w:hint="eastAsia" w:ascii="宋体" w:hAnsi="宋体" w:cs="宋体"/>
                <w:spacing w:val="1"/>
                <w:szCs w:val="21"/>
                <w:lang w:eastAsia="zh-CN"/>
              </w:rPr>
              <w:t xml:space="preserve">方案，内容包含但不限于①进骨干网相关服务②边界安全相关服务③核心应用，以上每项内容逐条阐述。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6</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2.5</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网络安全方案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网络安全方案，内容包含但不限于①安全等级保护建设方案②密码应用③数据安全，以上每项内容逐条阐述。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6</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2.6</w:t>
            </w:r>
            <w:r/>
          </w:p>
        </w:tc>
        <w:tc>
          <w:tcPr>
            <w:tcW w:w="1179" w:type="dxa"/>
            <w:vAlign w:val="center"/>
            <w:textDirection w:val="lrTb"/>
            <w:noWrap w:val="false"/>
          </w:tcPr>
          <w:p>
            <w:pPr>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lang w:eastAsia="zh-CN"/>
              </w:rPr>
              <w:t xml:space="preserve">售后服务方案</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根据本项目采购需求</w:t>
            </w:r>
            <w:r>
              <w:rPr>
                <w:rFonts w:hint="eastAsia" w:ascii="宋体" w:hAnsi="宋体" w:cs="宋体"/>
                <w:spacing w:val="1"/>
                <w:szCs w:val="21"/>
                <w:lang w:val="en-US" w:eastAsia="zh-CN"/>
              </w:rPr>
              <w:t xml:space="preserve">编制</w:t>
            </w:r>
            <w:r>
              <w:rPr>
                <w:rFonts w:hint="eastAsia" w:ascii="宋体" w:hAnsi="宋体" w:cs="宋体"/>
                <w:spacing w:val="1"/>
                <w:szCs w:val="21"/>
                <w:lang w:eastAsia="zh-CN"/>
              </w:rPr>
              <w:t xml:space="preserve">售后服务方案，内容包含但不限于①详细切实可行的服务人员安排②售后服务响应标准③质保期内巡检措施</w:t>
            </w:r>
            <w:r>
              <w:rPr>
                <w:rFonts w:hint="eastAsia" w:ascii="宋体" w:hAnsi="宋体" w:cs="宋体"/>
                <w:spacing w:val="1"/>
                <w:szCs w:val="21"/>
                <w:lang w:val="en-US" w:eastAsia="zh-CN"/>
              </w:rPr>
              <w:t xml:space="preserve">④</w:t>
            </w:r>
            <w:r>
              <w:rPr>
                <w:rFonts w:hint="eastAsia" w:ascii="宋体" w:hAnsi="宋体" w:cs="宋体"/>
                <w:spacing w:val="1"/>
                <w:szCs w:val="21"/>
                <w:lang w:eastAsia="zh-CN"/>
              </w:rPr>
              <w:t xml:space="preserve">故障解决方案，以上每项内容逐条阐述。</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方案内容全面、措施有效、可行性强，且专门针对本项目，契合采购需求视为符合；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方案内容属于通用类，非专门针对本项目，部分契合采购需求视为部分符合；</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方案内容非专门针对本项目，脱离采购需求视为不符合。</w:t>
            </w:r>
            <w:r/>
          </w:p>
          <w:p>
            <w:pPr>
              <w:spacing w:line="264" w:lineRule="auto"/>
              <w:rPr>
                <w:rFonts w:hint="eastAsia" w:ascii="宋体" w:hAnsi="宋体" w:cs="宋体"/>
                <w:b/>
                <w:spacing w:val="1"/>
                <w:szCs w:val="21"/>
                <w:highlight w:val="none"/>
              </w:rPr>
            </w:pPr>
            <w:r>
              <w:rPr>
                <w:rFonts w:hint="eastAsia" w:ascii="宋体" w:hAnsi="宋体" w:cs="宋体"/>
                <w:spacing w:val="1"/>
                <w:szCs w:val="21"/>
                <w:lang w:eastAsia="zh-CN"/>
              </w:rPr>
              <w:t xml:space="preserve">上述每项内容符合得2分；部分符合得1分；不符合或不提供不得分。</w:t>
            </w:r>
            <w:r/>
          </w:p>
        </w:tc>
        <w:tc>
          <w:tcPr>
            <w:tcW w:w="637" w:type="dxa"/>
            <w:vAlign w:val="center"/>
            <w:textDirection w:val="lrTb"/>
            <w:noWrap w:val="false"/>
          </w:tcPr>
          <w:p>
            <w:pPr>
              <w:jc w:val="center"/>
              <w:spacing w:before="68" w:line="264" w:lineRule="auto"/>
              <w:rPr>
                <w:rFonts w:hint="default"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p>
        </w:tc>
        <w:tc>
          <w:tcPr>
            <w:tcW w:w="852" w:type="dxa"/>
            <w:vAlign w:val="center"/>
            <w:textDirection w:val="lrTb"/>
            <w:noWrap w:val="false"/>
          </w:tcPr>
          <w:p>
            <w:pPr>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455"/>
        </w:trPr>
        <w:tc>
          <w:tcPr>
            <w:gridSpan w:val="5"/>
            <w:tcW w:w="9612" w:type="dxa"/>
            <w:vAlign w:val="center"/>
            <w:textDirection w:val="lrTb"/>
            <w:noWrap w:val="false"/>
          </w:tcPr>
          <w:p>
            <w:pPr>
              <w:spacing w:line="264" w:lineRule="auto"/>
              <w:rPr>
                <w:rFonts w:hint="eastAsia" w:ascii="宋体" w:hAnsi="宋体" w:eastAsia="宋体" w:cs="宋体"/>
                <w:szCs w:val="21"/>
                <w:highlight w:val="none"/>
                <w:lang w:val="en-US" w:eastAsia="zh-CN"/>
              </w:rPr>
            </w:pPr>
            <w:r>
              <w:rPr>
                <w:rFonts w:hint="eastAsia" w:ascii="宋体" w:hAnsi="宋体" w:cs="宋体"/>
                <w:b/>
                <w:bCs/>
                <w:spacing w:val="-3"/>
                <w:szCs w:val="21"/>
                <w:highlight w:val="none"/>
              </w:rPr>
              <w:t xml:space="preserve">3.</w:t>
            </w:r>
            <w:r>
              <w:rPr>
                <w:rFonts w:hint="eastAsia" w:ascii="宋体" w:hAnsi="宋体" w:cs="宋体"/>
                <w:b/>
                <w:bCs/>
                <w:spacing w:val="-3"/>
                <w:szCs w:val="21"/>
                <w:highlight w:val="none"/>
                <w:lang w:eastAsia="zh-CN"/>
              </w:rPr>
              <w:t xml:space="preserve">服务</w:t>
            </w:r>
            <w:r/>
          </w:p>
        </w:tc>
      </w:tr>
      <w:tr>
        <w:trPr>
          <w:jc w:val="center"/>
          <w:trHeight w:val="1015"/>
        </w:trPr>
        <w:tc>
          <w:tcPr>
            <w:tcW w:w="519" w:type="dxa"/>
            <w:vAlign w:val="center"/>
            <w:textDirection w:val="lrTb"/>
            <w:noWrap w:val="false"/>
          </w:tcPr>
          <w:p>
            <w:pPr>
              <w:jc w:val="center"/>
              <w:spacing w:before="68" w:line="264" w:lineRule="auto"/>
              <w:rPr>
                <w:rFonts w:ascii="宋体" w:hAnsi="宋体" w:cs="宋体"/>
                <w:spacing w:val="-2"/>
                <w:szCs w:val="21"/>
                <w:highlight w:val="none"/>
              </w:rPr>
            </w:pPr>
            <w:r>
              <w:rPr>
                <w:rFonts w:ascii="宋体" w:hAnsi="宋体" w:cs="宋体"/>
                <w:spacing w:val="-2"/>
                <w:szCs w:val="21"/>
                <w:highlight w:val="none"/>
              </w:rPr>
              <w:t xml:space="preserve">3.1</w:t>
            </w:r>
            <w:r/>
          </w:p>
        </w:tc>
        <w:tc>
          <w:tcPr>
            <w:tcW w:w="1179" w:type="dxa"/>
            <w:vAlign w:val="center"/>
            <w:textDirection w:val="lrTb"/>
            <w:noWrap w:val="false"/>
          </w:tcPr>
          <w:p>
            <w:pPr>
              <w:spacing w:before="69" w:line="264" w:lineRule="auto"/>
              <w:rPr>
                <w:rFonts w:ascii="宋体" w:hAnsi="宋体" w:cs="宋体"/>
                <w:spacing w:val="-2"/>
                <w:szCs w:val="21"/>
                <w:highlight w:val="none"/>
              </w:rPr>
            </w:pPr>
            <w:r>
              <w:rPr>
                <w:rFonts w:hint="eastAsia" w:ascii="宋体" w:hAnsi="宋体" w:cs="宋体"/>
                <w:spacing w:val="-2"/>
                <w:szCs w:val="21"/>
                <w:highlight w:val="none"/>
                <w:lang w:eastAsia="zh-CN"/>
              </w:rPr>
              <w:t xml:space="preserve">项目团队人员要求</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供应商拟组织实施本项目团队成员具有以下证书:</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1、项目经理(1人)，具有高级工程师，信息系统项目管理师，CISAW- CCRC-安全运维，ITSS-IT服务项目经理，网络安全技术CCSC(I级)，每提供1个得1分，最高得5分；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2、项目技术负责人(1人)，具有高级工程师，网络安全技术CCSC，ITSS-IT服务项目经理，系统集成项目管理工程师，每提供1个得1分，最高得4分；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3、项目团队成员（不包含项目经理和项目技术负责人）具有信息安全保障人员证书、IT服务工程师(ITSS)证书、信息系统项目管理师证书，每有一人得1分，项目团队一人多证按一证计算，不重复计分，最高得3分。</w:t>
            </w:r>
            <w:r/>
          </w:p>
          <w:p>
            <w:pPr>
              <w:spacing w:line="264" w:lineRule="auto"/>
              <w:rPr>
                <w:rFonts w:ascii="宋体" w:hAnsi="宋体" w:cs="宋体"/>
                <w:szCs w:val="21"/>
                <w:highlight w:val="none"/>
              </w:rPr>
            </w:pPr>
            <w:r>
              <w:rPr>
                <w:rFonts w:hint="eastAsia" w:ascii="宋体" w:hAnsi="宋体" w:cs="宋体"/>
                <w:spacing w:val="1"/>
                <w:szCs w:val="21"/>
                <w:lang w:eastAsia="zh-CN"/>
              </w:rPr>
              <w:t xml:space="preserve">需提供团队成员身份证、资质证书复印件及投标人为其缴纳的 2025年1月以来任意一个月养老保险缴费证明材料并加盖社保中心章或社保中心参保缴费证明电子专用章并加盖投标人公章)。</w:t>
            </w:r>
            <w:r/>
          </w:p>
        </w:tc>
        <w:tc>
          <w:tcPr>
            <w:tcW w:w="637" w:type="dxa"/>
            <w:vAlign w:val="center"/>
            <w:textDirection w:val="lrTb"/>
            <w:noWrap w:val="false"/>
          </w:tcPr>
          <w:p>
            <w:pPr>
              <w:jc w:val="center"/>
              <w:spacing w:line="264" w:lineRule="auto"/>
              <w:rPr>
                <w:rFonts w:hint="default" w:ascii="宋体" w:hAnsi="宋体" w:eastAsia="宋体" w:cs="宋体"/>
                <w:color w:val="ff0000"/>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c>
          <w:tcPr>
            <w:tcW w:w="852" w:type="dxa"/>
            <w:vAlign w:val="center"/>
            <w:textDirection w:val="lrTb"/>
            <w:noWrap w:val="false"/>
          </w:tcPr>
          <w:p>
            <w:pPr>
              <w:jc w:val="center"/>
              <w:spacing w:before="68" w:line="264" w:lineRule="auto"/>
              <w:rPr>
                <w:rFonts w:hint="eastAsia" w:ascii="宋体" w:hAnsi="宋体" w:cs="宋体"/>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532"/>
        </w:trPr>
        <w:tc>
          <w:tcPr>
            <w:gridSpan w:val="5"/>
            <w:tcW w:w="9612" w:type="dxa"/>
            <w:vAlign w:val="center"/>
            <w:textDirection w:val="lrTb"/>
            <w:noWrap w:val="false"/>
          </w:tcPr>
          <w:p>
            <w:pPr>
              <w:jc w:val="left"/>
              <w:spacing w:before="68" w:line="264" w:lineRule="auto"/>
              <w:tabs>
                <w:tab w:val="left" w:pos="315" w:leader="none"/>
              </w:tabs>
              <w:rPr>
                <w:rFonts w:hint="default" w:ascii="宋体" w:hAnsi="宋体" w:eastAsia="宋体" w:cs="宋体"/>
                <w:spacing w:val="-6"/>
                <w:szCs w:val="21"/>
                <w:highlight w:val="none"/>
                <w:lang w:val="en-US" w:eastAsia="zh-CN"/>
              </w:rPr>
            </w:pPr>
            <w:r>
              <w:rPr>
                <w:rFonts w:hint="eastAsia" w:ascii="宋体" w:hAnsi="宋体" w:cs="宋体"/>
                <w:b/>
                <w:bCs/>
                <w:spacing w:val="-3"/>
                <w:szCs w:val="21"/>
                <w:highlight w:val="none"/>
              </w:rPr>
              <w:t xml:space="preserve">4.</w:t>
            </w:r>
            <w:r>
              <w:rPr>
                <w:rFonts w:hint="eastAsia" w:ascii="宋体" w:hAnsi="宋体" w:cs="宋体"/>
                <w:b/>
                <w:bCs/>
                <w:spacing w:val="-3"/>
                <w:szCs w:val="21"/>
                <w:highlight w:val="none"/>
                <w:lang w:eastAsia="zh-CN"/>
              </w:rPr>
              <w:t xml:space="preserve">业绩</w:t>
            </w:r>
            <w:r/>
          </w:p>
        </w:tc>
      </w:tr>
      <w:tr>
        <w:trPr>
          <w:jc w:val="center"/>
          <w:trHeight w:val="1015"/>
        </w:trPr>
        <w:tc>
          <w:tcPr>
            <w:tcW w:w="519" w:type="dxa"/>
            <w:vAlign w:val="center"/>
            <w:textDirection w:val="lrTb"/>
            <w:noWrap w:val="false"/>
          </w:tcPr>
          <w:p>
            <w:pPr>
              <w:jc w:val="center"/>
              <w:spacing w:before="68" w:line="264" w:lineRule="auto"/>
              <w:rPr>
                <w:rFonts w:hint="default"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4.1</w:t>
            </w:r>
            <w:r/>
          </w:p>
        </w:tc>
        <w:tc>
          <w:tcPr>
            <w:tcW w:w="1179" w:type="dxa"/>
            <w:vAlign w:val="center"/>
            <w:textDirection w:val="lrTb"/>
            <w:noWrap w:val="false"/>
          </w:tcPr>
          <w:p>
            <w:pPr>
              <w:spacing w:before="69" w:line="264" w:lineRule="auto"/>
              <w:rPr>
                <w:rFonts w:hint="eastAsia" w:ascii="宋体" w:hAnsi="宋体" w:cs="宋体"/>
                <w:spacing w:val="-2"/>
                <w:szCs w:val="21"/>
                <w:highlight w:val="none"/>
                <w:lang w:eastAsia="zh-CN"/>
              </w:rPr>
            </w:pPr>
            <w:r>
              <w:rPr>
                <w:rFonts w:hint="eastAsia" w:ascii="宋体" w:hAnsi="宋体" w:cs="宋体"/>
                <w:spacing w:val="-2"/>
                <w:szCs w:val="21"/>
                <w:highlight w:val="none"/>
                <w:lang w:eastAsia="zh-CN"/>
              </w:rPr>
              <w:t xml:space="preserve">类似业绩</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供应商自202</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年</w:t>
            </w:r>
            <w:r>
              <w:rPr>
                <w:rFonts w:hint="eastAsia" w:ascii="宋体" w:hAnsi="宋体" w:cs="宋体"/>
                <w:spacing w:val="1"/>
                <w:szCs w:val="21"/>
                <w:lang w:val="en-US" w:eastAsia="zh-CN"/>
              </w:rPr>
              <w:t xml:space="preserve">6</w:t>
            </w:r>
            <w:r>
              <w:rPr>
                <w:rFonts w:hint="eastAsia" w:ascii="宋体" w:hAnsi="宋体" w:cs="宋体"/>
                <w:spacing w:val="1"/>
                <w:szCs w:val="21"/>
                <w:lang w:eastAsia="zh-CN"/>
              </w:rPr>
              <w:t xml:space="preserve">月1日（含）以来具有承接类似案例的政务网络建设或专网改造案例，每提供一个案例得2分，最高得8分。（时间以合同签订时间为准，提供有效合同，合同页须清晰可见相应内容，中标后原件备查）</w:t>
            </w:r>
            <w:r/>
          </w:p>
        </w:tc>
        <w:tc>
          <w:tcPr>
            <w:tcW w:w="637" w:type="dxa"/>
            <w:vAlign w:val="center"/>
            <w:textDirection w:val="lrTb"/>
            <w:noWrap w:val="false"/>
          </w:tcPr>
          <w:p>
            <w:pPr>
              <w:jc w:val="center"/>
              <w:spacing w:line="264" w:lineRule="auto"/>
              <w:rPr>
                <w:rFonts w:hint="default" w:ascii="宋体" w:hAnsi="宋体" w:cs="宋体"/>
                <w:color w:val="ff0000"/>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tcW w:w="852" w:type="dxa"/>
            <w:vAlign w:val="center"/>
            <w:textDirection w:val="lrTb"/>
            <w:noWrap w:val="false"/>
          </w:tcPr>
          <w:p>
            <w:pPr>
              <w:jc w:val="center"/>
              <w:spacing w:before="68" w:line="264" w:lineRule="auto"/>
              <w:rPr>
                <w:rFonts w:hint="eastAsia" w:ascii="宋体" w:hAnsi="宋体" w:eastAsia="宋体" w:cs="宋体"/>
                <w:spacing w:val="-6"/>
                <w:szCs w:val="21"/>
                <w:highlight w:val="none"/>
                <w:lang w:eastAsia="zh-CN"/>
              </w:rPr>
            </w:pPr>
            <w:r>
              <w:rPr>
                <w:rFonts w:hint="eastAsia" w:ascii="宋体" w:hAnsi="宋体" w:cs="宋体"/>
                <w:spacing w:val="-6"/>
                <w:szCs w:val="21"/>
                <w:highlight w:val="none"/>
                <w:lang w:eastAsia="zh-CN"/>
              </w:rPr>
              <w:t xml:space="preserve">客观分</w:t>
            </w:r>
            <w:r/>
          </w:p>
        </w:tc>
      </w:tr>
      <w:tr>
        <w:trPr>
          <w:jc w:val="center"/>
          <w:trHeight w:val="269"/>
        </w:trPr>
        <w:tc>
          <w:tcPr>
            <w:gridSpan w:val="5"/>
            <w:tcW w:w="9612" w:type="dxa"/>
            <w:vAlign w:val="top"/>
            <w:textDirection w:val="lrTb"/>
            <w:noWrap w:val="false"/>
          </w:tcPr>
          <w:p>
            <w:pPr>
              <w:jc w:val="left"/>
              <w:spacing w:before="68" w:line="264" w:lineRule="auto"/>
              <w:tabs>
                <w:tab w:val="left" w:pos="315" w:leader="none"/>
              </w:tabs>
              <w:rPr>
                <w:rFonts w:hint="default" w:ascii="宋体" w:hAnsi="宋体" w:eastAsia="宋体" w:cs="宋体"/>
                <w:szCs w:val="21"/>
                <w:highlight w:val="none"/>
                <w:lang w:val="en-US" w:eastAsia="zh-CN"/>
              </w:rPr>
            </w:pPr>
            <w:r>
              <w:rPr>
                <w:rFonts w:hint="eastAsia" w:ascii="宋体" w:hAnsi="宋体" w:cs="宋体"/>
                <w:b/>
                <w:bCs/>
                <w:spacing w:val="-3"/>
                <w:szCs w:val="21"/>
                <w:highlight w:val="none"/>
                <w:lang w:val="en-US" w:eastAsia="zh-CN"/>
              </w:rPr>
              <w:t xml:space="preserve">5.履约能力</w:t>
            </w:r>
            <w:r/>
          </w:p>
        </w:tc>
      </w:tr>
      <w:tr>
        <w:trPr>
          <w:jc w:val="center"/>
          <w:trHeight w:val="792"/>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lang w:val="en-US" w:eastAsia="zh-CN"/>
              </w:rPr>
              <w:t xml:space="preserve">5</w:t>
            </w:r>
            <w:r>
              <w:rPr>
                <w:rFonts w:ascii="宋体" w:hAnsi="宋体" w:cs="宋体"/>
                <w:color w:val="000000"/>
                <w:spacing w:val="-2"/>
                <w:szCs w:val="21"/>
                <w:highlight w:val="none"/>
              </w:rPr>
              <w:t xml:space="preserve">.1</w:t>
            </w:r>
            <w:r/>
          </w:p>
        </w:tc>
        <w:tc>
          <w:tcPr>
            <w:tcW w:w="1179" w:type="dxa"/>
            <w:vAlign w:val="center"/>
            <w:textDirection w:val="lrTb"/>
            <w:noWrap w:val="false"/>
          </w:tcPr>
          <w:p>
            <w:pPr>
              <w:spacing w:line="264" w:lineRule="auto"/>
              <w:rPr>
                <w:rFonts w:hint="eastAsia" w:ascii="宋体" w:hAnsi="宋体" w:eastAsia="宋体" w:cs="宋体"/>
                <w:spacing w:val="12"/>
                <w:highlight w:val="none"/>
              </w:rPr>
            </w:pPr>
            <w:r>
              <w:rPr>
                <w:rFonts w:hint="eastAsia" w:ascii="宋体" w:hAnsi="宋体" w:eastAsia="宋体" w:cs="宋体"/>
                <w:spacing w:val="12"/>
                <w:highlight w:val="none"/>
                <w:lang w:eastAsia="zh-CN"/>
              </w:rPr>
              <w:t xml:space="preserve">履约能力1</w:t>
            </w:r>
            <w:r/>
          </w:p>
        </w:tc>
        <w:tc>
          <w:tcPr>
            <w:tcW w:w="6425" w:type="dxa"/>
            <w:vAlign w:val="center"/>
            <w:textDirection w:val="lrTb"/>
            <w:noWrap w:val="false"/>
          </w:tcPr>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1、供应商具有信息技术服务标准（ITSS)运维能力成熟度二级及以上的得 </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 分，三级及以下的得 1 分，不提供不得分。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2、供应商具有信息安全服务资质认证证书（CCRC）安全集成服务三级及以上得 </w:t>
            </w:r>
            <w:r>
              <w:rPr>
                <w:rFonts w:hint="eastAsia" w:ascii="宋体" w:hAnsi="宋体" w:cs="宋体"/>
                <w:spacing w:val="1"/>
                <w:szCs w:val="21"/>
                <w:lang w:val="en-US" w:eastAsia="zh-CN"/>
              </w:rPr>
              <w:t xml:space="preserve">3</w:t>
            </w:r>
            <w:r>
              <w:rPr>
                <w:rFonts w:hint="eastAsia" w:ascii="宋体" w:hAnsi="宋体" w:cs="宋体"/>
                <w:spacing w:val="1"/>
                <w:szCs w:val="21"/>
                <w:lang w:eastAsia="zh-CN"/>
              </w:rPr>
              <w:t xml:space="preserve"> 分，以下不得分，不提供不得分。</w:t>
            </w:r>
            <w:r/>
          </w:p>
          <w:p>
            <w:pPr>
              <w:spacing w:line="264" w:lineRule="auto"/>
              <w:rPr>
                <w:rFonts w:hint="eastAsia" w:ascii="宋体" w:hAnsi="宋体" w:cs="宋体"/>
                <w:spacing w:val="1"/>
                <w:szCs w:val="21"/>
                <w:lang w:eastAsia="zh-CN"/>
              </w:rPr>
            </w:pPr>
            <w:r>
              <w:rPr>
                <w:rFonts w:hint="eastAsia" w:ascii="宋体" w:hAnsi="宋体" w:cs="宋体"/>
                <w:spacing w:val="1"/>
                <w:szCs w:val="21"/>
                <w:lang w:eastAsia="zh-CN"/>
              </w:rPr>
              <w:t xml:space="preserve">3、供应商具有信息系统建设和服务能力评估证书CS2及以上资质得2分，以下不得分，不提供不得分。</w:t>
            </w:r>
            <w:r/>
          </w:p>
          <w:p>
            <w:pPr>
              <w:spacing w:line="264" w:lineRule="auto"/>
              <w:rPr>
                <w:rFonts w:hint="eastAsia" w:ascii="宋体" w:hAnsi="宋体" w:eastAsia="宋体" w:cs="宋体"/>
                <w:spacing w:val="12"/>
                <w:highlight w:val="none"/>
              </w:rPr>
            </w:pPr>
            <w:r>
              <w:rPr>
                <w:rFonts w:hint="eastAsia" w:ascii="宋体" w:hAnsi="宋体" w:cs="宋体"/>
                <w:spacing w:val="1"/>
                <w:szCs w:val="21"/>
                <w:lang w:eastAsia="zh-CN"/>
              </w:rPr>
              <w:t xml:space="preserve">注：提供有效证书原件扫描上传至投标系统，否则不得分。</w:t>
            </w:r>
            <w:r/>
          </w:p>
        </w:tc>
        <w:tc>
          <w:tcPr>
            <w:tcW w:w="637" w:type="dxa"/>
            <w:vAlign w:val="center"/>
            <w:textDirection w:val="lrTb"/>
            <w:noWrap w:val="false"/>
          </w:tcPr>
          <w:p>
            <w:pPr>
              <w:jc w:val="center"/>
              <w:spacing w:before="68" w:line="264"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W w:w="852" w:type="dxa"/>
            <w:vAlign w:val="center"/>
            <w:textDirection w:val="lrTb"/>
            <w:noWrap w:val="false"/>
          </w:tcPr>
          <w:p>
            <w:pPr>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344"/>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lang w:val="en-US" w:eastAsia="zh-CN"/>
              </w:rPr>
              <w:t xml:space="preserve">5</w:t>
            </w:r>
            <w:r>
              <w:rPr>
                <w:rFonts w:ascii="宋体" w:hAnsi="宋体" w:cs="宋体"/>
                <w:color w:val="000000"/>
                <w:spacing w:val="-2"/>
                <w:szCs w:val="21"/>
                <w:highlight w:val="none"/>
              </w:rPr>
              <w:t xml:space="preserve">.2</w:t>
            </w:r>
            <w:r/>
          </w:p>
        </w:tc>
        <w:tc>
          <w:tcPr>
            <w:tcW w:w="1179" w:type="dxa"/>
            <w:vAlign w:val="center"/>
            <w:textDirection w:val="lrTb"/>
            <w:noWrap w:val="false"/>
          </w:tcPr>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履约能力2 </w:t>
            </w:r>
            <w:r/>
          </w:p>
        </w:tc>
        <w:tc>
          <w:tcPr>
            <w:tcW w:w="6425" w:type="dxa"/>
            <w:vAlign w:val="center"/>
            <w:textDirection w:val="lrTb"/>
            <w:noWrap w:val="false"/>
          </w:tcPr>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需严格执行安全运维服务可用性要求，承诺认同如下处理得4分，不承诺或不认同得0分。</w:t>
            </w:r>
            <w:r/>
          </w:p>
          <w:p>
            <w:pPr>
              <w:numPr>
                <w:ilvl w:val="0"/>
                <w:numId w:val="15"/>
              </w:numPr>
              <w:spacing w:line="264" w:lineRule="auto"/>
              <w:rPr>
                <w:rFonts w:hint="eastAsia"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建立7×24小时不间断应急响应通道，重大信息安全事件（核心网络</w:t>
            </w:r>
            <w:r>
              <w:rPr>
                <w:rFonts w:hint="eastAsia" w:ascii="宋体" w:hAnsi="宋体" w:cs="宋体"/>
                <w:spacing w:val="12"/>
                <w:highlight w:val="none"/>
                <w:lang w:val="en-US" w:eastAsia="zh-CN"/>
              </w:rPr>
              <w:t xml:space="preserve">安全设备</w:t>
            </w:r>
            <w:r>
              <w:rPr>
                <w:rFonts w:hint="eastAsia" w:ascii="宋体" w:hAnsi="宋体" w:eastAsia="宋体" w:cs="宋体"/>
                <w:spacing w:val="12"/>
                <w:highlight w:val="none"/>
                <w:lang w:val="en-US" w:eastAsia="zh-CN"/>
              </w:rPr>
              <w:t xml:space="preserve">、</w:t>
            </w:r>
            <w:r>
              <w:rPr>
                <w:rFonts w:hint="eastAsia" w:ascii="宋体" w:hAnsi="宋体" w:cs="宋体"/>
                <w:spacing w:val="12"/>
                <w:highlight w:val="none"/>
                <w:lang w:val="en-US" w:eastAsia="zh-CN"/>
              </w:rPr>
              <w:t xml:space="preserve">汇聚网络安全设备</w:t>
            </w:r>
            <w:r>
              <w:rPr>
                <w:rFonts w:hint="eastAsia" w:ascii="宋体" w:hAnsi="宋体" w:eastAsia="宋体" w:cs="宋体"/>
                <w:spacing w:val="12"/>
                <w:highlight w:val="none"/>
                <w:lang w:val="en-US" w:eastAsia="zh-CN"/>
              </w:rPr>
              <w:t xml:space="preserve">瘫痪）发生后，1小时内提交完整整改方案、完成初步遏制处置，1个工作日内完成全流程处置并输出正式事件报告。</w:t>
            </w:r>
            <w:r/>
          </w:p>
          <w:p>
            <w:pPr>
              <w:numPr>
                <w:ilvl w:val="0"/>
                <w:numId w:val="15"/>
              </w:numPr>
              <w:spacing w:line="264" w:lineRule="auto"/>
              <w:rPr>
                <w:rFonts w:hint="eastAsia"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严格遵守《网络安全法》《数据安全法》《个人信息保护法》等相关法规</w:t>
            </w:r>
            <w:r>
              <w:rPr>
                <w:rFonts w:hint="eastAsia" w:ascii="宋体" w:hAnsi="宋体" w:cs="宋体"/>
                <w:spacing w:val="12"/>
                <w:highlight w:val="none"/>
                <w:lang w:val="en-US" w:eastAsia="zh-CN"/>
              </w:rPr>
              <w:t xml:space="preserve">，以及配合</w:t>
            </w:r>
            <w:r>
              <w:rPr>
                <w:rFonts w:hint="eastAsia" w:ascii="宋体" w:hAnsi="宋体" w:eastAsia="宋体" w:cs="宋体"/>
                <w:spacing w:val="12"/>
                <w:highlight w:val="none"/>
                <w:lang w:val="en-US" w:eastAsia="zh-CN"/>
              </w:rPr>
              <w:t xml:space="preserve">行业安全检查等相关工作，所有运维操作全程留痕可审计</w:t>
            </w:r>
            <w:r>
              <w:rPr>
                <w:rFonts w:hint="eastAsia" w:ascii="宋体" w:hAnsi="宋体" w:cs="宋体"/>
                <w:spacing w:val="12"/>
                <w:highlight w:val="none"/>
                <w:lang w:val="en-US" w:eastAsia="zh-CN"/>
              </w:rPr>
              <w:t xml:space="preserve">。</w:t>
            </w:r>
            <w:r/>
          </w:p>
          <w:p>
            <w:pPr>
              <w:numPr>
                <w:ilvl w:val="0"/>
                <w:numId w:val="15"/>
              </w:numPr>
              <w:spacing w:line="264" w:lineRule="auto"/>
              <w:rPr>
                <w:rFonts w:hint="default"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所有运维相关的配置文档、日志记录、事件报告均需留存不少于1</w:t>
            </w:r>
            <w:r>
              <w:rPr>
                <w:rFonts w:hint="eastAsia" w:ascii="宋体" w:hAnsi="宋体" w:cs="宋体"/>
                <w:spacing w:val="12"/>
                <w:highlight w:val="none"/>
                <w:lang w:val="en-US" w:eastAsia="zh-CN"/>
              </w:rPr>
              <w:t xml:space="preserve">2</w:t>
            </w:r>
            <w:r>
              <w:rPr>
                <w:rFonts w:hint="eastAsia" w:ascii="宋体" w:hAnsi="宋体" w:eastAsia="宋体" w:cs="宋体"/>
                <w:spacing w:val="12"/>
                <w:highlight w:val="none"/>
                <w:lang w:val="en-US" w:eastAsia="zh-CN"/>
              </w:rPr>
              <w:t xml:space="preserve">个月，满足合规审计的调阅要求</w:t>
            </w:r>
            <w:r>
              <w:rPr>
                <w:rFonts w:hint="eastAsia" w:ascii="宋体" w:hAnsi="宋体" w:cs="宋体"/>
                <w:spacing w:val="12"/>
                <w:highlight w:val="none"/>
                <w:lang w:val="en-US" w:eastAsia="zh-CN"/>
              </w:rPr>
              <w:t xml:space="preserve">。</w:t>
            </w:r>
            <w:r/>
          </w:p>
          <w:p>
            <w:pPr>
              <w:numPr>
                <w:ilvl w:val="0"/>
                <w:numId w:val="15"/>
              </w:numPr>
              <w:spacing w:line="264" w:lineRule="auto"/>
              <w:rPr>
                <w:rFonts w:hint="default"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不得以任何理由、任何形式将本项目的全部或部分安全运维工作对外分包转包，所有服务工作均由本单位认证的正式工程师完成</w:t>
            </w:r>
            <w:r>
              <w:rPr>
                <w:rFonts w:hint="eastAsia" w:ascii="宋体" w:hAnsi="宋体" w:cs="宋体"/>
                <w:spacing w:val="12"/>
                <w:highlight w:val="none"/>
                <w:lang w:val="en-US" w:eastAsia="zh-CN"/>
              </w:rPr>
              <w:t xml:space="preserve">。</w:t>
            </w:r>
            <w:r/>
          </w:p>
          <w:p>
            <w:pPr>
              <w:spacing w:line="264" w:lineRule="auto"/>
              <w:rPr>
                <w:rFonts w:hint="eastAsia" w:ascii="宋体" w:hAnsi="宋体" w:eastAsia="宋体" w:cs="宋体"/>
                <w:spacing w:val="12"/>
                <w:highlight w:val="none"/>
                <w:lang w:eastAsia="zh-CN"/>
              </w:rPr>
            </w:pPr>
            <w:r>
              <w:rPr>
                <w:rFonts w:hint="eastAsia" w:ascii="宋体" w:hAnsi="宋体" w:eastAsia="宋体" w:cs="宋体"/>
                <w:spacing w:val="12"/>
                <w:highlight w:val="none"/>
                <w:lang w:eastAsia="zh-CN"/>
              </w:rPr>
              <w:t xml:space="preserve">发生1项不满足要求，则发送通告至中标方同时当年度结算费用扣除1%；发生2项不满足要求，则发送通告至中标方同时当年度结算费用扣除3%；发生3项及以上不满足要求，则发送通告至中标方同时当年度结算费用扣除5%。</w:t>
            </w:r>
            <w:r/>
          </w:p>
        </w:tc>
        <w:tc>
          <w:tcPr>
            <w:tcW w:w="637" w:type="dxa"/>
            <w:vAlign w:val="center"/>
            <w:textDirection w:val="lrTb"/>
            <w:noWrap w:val="false"/>
          </w:tcPr>
          <w:p>
            <w:pPr>
              <w:jc w:val="center"/>
              <w:spacing w:before="68" w:line="264"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852" w:type="dxa"/>
            <w:vAlign w:val="center"/>
            <w:textDirection w:val="lrTb"/>
            <w:noWrap w:val="false"/>
          </w:tcPr>
          <w:p>
            <w:pPr>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p>
        </w:tc>
      </w:tr>
      <w:tr>
        <w:trPr>
          <w:jc w:val="center"/>
          <w:trHeight w:val="464"/>
        </w:trPr>
        <w:tc>
          <w:tcPr>
            <w:tcW w:w="519" w:type="dxa"/>
            <w:vAlign w:val="center"/>
            <w:textDirection w:val="lrTb"/>
            <w:noWrap w:val="false"/>
          </w:tcPr>
          <w:p>
            <w:pPr>
              <w:jc w:val="center"/>
              <w:spacing w:line="264" w:lineRule="auto"/>
              <w:rPr>
                <w:color w:val="ff0000"/>
                <w:szCs w:val="21"/>
                <w:highlight w:val="none"/>
              </w:rPr>
            </w:pPr>
            <w:r>
              <w:rPr>
                <w:rFonts w:ascii="宋体" w:hAnsi="宋体" w:cs="宋体"/>
                <w:spacing w:val="-3"/>
                <w:szCs w:val="21"/>
                <w:highlight w:val="none"/>
              </w:rPr>
              <w:t xml:space="preserve">合</w:t>
            </w:r>
            <w:r>
              <w:rPr>
                <w:rFonts w:ascii="宋体" w:hAnsi="宋体" w:cs="宋体"/>
                <w:spacing w:val="-2"/>
                <w:szCs w:val="21"/>
                <w:highlight w:val="none"/>
              </w:rPr>
              <w:t xml:space="preserve">计</w:t>
            </w:r>
            <w:r/>
          </w:p>
        </w:tc>
        <w:tc>
          <w:tcPr>
            <w:gridSpan w:val="2"/>
            <w:tcW w:w="7604" w:type="dxa"/>
            <w:vAlign w:val="center"/>
            <w:textDirection w:val="lrTb"/>
            <w:noWrap w:val="false"/>
          </w:tcPr>
          <w:p>
            <w:pPr>
              <w:ind w:left="172"/>
              <w:jc w:val="center"/>
              <w:spacing w:before="123" w:line="264" w:lineRule="auto"/>
              <w:rPr>
                <w:rFonts w:ascii="宋体" w:hAnsi="宋体" w:cs="宋体"/>
                <w:color w:val="ff0000"/>
                <w:spacing w:val="-2"/>
                <w:szCs w:val="21"/>
                <w:highlight w:val="none"/>
              </w:rPr>
            </w:pPr>
            <w:r>
              <w:rPr>
                <w:rFonts w:ascii="宋体" w:hAnsi="宋体" w:cs="宋体"/>
                <w:color w:val="ff0000"/>
                <w:spacing w:val="-2"/>
                <w:szCs w:val="21"/>
                <w:highlight w:val="none"/>
              </w:rPr>
            </w:r>
            <w:r/>
          </w:p>
        </w:tc>
        <w:tc>
          <w:tcPr>
            <w:gridSpan w:val="2"/>
            <w:tcW w:w="1489" w:type="dxa"/>
            <w:vAlign w:val="center"/>
            <w:textDirection w:val="lrTb"/>
            <w:noWrap w:val="false"/>
          </w:tcPr>
          <w:p>
            <w:pPr>
              <w:jc w:val="center"/>
              <w:spacing w:line="264" w:lineRule="auto"/>
              <w:rPr>
                <w:szCs w:val="21"/>
                <w:highlight w:val="none"/>
              </w:rPr>
            </w:pPr>
            <w:r>
              <w:rPr>
                <w:rFonts w:ascii="宋体" w:hAnsi="宋体" w:cs="宋体"/>
                <w:spacing w:val="-11"/>
                <w:szCs w:val="21"/>
                <w:highlight w:val="none"/>
              </w:rPr>
              <w:t xml:space="preserve">100分</w:t>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2"/>
      <w:r>
        <w:rPr>
          <w:rFonts w:hint="eastAsia" w:ascii="方正小标宋简体" w:hAnsi="方正小标宋简体" w:eastAsia="方正小标宋简体" w:cs="方正小标宋简体"/>
          <w:color w:val="000000"/>
          <w:sz w:val="36"/>
          <w:szCs w:val="36"/>
          <w:lang w:val="en-US" w:eastAsia="zh-CN"/>
        </w:rPr>
        <w:t xml:space="preserve">响应文件格式</w:t>
      </w:r>
      <w:r/>
    </w:p>
    <w:p>
      <w:pPr>
        <w:jc w:val="center"/>
        <w:rPr>
          <w:rFonts w:hint="eastAsia" w:ascii="宋体" w:hAnsi="宋体"/>
          <w:b/>
          <w:sz w:val="72"/>
          <w:szCs w:val="21"/>
        </w:rPr>
      </w:pPr>
      <w:r/>
      <w:bookmarkStart w:id="24" w:name="_Hlt26955039"/>
      <w:r/>
      <w:bookmarkEnd w:id="24"/>
      <w:r/>
      <w:bookmarkStart w:id="25" w:name="_Hlt26671244"/>
      <w:r/>
      <w:bookmarkEnd w:id="25"/>
      <w:r/>
      <w:bookmarkStart w:id="26" w:name="_Toc120614282"/>
      <w:r/>
      <w:bookmarkStart w:id="27" w:name="_Toc26554094"/>
      <w:r/>
      <w:bookmarkStart w:id="28"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highlight w:val="none"/>
          <w:u w:val="none"/>
          <w:lang w:val="en-US" w:eastAsia="zh-CN"/>
        </w:rPr>
        <w:t xml:space="preserve">法人授权书及委托代理人的身份证扫描件</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1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72"/>
        <w:rPr>
          <w:rFonts w:hint="eastAsia"/>
        </w:rPr>
      </w:pPr>
      <w:r>
        <w:rPr>
          <w:rFonts w:hint="eastAsia"/>
        </w:rPr>
      </w:r>
      <w:bookmarkEnd w:id="26"/>
      <w:r/>
      <w:bookmarkEnd w:id="27"/>
      <w:r/>
      <w:bookmarkEnd w:id="28"/>
      <w:r/>
      <w:r/>
    </w:p>
    <w:p>
      <w:pPr>
        <w:rPr>
          <w:rFonts w:hint="eastAsia" w:ascii="黑体" w:hAnsi="黑体" w:eastAsia="黑体" w:cs="Times New Roman"/>
          <w:i w:val="0"/>
          <w:color w:val="000000"/>
          <w:sz w:val="32"/>
          <w:szCs w:val="32"/>
          <w:u w:val="none"/>
          <w:lang w:val="en-US" w:eastAsia="zh-CN"/>
        </w:rPr>
      </w:pPr>
      <w:r/>
      <w:bookmarkStart w:id="29"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w:t>
      </w:r>
      <w:r>
        <w:rPr>
          <w:rFonts w:hint="eastAsia" w:ascii="黑体" w:hAnsi="黑体" w:eastAsia="黑体"/>
          <w:color w:val="000000"/>
          <w:sz w:val="32"/>
          <w:szCs w:val="32"/>
          <w:highlight w:val="none"/>
        </w:rPr>
        <w:t xml:space="preserve">法人授权书及委托代理人的身份证扫描件</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8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8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83"/>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83"/>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83"/>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83"/>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83"/>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格式3__银行出具的资信证明"/>
      <w:r/>
      <w:bookmarkEnd w:id="30"/>
      <w:r/>
      <w:bookmarkStart w:id="31" w:name="_Hlt26955070"/>
      <w:r/>
      <w:bookmarkEnd w:id="31"/>
      <w:r/>
      <w:bookmarkStart w:id="32" w:name="_Hlt26671380"/>
      <w:r/>
      <w:bookmarkEnd w:id="32"/>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2"/>
        <w:tabs>
          <w:tab w:val="left" w:pos="360" w:leader="none"/>
        </w:tabs>
        <w:rPr>
          <w:rFonts w:hint="eastAsia" w:ascii="Times New Roman" w:hAnsi="Times New Roman"/>
          <w:sz w:val="24"/>
          <w:szCs w:val="24"/>
          <w:u w:val="single"/>
        </w:rPr>
      </w:pPr>
      <w:r>
        <w:rPr>
          <w:rFonts w:hint="eastAsia"/>
          <w:b/>
          <w:sz w:val="24"/>
          <w:szCs w:val="24"/>
          <w:highlight w:val="none"/>
        </w:rPr>
        <w:t xml:space="preserve">说明：提供法人授权书的同时须提供委托代理人的身份证扫描件。</w:t>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br w:type="page" w:clear="all"/>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南京市公共资源交易中心江北新区分中心</w:t>
      </w:r>
      <w:r/>
    </w:p>
    <w:p>
      <w:pPr>
        <w:pStyle w:val="985"/>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p>
    <w:p>
      <w:pPr>
        <w:ind w:firstLine="480"/>
        <w:jc w:val="left"/>
        <w:keepLines w:val="0"/>
        <w:keepNext w:val="0"/>
        <w:pageBreakBefore w:val="0"/>
        <w:spacing w:line="360" w:lineRule="auto"/>
        <w:widowControl w:val="off"/>
        <w:rPr>
          <w:rFonts w:eastAsia="宋体"/>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p>
    <w:p>
      <w:pPr>
        <w:pStyle w:val="985"/>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85"/>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8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8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8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8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85"/>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723"/>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8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63"/>
        <w:ind w:firstLine="0"/>
        <w:rPr>
          <w:rFonts w:hint="eastAsia"/>
        </w:rPr>
      </w:pPr>
      <w:r>
        <w:rPr>
          <w:rFonts w:hint="eastAsia"/>
        </w:rPr>
      </w:r>
      <w:r/>
    </w:p>
    <w:p>
      <w:pPr>
        <w:pStyle w:val="972"/>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7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7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7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keepLines w:val="0"/>
        <w:keepNext w:val="0"/>
        <w:pageBreakBefore w:val="0"/>
        <w:spacing w:line="480" w:lineRule="auto"/>
        <w:widowControl w:val="off"/>
        <w:rPr>
          <w:rFonts w:hint="eastAsia"/>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723"/>
        <w:tblW w:w="93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6"/>
        <w:gridCol w:w="2425"/>
        <w:gridCol w:w="2607"/>
        <w:gridCol w:w="1931"/>
        <w:gridCol w:w="1412"/>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涉及设备</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eastAsia="zh-CN"/>
              </w:rPr>
              <w:suppressLineNumbers w:val="0"/>
            </w:pPr>
            <w:r>
              <w:rPr>
                <w:rFonts w:hint="eastAsia" w:ascii="仿宋" w:hAnsi="仿宋" w:eastAsia="仿宋" w:cs="仿宋"/>
                <w:b/>
                <w:bCs/>
                <w:i w:val="0"/>
                <w:iCs w:val="0"/>
                <w:color w:val="000000"/>
                <w:sz w:val="22"/>
                <w:szCs w:val="22"/>
                <w:u w:val="none"/>
                <w:lang w:val="en-US" w:eastAsia="zh-CN"/>
              </w:rPr>
              <w:t xml:space="preserve">单位（套年）</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分项报价（元）</w:t>
            </w:r>
            <w:r/>
          </w:p>
        </w:tc>
      </w:tr>
      <w:tr>
        <w:trPr>
          <w:trHeight w:val="198"/>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骨干网基础能力服务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核心路由器服务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2"/>
                <w:szCs w:val="22"/>
                <w:u w:val="none"/>
                <w:lang w:val="en-US" w:eastAsia="zh-CN"/>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133"/>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核心交换机服务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汇聚交换机服务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汇聚防火墙服务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负载均衡服务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边界安全能力服务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互联网出口防火墙服务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上网行为管理服务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专线出口防火墙服务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政务云和政务外网边界防火墙服务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2"/>
                <w:szCs w:val="22"/>
                <w:u w:val="none"/>
              </w:rPr>
              <w:suppressLineNumbers w:val="0"/>
            </w:pPr>
            <w:r>
              <w:rPr>
                <w:rStyle w:val="1023"/>
                <w:rFonts w:eastAsia="宋体"/>
                <w:color w:val="000000"/>
                <w:lang w:val="en-US" w:eastAsia="zh-CN" w:bidi="ar"/>
              </w:rPr>
              <w:t xml:space="preserve">WEB</w:t>
            </w:r>
            <w:r>
              <w:rPr>
                <w:rStyle w:val="1024"/>
                <w:color w:val="000000"/>
                <w:lang w:val="en-US" w:eastAsia="zh-CN" w:bidi="ar"/>
              </w:rPr>
              <w:t xml:space="preserve">防火墙</w:t>
            </w:r>
            <w:r>
              <w:rPr>
                <w:rFonts w:hint="eastAsia" w:ascii="仿宋" w:hAnsi="仿宋" w:eastAsia="仿宋" w:cs="仿宋"/>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left"/>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视频云网边界防火墙服务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核心应用能力服务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Style w:val="1024"/>
                <w:color w:val="000000"/>
                <w:lang w:val="en-US" w:eastAsia="zh-CN" w:bidi="ar"/>
              </w:rPr>
              <w:t xml:space="preserve">智能</w:t>
            </w:r>
            <w:r>
              <w:rPr>
                <w:rStyle w:val="1023"/>
                <w:rFonts w:eastAsia="仿宋"/>
                <w:color w:val="000000"/>
                <w:lang w:val="en-US" w:eastAsia="zh-CN" w:bidi="ar"/>
              </w:rPr>
              <w:t xml:space="preserve">DNS</w:t>
            </w:r>
            <w:r>
              <w:rPr>
                <w:rFonts w:hint="eastAsia" w:ascii="仿宋" w:hAnsi="仿宋" w:eastAsia="仿宋" w:cs="仿宋"/>
                <w:i w:val="0"/>
                <w:iCs w:val="0"/>
                <w:color w:val="000000"/>
                <w:sz w:val="22"/>
                <w:szCs w:val="22"/>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堡垒机服务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运维管理平台服务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5"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预留专网并网能力服务</w:t>
            </w:r>
            <w:r/>
          </w:p>
        </w:tc>
        <w:tc>
          <w:tcPr>
            <w:shd w:val="clear" w:color="auto" w:fill="auto"/>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并网汇聚交换机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eastAsia" w:ascii="Times New Roman" w:hAnsi="Times New Roman" w:eastAsia="宋体" w:cs="Times New Roman"/>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2"/>
                <w:szCs w:val="22"/>
                <w:u w:val="none"/>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032"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设备维保服务</w:t>
            </w:r>
            <w:r/>
          </w:p>
        </w:tc>
        <w:tc>
          <w:tcPr>
            <w:shd w:val="clear" w:color="auto" w:fill="auto"/>
            <w:tcBorders>
              <w:top w:val="single" w:color="000000" w:sz="4" w:space="0"/>
              <w:left w:val="single" w:color="000000" w:sz="4" w:space="0"/>
              <w:bottom w:val="single" w:color="000000" w:sz="4" w:space="0"/>
              <w:right w:val="single" w:color="000000" w:sz="4" w:space="0"/>
            </w:tcBorders>
            <w:tcW w:w="19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2"/>
                <w:szCs w:val="22"/>
                <w:u w:val="none"/>
                <w:lang w:val="en-US" w:eastAsia="zh-CN"/>
              </w:rPr>
              <w:suppressLineNumbers w:val="0"/>
            </w:pPr>
            <w:r>
              <w:rPr>
                <w:rFonts w:hint="eastAsia" w:ascii="Times New Roman" w:hAnsi="Times New Roman" w:eastAsia="宋体" w:cs="Times New Roman"/>
                <w:i w:val="0"/>
                <w:iCs w:val="0"/>
                <w:color w:val="000000"/>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rPr>
            </w:r>
            <w:r/>
          </w:p>
        </w:tc>
      </w:tr>
    </w:tbl>
    <w:p>
      <w:pPr>
        <w:pStyle w:val="95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5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5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5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95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95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5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5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5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95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5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00"/>
          <w:sz w:val="32"/>
          <w:szCs w:val="32"/>
          <w:u w:val="none"/>
          <w:lang w:val="en-US" w:eastAsia="zh-CN"/>
        </w:rPr>
      </w:pPr>
      <w:r/>
      <w:bookmarkStart w:id="33" w:name="_Hlt26955054"/>
      <w:r/>
      <w:bookmarkEnd w:id="33"/>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34" w:name="_Hlt26580838"/>
            <w:r/>
            <w:bookmarkEnd w:id="34"/>
            <w:r/>
            <w:bookmarkStart w:id="35" w:name="_Hlt24879081"/>
            <w:r/>
            <w:bookmarkEnd w:id="35"/>
            <w:r/>
            <w:bookmarkStart w:id="36" w:name="_Hlt26955064"/>
            <w:r/>
            <w:bookmarkEnd w:id="36"/>
            <w:r/>
            <w:bookmarkStart w:id="37" w:name="_Hlt26782999"/>
            <w:r/>
            <w:bookmarkEnd w:id="37"/>
            <w:r/>
            <w:bookmarkStart w:id="38" w:name="_Hlt26955056"/>
            <w:r/>
            <w:bookmarkEnd w:id="38"/>
            <w:r/>
            <w:bookmarkStart w:id="39" w:name="_Hlt26609391"/>
            <w:r/>
            <w:bookmarkEnd w:id="39"/>
            <w:r/>
            <w:bookmarkStart w:id="40" w:name="_Hlt26671372"/>
            <w:r/>
            <w:bookmarkEnd w:id="40"/>
            <w:r/>
            <w:bookmarkStart w:id="41" w:name="_Hlt26671343"/>
            <w:r/>
            <w:bookmarkEnd w:id="41"/>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5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5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95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963"/>
      </w:pPr>
      <w:r/>
      <w:r/>
    </w:p>
    <w:p>
      <w:r/>
      <w:r/>
    </w:p>
    <w:p>
      <w:pPr>
        <w:pStyle w:val="963"/>
      </w:p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7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lang w:val="en-US" w:eastAsia="zh-CN"/>
        </w:rPr>
        <w:t xml:space="preserve">XXXXXXXXXXXXXXXXXXXXXXXXX</w:t>
      </w:r>
      <w:r>
        <w:rPr>
          <w:rFonts w:hint="eastAsia" w:ascii="宋体" w:hAnsi="宋体"/>
          <w:sz w:val="24"/>
        </w:rPr>
        <w:t xml:space="preserve">（单位名称）采购编号为</w:t>
      </w:r>
      <w:r>
        <w:rPr>
          <w:rFonts w:hint="eastAsia" w:ascii="宋体" w:hAnsi="宋体"/>
          <w:sz w:val="24"/>
          <w:lang w:val="en-US" w:eastAsia="zh-CN"/>
        </w:rPr>
        <w:t xml:space="preserve">XXXXXXXXXXXXXXXXXXXXXXXXX</w:t>
      </w:r>
      <w:r>
        <w:rPr>
          <w:rFonts w:hint="eastAsia" w:ascii="宋体" w:hAnsi="宋体"/>
          <w:sz w:val="24"/>
          <w:lang w:eastAsia="zh-CN"/>
        </w:rPr>
        <w:t xml:space="preserve">项目</w:t>
      </w:r>
      <w:r>
        <w:rPr>
          <w:rFonts w:hint="eastAsia" w:ascii="宋体" w:hAnsi="宋体"/>
          <w:sz w:val="24"/>
        </w:rPr>
        <w:t xml:space="preserve">（</w:t>
      </w:r>
      <w:r>
        <w:rPr>
          <w:rFonts w:hint="eastAsia" w:ascii="宋体" w:hAnsi="宋体"/>
          <w:sz w:val="24"/>
          <w:lang w:eastAsia="zh-CN"/>
        </w:rPr>
        <w:t xml:space="preserve">采购包</w:t>
      </w:r>
      <w:r>
        <w:rPr>
          <w:rFonts w:hint="eastAsia" w:ascii="宋体" w:hAnsi="宋体"/>
          <w:sz w:val="24"/>
        </w:rPr>
        <w:t xml:space="preserve">号：</w:t>
      </w:r>
      <w:r>
        <w:rPr>
          <w:rFonts w:hint="eastAsia" w:ascii="宋体" w:hAnsi="宋体"/>
          <w:sz w:val="24"/>
          <w:lang w:val="en-US" w:eastAsia="zh-CN"/>
        </w:rPr>
        <w:t xml:space="preserve">XXX</w:t>
      </w:r>
      <w:r>
        <w:rPr>
          <w:rFonts w:hint="eastAsia" w:ascii="宋体" w:hAnsi="宋体"/>
          <w:sz w:val="24"/>
          <w:lang w:eastAsia="zh-CN"/>
        </w:rPr>
        <w:t xml:space="preserve">）</w:t>
      </w:r>
      <w:r>
        <w:rPr>
          <w:rFonts w:hint="eastAsia" w:ascii="宋体" w:hAnsi="宋体"/>
          <w:sz w:val="24"/>
        </w:rPr>
        <w:t xml:space="preserve">的采购活动</w:t>
      </w:r>
      <w:r>
        <w:rPr>
          <w:rFonts w:hint="eastAsia" w:ascii="宋体" w:hAnsi="宋体"/>
          <w:sz w:val="24"/>
          <w:lang w:eastAsia="zh-CN"/>
        </w:rPr>
        <w:t xml:space="preserve">，</w:t>
      </w:r>
      <w:r>
        <w:rPr>
          <w:rFonts w:hint="eastAsia" w:ascii="宋体" w:hAnsi="宋体"/>
          <w:sz w:val="24"/>
        </w:rPr>
        <w:t xml:space="preserve">服务全部由</w:t>
      </w:r>
      <w:r>
        <w:rPr>
          <w:rFonts w:hint="eastAsia" w:ascii="宋体" w:hAnsi="宋体"/>
          <w:sz w:val="24"/>
          <w:lang w:eastAsia="zh-CN"/>
        </w:rPr>
        <w:t xml:space="preserve">本单位提供</w:t>
      </w:r>
      <w:r>
        <w:rPr>
          <w:rFonts w:hint="eastAsia" w:ascii="宋体" w:hAnsi="宋体"/>
          <w:sz w:val="24"/>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7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br w:type="page" w:clear="all"/>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63"/>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rPr>
          <w:rFonts w:ascii="宋体" w:hAnsi="宋体"/>
          <w:sz w:val="24"/>
        </w:rPr>
      </w:pPr>
      <w:r>
        <w:rPr>
          <w:rFonts w:ascii="宋体" w:hAnsi="宋体"/>
          <w:sz w:val="24"/>
        </w:rPr>
        <w:br w:type="page" w:clear="all"/>
      </w:r>
      <w:r/>
    </w:p>
    <w:p>
      <w:pPr>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6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6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6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numPr>
          <w:ilvl w:val="0"/>
          <w:numId w:val="16"/>
        </w:numPr>
        <w:jc w:val="left"/>
        <w:spacing w:line="360" w:lineRule="auto"/>
        <w:rPr>
          <w:rFonts w:hint="eastAsia" w:ascii="黑体" w:hAnsi="黑体" w:eastAsia="黑体" w:cs="Times New Roman"/>
          <w:i w:val="0"/>
          <w:iCs w:val="0"/>
          <w:sz w:val="32"/>
          <w:szCs w:val="32"/>
          <w:u w:val="none"/>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关于符合本国产品标准的声明函</w:t>
      </w:r>
      <w:r/>
    </w:p>
    <w:p>
      <w:pPr>
        <w:numPr>
          <w:ilvl w:val="0"/>
          <w:numId w:val="0"/>
        </w:numPr>
        <w:jc w:val="center"/>
        <w:spacing w:line="360" w:lineRule="auto"/>
        <w:rPr>
          <w:rFonts w:hint="eastAsia" w:ascii="黑体" w:hAnsi="黑体" w:eastAsia="黑体" w:cs="Times New Roman"/>
          <w:i w:val="0"/>
          <w:iCs w:val="0"/>
          <w:sz w:val="24"/>
          <w:szCs w:val="24"/>
          <w:u w:val="none"/>
          <w:lang w:val="en-US" w:eastAsia="zh-CN"/>
        </w:rPr>
      </w:pPr>
      <w:r>
        <w:rPr>
          <w:rFonts w:hint="eastAsia" w:ascii="微软雅黑" w:hAnsi="微软雅黑" w:eastAsia="微软雅黑" w:cs="微软雅黑"/>
          <w:color w:val="000000"/>
          <w:sz w:val="24"/>
          <w:szCs w:val="24"/>
          <w:shd w:val="clear" w:color="auto" w:fill="ffffff"/>
        </w:rPr>
        <w:t xml:space="preserve">（</w:t>
      </w:r>
      <w:r>
        <w:rPr>
          <w:rFonts w:ascii="微软雅黑" w:hAnsi="微软雅黑" w:eastAsia="微软雅黑" w:cs="微软雅黑"/>
          <w:color w:val="000000"/>
          <w:sz w:val="24"/>
          <w:szCs w:val="24"/>
          <w:shd w:val="clear" w:color="auto" w:fill="ffffff"/>
        </w:rPr>
        <w:t xml:space="preserve">如有，可上传至“电子投标文件格式-企业报价折扣证明”）</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关于符合本国产品标准的声明函（采购包号：**）</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69"/>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69"/>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6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69"/>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6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69"/>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69"/>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69"/>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69"/>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69"/>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69"/>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69"/>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69"/>
          <w:vertAlign w:val="superscript"/>
        </w:rPr>
        <w:t xml:space="preserve">6</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5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p>
    <w:p>
      <w:pPr>
        <w:pStyle w:val="95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957"/>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p>
    <w:p>
      <w:pPr>
        <w:pStyle w:val="95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p>
    <w:p>
      <w:pPr>
        <w:pStyle w:val="957"/>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16"/>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质疑函范本</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outlineLvl w:val="2"/>
      </w:pPr>
      <w:r>
        <w:rPr>
          <w:rFonts w:hint="eastAsia" w:ascii="方正小标宋简体" w:hAnsi="方正小标宋简体" w:eastAsia="方正小标宋简体" w:cs="方正小标宋简体"/>
          <w:b w:val="0"/>
          <w:bCs w:val="0"/>
          <w:sz w:val="32"/>
          <w:szCs w:val="32"/>
          <w:lang w:val="zh-CN" w:eastAsia="zh-CN"/>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724"/>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r>
      <w:r/>
    </w:p>
    <w:p>
      <w:pPr>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br w:type="page" w:clear="all"/>
      </w:r>
      <w:r/>
    </w:p>
    <w:p>
      <w:pPr>
        <w:pStyle w:val="724"/>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zh-CN"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华文宋体">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３９</w:t>
    </w:r>
    <w:r>
      <w:rPr>
        <w:rFonts w:ascii="宋体" w:hAnsi="宋体"/>
      </w:rPr>
      <w:fldChar w:fldCharType="end"/>
    </w:r>
    <w:r/>
  </w:p>
  <w:p>
    <w:pPr>
      <w:pStyle w:val="94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0"/>
      <w:isLgl w:val="false"/>
      <w:suff w:val="nothing"/>
      <w:lvlText w:val=""/>
      <w:lvlJc w:val="left"/>
      <w:pPr>
        <w:ind w:left="0" w:firstLine="0"/>
      </w:pPr>
      <w:rPr>
        <w:rFonts w:hint="eastAsia"/>
      </w:rPr>
    </w:lvl>
    <w:lvl w:ilvl="6">
      <w:start w:val="1"/>
      <w:numFmt w:val="decimal"/>
      <w:pStyle w:val="901"/>
      <w:isLgl w:val="false"/>
      <w:suff w:val="nothing"/>
      <w:lvlText w:val=""/>
      <w:lvlJc w:val="left"/>
      <w:pPr>
        <w:ind w:left="0" w:firstLine="0"/>
      </w:pPr>
      <w:rPr>
        <w:rFonts w:hint="eastAsia"/>
      </w:rPr>
    </w:lvl>
    <w:lvl w:ilvl="7">
      <w:start w:val="1"/>
      <w:numFmt w:val="decimal"/>
      <w:pStyle w:val="902"/>
      <w:isLgl w:val="false"/>
      <w:suff w:val="nothing"/>
      <w:lvlText w:val=""/>
      <w:lvlJc w:val="left"/>
      <w:pPr>
        <w:ind w:left="0" w:firstLine="0"/>
      </w:pPr>
      <w:rPr>
        <w:rFonts w:hint="eastAsia"/>
      </w:rPr>
    </w:lvl>
    <w:lvl w:ilvl="8">
      <w:start w:val="1"/>
      <w:numFmt w:val="decimal"/>
      <w:pStyle w:val="903"/>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4"/>
  </w:num>
  <w:num w:numId="5">
    <w:abstractNumId w:val="8"/>
  </w:num>
  <w:num w:numId="6">
    <w:abstractNumId w:val="9"/>
  </w:num>
  <w:num w:numId="7">
    <w:abstractNumId w:val="14"/>
  </w:num>
  <w:num w:numId="8">
    <w:abstractNumId w:val="13"/>
  </w:num>
  <w:num w:numId="9">
    <w:abstractNumId w:val="11"/>
  </w:num>
  <w:num w:numId="10">
    <w:abstractNumId w:val="6"/>
  </w:num>
  <w:num w:numId="11">
    <w:abstractNumId w:val="15"/>
  </w:num>
  <w:num w:numId="12">
    <w:abstractNumId w:val="1"/>
  </w:num>
  <w:num w:numId="13">
    <w:abstractNumId w:val="3"/>
  </w:num>
  <w:num w:numId="14">
    <w:abstractNumId w:val="0"/>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9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48"/>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49"/>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0"/>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1"/>
    <w:uiPriority w:val="9"/>
    <w:unhideWhenUsed/>
    <w:qFormat/>
    <w:pPr>
      <w:keepLines/>
      <w:keepNext/>
      <w:outlineLvl w:val="3"/>
    </w:pPr>
    <w:rPr>
      <w:rFonts w:ascii="Arial" w:hAnsi="Arial" w:eastAsia="Arial" w:cs="Arial"/>
      <w:b/>
      <w:bCs/>
      <w:sz w:val="26"/>
      <w:szCs w:val="26"/>
    </w:rPr>
  </w:style>
  <w:style w:type="paragraph" w:styleId="717">
    <w:name w:val="Heading 5"/>
    <w:basedOn w:val="712"/>
    <w:next w:val="712"/>
    <w:link w:val="752"/>
    <w:uiPriority w:val="9"/>
    <w:unhideWhenUsed/>
    <w:qFormat/>
    <w:pPr>
      <w:keepLines/>
      <w:keepNext/>
      <w:outlineLvl w:val="4"/>
    </w:pPr>
    <w:rPr>
      <w:rFonts w:ascii="Arial" w:hAnsi="Arial" w:eastAsia="Arial" w:cs="Arial"/>
      <w:bCs/>
      <w:sz w:val="24"/>
      <w:szCs w:val="24"/>
    </w:rPr>
  </w:style>
  <w:style w:type="paragraph" w:styleId="718">
    <w:name w:val="Heading 6"/>
    <w:basedOn w:val="712"/>
    <w:next w:val="712"/>
    <w:link w:val="753"/>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5"/>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56"/>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Plain Text"/>
    <w:basedOn w:val="712"/>
    <w:uiPriority w:val="0"/>
    <w:qFormat/>
    <w:rPr>
      <w:rFonts w:ascii="宋体" w:hAnsi="Courier New" w:eastAsia="华文宋体"/>
      <w:sz w:val="28"/>
      <w:szCs w:val="20"/>
    </w:rPr>
  </w:style>
  <w:style w:type="paragraph" w:styleId="725">
    <w:name w:val="toc 7"/>
    <w:basedOn w:val="712"/>
    <w:next w:val="712"/>
    <w:uiPriority w:val="39"/>
    <w:unhideWhenUsed/>
    <w:qFormat/>
    <w:pPr>
      <w:ind w:left="1701" w:right="0" w:firstLine="0"/>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2"/>
    <w:uiPriority w:val="99"/>
    <w:semiHidden/>
    <w:unhideWhenUsed/>
    <w:qFormat/>
    <w:pPr>
      <w:jc w:val="left"/>
    </w:pPr>
  </w:style>
  <w:style w:type="paragraph" w:styleId="728">
    <w:name w:val="toc 5"/>
    <w:basedOn w:val="712"/>
    <w:next w:val="712"/>
    <w:uiPriority w:val="39"/>
    <w:unhideWhenUsed/>
    <w:qFormat/>
    <w:pPr>
      <w:ind w:left="1134" w:right="0" w:firstLine="0"/>
      <w:spacing w:after="57"/>
    </w:pPr>
  </w:style>
  <w:style w:type="paragraph" w:styleId="729">
    <w:name w:val="toc 3"/>
    <w:basedOn w:val="712"/>
    <w:next w:val="712"/>
    <w:uiPriority w:val="39"/>
    <w:unhideWhenUsed/>
    <w:qFormat/>
    <w:pPr>
      <w:ind w:left="567" w:right="0" w:firstLine="0"/>
      <w:spacing w:after="57"/>
    </w:pPr>
  </w:style>
  <w:style w:type="paragraph" w:styleId="730">
    <w:name w:val="toc 8"/>
    <w:basedOn w:val="712"/>
    <w:next w:val="712"/>
    <w:uiPriority w:val="39"/>
    <w:unhideWhenUsed/>
    <w:qFormat/>
    <w:pPr>
      <w:ind w:left="1984" w:right="0" w:firstLine="0"/>
      <w:spacing w:after="57"/>
    </w:pPr>
  </w:style>
  <w:style w:type="paragraph" w:styleId="731">
    <w:name w:val="endnote text"/>
    <w:basedOn w:val="712"/>
    <w:link w:val="892"/>
    <w:uiPriority w:val="99"/>
    <w:semiHidden/>
    <w:unhideWhenUsed/>
    <w:qFormat/>
    <w:pPr>
      <w:spacing w:after="0" w:line="240" w:lineRule="auto"/>
    </w:pPr>
    <w:rPr>
      <w:sz w:val="20"/>
    </w:rPr>
  </w:style>
  <w:style w:type="paragraph" w:styleId="732">
    <w:name w:val="Footer"/>
    <w:basedOn w:val="712"/>
    <w:link w:val="765"/>
    <w:uiPriority w:val="99"/>
    <w:unhideWhenUsed/>
    <w:qFormat/>
    <w:pPr>
      <w:spacing w:after="0" w:line="240" w:lineRule="auto"/>
      <w:tabs>
        <w:tab w:val="center" w:pos="7143" w:leader="none"/>
        <w:tab w:val="right" w:pos="14287" w:leader="none"/>
      </w:tabs>
    </w:pPr>
  </w:style>
  <w:style w:type="paragraph" w:styleId="733">
    <w:name w:val="Header"/>
    <w:basedOn w:val="712"/>
    <w:link w:val="763"/>
    <w:uiPriority w:val="99"/>
    <w:unhideWhenUsed/>
    <w:qFormat/>
    <w:pPr>
      <w:spacing w:after="0" w:line="240" w:lineRule="auto"/>
      <w:tabs>
        <w:tab w:val="center" w:pos="7143" w:leader="none"/>
        <w:tab w:val="right" w:pos="14287" w:leader="none"/>
      </w:tabs>
    </w:pPr>
  </w:style>
  <w:style w:type="paragraph" w:styleId="734">
    <w:name w:val="toc 1"/>
    <w:basedOn w:val="712"/>
    <w:next w:val="712"/>
    <w:uiPriority w:val="39"/>
    <w:unhideWhenUsed/>
    <w:qFormat/>
    <w:pPr>
      <w:ind w:left="0" w:right="0" w:firstLine="0"/>
      <w:spacing w:after="57"/>
    </w:pPr>
  </w:style>
  <w:style w:type="paragraph" w:styleId="735">
    <w:name w:val="toc 4"/>
    <w:basedOn w:val="712"/>
    <w:next w:val="712"/>
    <w:uiPriority w:val="39"/>
    <w:unhideWhenUsed/>
    <w:qFormat/>
    <w:pPr>
      <w:ind w:left="850" w:right="0" w:firstLine="0"/>
      <w:spacing w:after="57"/>
    </w:pPr>
  </w:style>
  <w:style w:type="paragraph" w:styleId="736">
    <w:name w:val="Subtitle"/>
    <w:basedOn w:val="712"/>
    <w:next w:val="712"/>
    <w:link w:val="758"/>
    <w:uiPriority w:val="11"/>
    <w:qFormat/>
    <w:pPr>
      <w:spacing w:before="200" w:after="200"/>
    </w:pPr>
    <w:rPr>
      <w:sz w:val="24"/>
      <w:szCs w:val="24"/>
    </w:rPr>
  </w:style>
  <w:style w:type="paragraph" w:styleId="737">
    <w:name w:val="footnote text"/>
    <w:basedOn w:val="712"/>
    <w:link w:val="891"/>
    <w:uiPriority w:val="99"/>
    <w:semiHidden/>
    <w:unhideWhenUsed/>
    <w:qFormat/>
    <w:pPr>
      <w:spacing w:after="40" w:line="240" w:lineRule="auto"/>
    </w:pPr>
    <w:rPr>
      <w:sz w:val="18"/>
    </w:rPr>
  </w:style>
  <w:style w:type="paragraph" w:styleId="738">
    <w:name w:val="toc 6"/>
    <w:basedOn w:val="712"/>
    <w:next w:val="712"/>
    <w:uiPriority w:val="39"/>
    <w:unhideWhenUsed/>
    <w:qFormat/>
    <w:pPr>
      <w:ind w:left="1417" w:right="0" w:firstLine="0"/>
      <w:spacing w:after="57"/>
    </w:pPr>
  </w:style>
  <w:style w:type="paragraph" w:styleId="739">
    <w:name w:val="table of figures"/>
    <w:basedOn w:val="712"/>
    <w:next w:val="712"/>
    <w:uiPriority w:val="99"/>
    <w:unhideWhenUsed/>
    <w:qFormat/>
    <w:pPr>
      <w:spacing w:after="0" w:afterAutospacing="0"/>
    </w:pPr>
  </w:style>
  <w:style w:type="paragraph" w:styleId="740">
    <w:name w:val="toc 2"/>
    <w:basedOn w:val="712"/>
    <w:next w:val="712"/>
    <w:uiPriority w:val="39"/>
    <w:unhideWhenUsed/>
    <w:qFormat/>
    <w:pPr>
      <w:ind w:left="283" w:right="0" w:firstLine="0"/>
      <w:spacing w:after="57"/>
    </w:pPr>
  </w:style>
  <w:style w:type="paragraph" w:styleId="741">
    <w:name w:val="toc 9"/>
    <w:basedOn w:val="712"/>
    <w:next w:val="712"/>
    <w:uiPriority w:val="39"/>
    <w:unhideWhenUsed/>
    <w:qFormat/>
    <w:pPr>
      <w:ind w:left="2268" w:right="0" w:firstLine="0"/>
      <w:spacing w:after="57"/>
    </w:pPr>
  </w:style>
  <w:style w:type="paragraph" w:styleId="742">
    <w:name w:val="Title"/>
    <w:basedOn w:val="712"/>
    <w:next w:val="712"/>
    <w:link w:val="757"/>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22"/>
    <w:uiPriority w:val="22"/>
    <w:qFormat/>
    <w:rPr>
      <w:b/>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character" w:styleId="748" w:customStyle="1">
    <w:name w:val="Heading 1 Char"/>
    <w:link w:val="713"/>
    <w:uiPriority w:val="9"/>
    <w:qFormat/>
    <w:rPr>
      <w:rFonts w:ascii="Arial" w:hAnsi="Arial" w:eastAsia="Arial" w:cs="Arial"/>
      <w:sz w:val="40"/>
      <w:szCs w:val="40"/>
    </w:rPr>
  </w:style>
  <w:style w:type="character" w:styleId="749" w:customStyle="1">
    <w:name w:val="Heading 2 Char"/>
    <w:link w:val="714"/>
    <w:uiPriority w:val="9"/>
    <w:qFormat/>
    <w:rPr>
      <w:rFonts w:ascii="Arial" w:hAnsi="Arial" w:eastAsia="Arial" w:cs="Arial"/>
      <w:sz w:val="34"/>
    </w:rPr>
  </w:style>
  <w:style w:type="character" w:styleId="750" w:customStyle="1">
    <w:name w:val="Heading 3 Char"/>
    <w:link w:val="715"/>
    <w:uiPriority w:val="9"/>
    <w:qFormat/>
    <w:rPr>
      <w:rFonts w:ascii="Arial" w:hAnsi="Arial" w:eastAsia="Arial" w:cs="Arial"/>
      <w:sz w:val="30"/>
      <w:szCs w:val="30"/>
    </w:rPr>
  </w:style>
  <w:style w:type="character" w:styleId="751" w:customStyle="1">
    <w:name w:val="Heading 4 Char"/>
    <w:link w:val="716"/>
    <w:uiPriority w:val="9"/>
    <w:qFormat/>
    <w:rPr>
      <w:rFonts w:ascii="Arial" w:hAnsi="Arial" w:eastAsia="Arial" w:cs="Arial"/>
      <w:b/>
      <w:bCs/>
      <w:sz w:val="26"/>
      <w:szCs w:val="26"/>
    </w:rPr>
  </w:style>
  <w:style w:type="character" w:styleId="752" w:customStyle="1">
    <w:name w:val="Heading 5 Char"/>
    <w:link w:val="717"/>
    <w:uiPriority w:val="9"/>
    <w:qFormat/>
    <w:rPr>
      <w:rFonts w:ascii="Arial" w:hAnsi="Arial" w:eastAsia="Arial" w:cs="Arial"/>
      <w:bCs/>
      <w:sz w:val="24"/>
      <w:szCs w:val="24"/>
    </w:rPr>
  </w:style>
  <w:style w:type="character" w:styleId="753" w:customStyle="1">
    <w:name w:val="Heading 6 Char"/>
    <w:link w:val="718"/>
    <w:uiPriority w:val="9"/>
    <w:qFormat/>
    <w:rPr>
      <w:rFonts w:ascii="Arial" w:hAnsi="Arial" w:eastAsia="Arial" w:cs="Arial"/>
      <w:b/>
      <w:bCs/>
      <w:sz w:val="22"/>
      <w:szCs w:val="22"/>
    </w:rPr>
  </w:style>
  <w:style w:type="character" w:styleId="754" w:customStyle="1">
    <w:name w:val="Heading 7 Char"/>
    <w:link w:val="719"/>
    <w:uiPriority w:val="9"/>
    <w:qFormat/>
    <w:rPr>
      <w:rFonts w:ascii="Arial" w:hAnsi="Arial" w:eastAsia="Arial" w:cs="Arial"/>
      <w:b/>
      <w:bCs/>
      <w:i/>
      <w:iCs/>
      <w:sz w:val="22"/>
      <w:szCs w:val="22"/>
    </w:rPr>
  </w:style>
  <w:style w:type="character" w:styleId="755" w:customStyle="1">
    <w:name w:val="Heading 8 Char"/>
    <w:link w:val="720"/>
    <w:uiPriority w:val="9"/>
    <w:qFormat/>
    <w:rPr>
      <w:rFonts w:ascii="Arial" w:hAnsi="Arial" w:eastAsia="Arial" w:cs="Arial"/>
      <w:i/>
      <w:iCs/>
      <w:sz w:val="22"/>
      <w:szCs w:val="22"/>
    </w:rPr>
  </w:style>
  <w:style w:type="character" w:styleId="756" w:customStyle="1">
    <w:name w:val="Heading 9 Char"/>
    <w:link w:val="721"/>
    <w:uiPriority w:val="9"/>
    <w:qFormat/>
    <w:rPr>
      <w:rFonts w:ascii="Arial" w:hAnsi="Arial" w:eastAsia="Arial" w:cs="Arial"/>
      <w:i/>
      <w:iCs/>
      <w:sz w:val="21"/>
      <w:szCs w:val="21"/>
    </w:rPr>
  </w:style>
  <w:style w:type="character" w:styleId="757" w:customStyle="1">
    <w:name w:val="Title Char"/>
    <w:link w:val="742"/>
    <w:uiPriority w:val="10"/>
    <w:qFormat/>
    <w:rPr>
      <w:sz w:val="48"/>
      <w:szCs w:val="48"/>
    </w:rPr>
  </w:style>
  <w:style w:type="character" w:styleId="758" w:customStyle="1">
    <w:name w:val="Subtitle Char"/>
    <w:link w:val="736"/>
    <w:uiPriority w:val="11"/>
    <w:qFormat/>
    <w:rPr>
      <w:sz w:val="24"/>
      <w:szCs w:val="24"/>
    </w:rPr>
  </w:style>
  <w:style w:type="paragraph" w:styleId="759">
    <w:name w:val="Quote"/>
    <w:basedOn w:val="712"/>
    <w:next w:val="712"/>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12"/>
    <w:next w:val="712"/>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link w:val="733"/>
    <w:uiPriority w:val="99"/>
    <w:qFormat/>
  </w:style>
  <w:style w:type="character" w:styleId="764" w:customStyle="1">
    <w:name w:val="Footer Char"/>
    <w:link w:val="732"/>
    <w:uiPriority w:val="99"/>
    <w:qFormat/>
  </w:style>
  <w:style w:type="character" w:styleId="765" w:customStyle="1">
    <w:name w:val="Caption Char"/>
    <w:link w:val="732"/>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37"/>
    <w:uiPriority w:val="99"/>
    <w:qFormat/>
    <w:rPr>
      <w:sz w:val="18"/>
    </w:rPr>
  </w:style>
  <w:style w:type="character" w:styleId="892" w:customStyle="1">
    <w:name w:val="Endnote Text Char"/>
    <w:link w:val="731"/>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标题 11"/>
    <w:basedOn w:val="712"/>
    <w:next w:val="712"/>
    <w:link w:val="906"/>
    <w:uiPriority w:val="0"/>
    <w:qFormat/>
    <w:pPr>
      <w:jc w:val="center"/>
      <w:keepNext/>
      <w:outlineLvl w:val="0"/>
    </w:pPr>
    <w:rPr>
      <w:rFonts w:ascii="楷体_GB2312" w:hAnsi="Times New Roman" w:eastAsia="楷体_GB2312" w:cs="Times New Roman"/>
      <w:sz w:val="28"/>
      <w:szCs w:val="28"/>
    </w:rPr>
  </w:style>
  <w:style w:type="paragraph" w:styleId="895" w:customStyle="1">
    <w:name w:val="标题 21"/>
    <w:basedOn w:val="712"/>
    <w:next w:val="896"/>
    <w:link w:val="9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6" w:customStyle="1">
    <w:name w:val="正文缩进1"/>
    <w:basedOn w:val="712"/>
    <w:link w:val="908"/>
    <w:uiPriority w:val="0"/>
    <w:qFormat/>
    <w:pPr>
      <w:ind w:firstLine="420"/>
    </w:pPr>
    <w:rPr>
      <w:szCs w:val="21"/>
    </w:rPr>
  </w:style>
  <w:style w:type="paragraph" w:styleId="897" w:customStyle="1">
    <w:name w:val="标题 31"/>
    <w:basedOn w:val="712"/>
    <w:next w:val="896"/>
    <w:link w:val="90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customStyle="1">
    <w:name w:val="标题 41"/>
    <w:basedOn w:val="712"/>
    <w:next w:val="896"/>
    <w:link w:val="910"/>
    <w:uiPriority w:val="0"/>
    <w:qFormat/>
    <w:pPr>
      <w:keepLines/>
      <w:keepNext/>
      <w:spacing w:before="280" w:after="290" w:line="376" w:lineRule="auto"/>
      <w:outlineLvl w:val="3"/>
    </w:pPr>
    <w:rPr>
      <w:rFonts w:ascii="Arial" w:hAnsi="Arial" w:eastAsia="黑体" w:cs="Arial"/>
      <w:b/>
      <w:bCs/>
      <w:sz w:val="28"/>
      <w:szCs w:val="28"/>
    </w:rPr>
  </w:style>
  <w:style w:type="paragraph" w:styleId="899" w:customStyle="1">
    <w:name w:val="标题 51"/>
    <w:basedOn w:val="712"/>
    <w:next w:val="896"/>
    <w:link w:val="911"/>
    <w:uiPriority w:val="0"/>
    <w:qFormat/>
    <w:pPr>
      <w:keepNext/>
      <w:outlineLvl w:val="4"/>
    </w:pPr>
    <w:rPr>
      <w:rFonts w:ascii="宋体" w:hAnsi="Times New Roman" w:eastAsia="宋体" w:cs="Times New Roman"/>
      <w:color w:val="000000"/>
      <w:sz w:val="28"/>
      <w:szCs w:val="28"/>
    </w:rPr>
  </w:style>
  <w:style w:type="paragraph" w:styleId="900" w:customStyle="1">
    <w:name w:val="标题 61"/>
    <w:basedOn w:val="712"/>
    <w:next w:val="712"/>
    <w:link w:val="91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customStyle="1">
    <w:name w:val="标题 71"/>
    <w:basedOn w:val="712"/>
    <w:next w:val="712"/>
    <w:link w:val="91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customStyle="1">
    <w:name w:val="标题 81"/>
    <w:basedOn w:val="712"/>
    <w:next w:val="712"/>
    <w:link w:val="91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customStyle="1">
    <w:name w:val="标题 91"/>
    <w:basedOn w:val="712"/>
    <w:next w:val="712"/>
    <w:link w:val="91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customStyle="1">
    <w:name w:val="默认段落字体1"/>
    <w:link w:val="712"/>
    <w:uiPriority w:val="1"/>
    <w:unhideWhenUsed/>
    <w:qFormat/>
  </w:style>
  <w:style w:type="table" w:styleId="905" w:customStyle="1">
    <w:name w:val="普通表格11"/>
    <w:uiPriority w:val="99"/>
    <w:unhideWhenUsed/>
    <w:qFormat/>
    <w:tblPr/>
  </w:style>
  <w:style w:type="character" w:styleId="906" w:customStyle="1">
    <w:name w:val="标题 1 Char"/>
    <w:link w:val="894"/>
    <w:uiPriority w:val="0"/>
    <w:qFormat/>
    <w:rPr>
      <w:rFonts w:ascii="楷体_GB2312" w:hAnsi="Times New Roman" w:eastAsia="楷体_GB2312" w:cs="Times New Roman"/>
      <w:sz w:val="28"/>
      <w:szCs w:val="28"/>
    </w:rPr>
  </w:style>
  <w:style w:type="character" w:styleId="907" w:customStyle="1">
    <w:name w:val="标题 2 Char"/>
    <w:link w:val="895"/>
    <w:uiPriority w:val="0"/>
    <w:qFormat/>
    <w:rPr>
      <w:rFonts w:ascii="Arial" w:hAnsi="Arial" w:eastAsia="幼圆" w:cs="Arial"/>
      <w:b/>
      <w:bCs/>
      <w:sz w:val="44"/>
      <w:szCs w:val="44"/>
    </w:rPr>
  </w:style>
  <w:style w:type="character" w:styleId="908" w:customStyle="1">
    <w:name w:val="正文缩进 Char"/>
    <w:link w:val="896"/>
    <w:uiPriority w:val="0"/>
    <w:qFormat/>
    <w:rPr>
      <w:szCs w:val="21"/>
    </w:rPr>
  </w:style>
  <w:style w:type="character" w:styleId="909" w:customStyle="1">
    <w:name w:val="标题 3 Char"/>
    <w:link w:val="897"/>
    <w:uiPriority w:val="0"/>
    <w:qFormat/>
    <w:rPr>
      <w:rFonts w:ascii="Times New Roman" w:hAnsi="Times New Roman" w:eastAsia="宋体" w:cs="Times New Roman"/>
      <w:b/>
      <w:bCs/>
      <w:sz w:val="32"/>
      <w:szCs w:val="32"/>
    </w:rPr>
  </w:style>
  <w:style w:type="character" w:styleId="910" w:customStyle="1">
    <w:name w:val="标题 4 Char"/>
    <w:link w:val="898"/>
    <w:uiPriority w:val="0"/>
    <w:qFormat/>
    <w:rPr>
      <w:rFonts w:ascii="Arial" w:hAnsi="Arial" w:eastAsia="黑体" w:cs="Arial"/>
      <w:b/>
      <w:bCs/>
      <w:sz w:val="28"/>
      <w:szCs w:val="28"/>
    </w:rPr>
  </w:style>
  <w:style w:type="character" w:styleId="911" w:customStyle="1">
    <w:name w:val="标题 5 Char"/>
    <w:link w:val="899"/>
    <w:uiPriority w:val="0"/>
    <w:qFormat/>
    <w:rPr>
      <w:rFonts w:ascii="宋体" w:hAnsi="Times New Roman" w:eastAsia="宋体" w:cs="Times New Roman"/>
      <w:color w:val="000000"/>
      <w:sz w:val="28"/>
      <w:szCs w:val="28"/>
    </w:rPr>
  </w:style>
  <w:style w:type="character" w:styleId="912" w:customStyle="1">
    <w:name w:val="标题 6 Char"/>
    <w:link w:val="900"/>
    <w:uiPriority w:val="0"/>
    <w:qFormat/>
    <w:rPr>
      <w:rFonts w:ascii="Arial" w:hAnsi="Arial" w:eastAsia="黑体" w:cs="Times New Roman"/>
      <w:b/>
      <w:bCs/>
      <w:sz w:val="24"/>
      <w:szCs w:val="24"/>
    </w:rPr>
  </w:style>
  <w:style w:type="character" w:styleId="913" w:customStyle="1">
    <w:name w:val="标题 7 Char"/>
    <w:link w:val="901"/>
    <w:uiPriority w:val="0"/>
    <w:qFormat/>
    <w:rPr>
      <w:rFonts w:ascii="Times New Roman" w:hAnsi="Times New Roman" w:eastAsia="宋体" w:cs="Times New Roman"/>
      <w:b/>
      <w:bCs/>
      <w:sz w:val="24"/>
      <w:szCs w:val="24"/>
    </w:rPr>
  </w:style>
  <w:style w:type="character" w:styleId="914" w:customStyle="1">
    <w:name w:val="标题 8 Char"/>
    <w:link w:val="902"/>
    <w:uiPriority w:val="0"/>
    <w:qFormat/>
    <w:rPr>
      <w:rFonts w:ascii="Arial" w:hAnsi="Arial" w:eastAsia="黑体" w:cs="Times New Roman"/>
      <w:sz w:val="24"/>
      <w:szCs w:val="24"/>
    </w:rPr>
  </w:style>
  <w:style w:type="character" w:styleId="915" w:customStyle="1">
    <w:name w:val="标题 9 Char"/>
    <w:link w:val="903"/>
    <w:uiPriority w:val="0"/>
    <w:qFormat/>
    <w:rPr>
      <w:rFonts w:ascii="Arial" w:hAnsi="Arial" w:eastAsia="黑体" w:cs="Times New Roman"/>
      <w:szCs w:val="21"/>
    </w:rPr>
  </w:style>
  <w:style w:type="paragraph" w:styleId="916" w:customStyle="1">
    <w:name w:val="列表 31"/>
    <w:basedOn w:val="712"/>
    <w:uiPriority w:val="0"/>
    <w:qFormat/>
    <w:pPr>
      <w:ind w:left="100" w:hanging="200"/>
    </w:pPr>
    <w:rPr>
      <w:rFonts w:ascii="Times New Roman" w:hAnsi="Times New Roman" w:eastAsia="宋体" w:cs="Times New Roman"/>
      <w:szCs w:val="21"/>
    </w:rPr>
  </w:style>
  <w:style w:type="paragraph" w:styleId="917" w:customStyle="1">
    <w:name w:val="目录 71"/>
    <w:basedOn w:val="712"/>
    <w:next w:val="712"/>
    <w:uiPriority w:val="0"/>
    <w:semiHidden/>
    <w:qFormat/>
    <w:pPr>
      <w:ind w:left="1260"/>
      <w:jc w:val="left"/>
    </w:pPr>
    <w:rPr>
      <w:rFonts w:ascii="Times New Roman" w:hAnsi="Times New Roman" w:eastAsia="宋体" w:cs="Times New Roman"/>
      <w:szCs w:val="21"/>
    </w:rPr>
  </w:style>
  <w:style w:type="paragraph" w:styleId="918" w:customStyle="1">
    <w:name w:val="文档结构图1"/>
    <w:basedOn w:val="712"/>
    <w:link w:val="919"/>
    <w:uiPriority w:val="0"/>
    <w:semiHidden/>
    <w:qFormat/>
    <w:pPr>
      <w:shd w:val="clear" w:color="auto" w:fill="000080"/>
    </w:pPr>
    <w:rPr>
      <w:rFonts w:ascii="Times New Roman" w:hAnsi="Times New Roman" w:eastAsia="宋体" w:cs="Times New Roman"/>
      <w:szCs w:val="21"/>
    </w:rPr>
  </w:style>
  <w:style w:type="character" w:styleId="919" w:customStyle="1">
    <w:name w:val="文档结构图 Char"/>
    <w:link w:val="918"/>
    <w:uiPriority w:val="0"/>
    <w:semiHidden/>
    <w:qFormat/>
    <w:rPr>
      <w:rFonts w:ascii="Times New Roman" w:hAnsi="Times New Roman" w:eastAsia="宋体" w:cs="Times New Roman"/>
      <w:szCs w:val="21"/>
      <w:shd w:val="clear" w:color="auto" w:fill="000080"/>
    </w:rPr>
  </w:style>
  <w:style w:type="paragraph" w:styleId="920" w:customStyle="1">
    <w:name w:val="批注文字1"/>
    <w:basedOn w:val="712"/>
    <w:link w:val="921"/>
    <w:uiPriority w:val="0"/>
    <w:unhideWhenUsed/>
    <w:qFormat/>
    <w:pPr>
      <w:jc w:val="left"/>
    </w:pPr>
  </w:style>
  <w:style w:type="character" w:styleId="921" w:customStyle="1">
    <w:name w:val="批注文字 Char"/>
    <w:basedOn w:val="904"/>
    <w:link w:val="920"/>
    <w:uiPriority w:val="99"/>
    <w:semiHidden/>
    <w:qFormat/>
  </w:style>
  <w:style w:type="paragraph" w:styleId="922" w:customStyle="1">
    <w:name w:val="正文文本 31"/>
    <w:basedOn w:val="712"/>
    <w:link w:val="923"/>
    <w:uiPriority w:val="0"/>
    <w:qFormat/>
    <w:rPr>
      <w:rFonts w:ascii="仿宋_GB2312" w:hAnsi="Arial" w:eastAsia="仿宋_GB2312" w:cs="Times New Roman"/>
      <w:sz w:val="32"/>
      <w:szCs w:val="32"/>
    </w:rPr>
  </w:style>
  <w:style w:type="character" w:styleId="923" w:customStyle="1">
    <w:name w:val="正文文本 3 Char"/>
    <w:link w:val="922"/>
    <w:uiPriority w:val="0"/>
    <w:qFormat/>
    <w:rPr>
      <w:rFonts w:ascii="仿宋_GB2312" w:hAnsi="Arial" w:eastAsia="仿宋_GB2312" w:cs="Times New Roman"/>
      <w:sz w:val="32"/>
      <w:szCs w:val="32"/>
    </w:rPr>
  </w:style>
  <w:style w:type="paragraph" w:styleId="924" w:customStyle="1">
    <w:name w:val="正文文本11"/>
    <w:basedOn w:val="712"/>
    <w:link w:val="925"/>
    <w:uiPriority w:val="0"/>
    <w:qFormat/>
    <w:rPr>
      <w:rFonts w:ascii="楷体_GB2312" w:hAnsi="Arial" w:eastAsia="楷体_GB2312" w:cs="Times New Roman"/>
      <w:sz w:val="28"/>
      <w:szCs w:val="28"/>
    </w:rPr>
  </w:style>
  <w:style w:type="character" w:styleId="925" w:customStyle="1">
    <w:name w:val="正文文本 Char"/>
    <w:link w:val="924"/>
    <w:uiPriority w:val="0"/>
    <w:qFormat/>
    <w:rPr>
      <w:rFonts w:ascii="楷体_GB2312" w:hAnsi="Arial" w:eastAsia="楷体_GB2312" w:cs="Times New Roman"/>
      <w:sz w:val="28"/>
      <w:szCs w:val="28"/>
    </w:rPr>
  </w:style>
  <w:style w:type="paragraph" w:styleId="926" w:customStyle="1">
    <w:name w:val="正文文本缩进111"/>
    <w:basedOn w:val="712"/>
    <w:next w:val="927"/>
    <w:link w:val="928"/>
    <w:uiPriority w:val="0"/>
    <w:unhideWhenUsed/>
    <w:qFormat/>
    <w:pPr>
      <w:ind w:left="420"/>
      <w:spacing w:after="120"/>
    </w:pPr>
  </w:style>
  <w:style w:type="paragraph" w:styleId="927" w:customStyle="1">
    <w:name w:val="寄信人地址11"/>
    <w:basedOn w:val="712"/>
    <w:uiPriority w:val="0"/>
    <w:qFormat/>
    <w:rPr>
      <w:rFonts w:ascii="Arial" w:hAnsi="Arial" w:eastAsia="宋体" w:cs="宋体"/>
    </w:rPr>
  </w:style>
  <w:style w:type="character" w:styleId="928" w:customStyle="1">
    <w:name w:val="正文文本缩进 Char"/>
    <w:basedOn w:val="904"/>
    <w:link w:val="926"/>
    <w:uiPriority w:val="99"/>
    <w:semiHidden/>
    <w:qFormat/>
  </w:style>
  <w:style w:type="paragraph" w:styleId="929" w:customStyle="1">
    <w:name w:val="列表 21"/>
    <w:basedOn w:val="712"/>
    <w:uiPriority w:val="0"/>
    <w:qFormat/>
    <w:pPr>
      <w:ind w:left="100" w:hanging="200"/>
    </w:pPr>
    <w:rPr>
      <w:rFonts w:ascii="Times New Roman" w:hAnsi="Times New Roman" w:eastAsia="宋体" w:cs="Times New Roman"/>
      <w:szCs w:val="21"/>
    </w:rPr>
  </w:style>
  <w:style w:type="paragraph" w:styleId="930" w:customStyle="1">
    <w:name w:val="索引 411"/>
    <w:basedOn w:val="712"/>
    <w:next w:val="712"/>
    <w:uiPriority w:val="0"/>
    <w:semiHidden/>
    <w:qFormat/>
    <w:pPr>
      <w:ind w:left="1260"/>
    </w:pPr>
    <w:rPr>
      <w:rFonts w:ascii="Calibri" w:hAnsi="Calibri" w:eastAsia="Calibri" w:cs="宋体"/>
      <w:sz w:val="20"/>
      <w:lang w:val="zh-CN"/>
    </w:rPr>
  </w:style>
  <w:style w:type="paragraph" w:styleId="931" w:customStyle="1">
    <w:name w:val="目录 51"/>
    <w:basedOn w:val="712"/>
    <w:next w:val="712"/>
    <w:uiPriority w:val="0"/>
    <w:semiHidden/>
    <w:qFormat/>
    <w:pPr>
      <w:ind w:left="840"/>
      <w:jc w:val="left"/>
    </w:pPr>
    <w:rPr>
      <w:rFonts w:ascii="Times New Roman" w:hAnsi="Times New Roman" w:eastAsia="宋体" w:cs="Times New Roman"/>
      <w:szCs w:val="21"/>
    </w:rPr>
  </w:style>
  <w:style w:type="paragraph" w:styleId="932" w:customStyle="1">
    <w:name w:val="目录 31"/>
    <w:basedOn w:val="712"/>
    <w:next w:val="712"/>
    <w:uiPriority w:val="0"/>
    <w:semiHidden/>
    <w:qFormat/>
    <w:pPr>
      <w:ind w:left="420"/>
      <w:jc w:val="left"/>
    </w:pPr>
    <w:rPr>
      <w:rFonts w:ascii="Times New Roman" w:hAnsi="Times New Roman" w:eastAsia="宋体" w:cs="Times New Roman"/>
      <w:i/>
      <w:iCs/>
      <w:szCs w:val="24"/>
    </w:rPr>
  </w:style>
  <w:style w:type="paragraph" w:styleId="933" w:customStyle="1">
    <w:name w:val="纯文本11"/>
    <w:basedOn w:val="712"/>
    <w:link w:val="934"/>
    <w:uiPriority w:val="0"/>
    <w:qFormat/>
    <w:rPr>
      <w:rFonts w:ascii="宋体" w:hAnsi="Courier New" w:eastAsia="宋体" w:cs="Courier New"/>
      <w:szCs w:val="21"/>
    </w:rPr>
  </w:style>
  <w:style w:type="character" w:styleId="934" w:customStyle="1">
    <w:name w:val="纯文本 Char"/>
    <w:link w:val="933"/>
    <w:uiPriority w:val="0"/>
    <w:qFormat/>
    <w:rPr>
      <w:rFonts w:ascii="宋体" w:hAnsi="Courier New" w:eastAsia="宋体" w:cs="Courier New"/>
      <w:szCs w:val="21"/>
    </w:rPr>
  </w:style>
  <w:style w:type="paragraph" w:styleId="935" w:customStyle="1">
    <w:name w:val="目录 81"/>
    <w:basedOn w:val="712"/>
    <w:next w:val="712"/>
    <w:uiPriority w:val="0"/>
    <w:semiHidden/>
    <w:qFormat/>
    <w:pPr>
      <w:ind w:left="1470"/>
      <w:jc w:val="left"/>
    </w:pPr>
    <w:rPr>
      <w:rFonts w:ascii="Times New Roman" w:hAnsi="Times New Roman" w:eastAsia="宋体" w:cs="Times New Roman"/>
      <w:szCs w:val="21"/>
    </w:rPr>
  </w:style>
  <w:style w:type="paragraph" w:styleId="936" w:customStyle="1">
    <w:name w:val="日期1"/>
    <w:basedOn w:val="712"/>
    <w:next w:val="712"/>
    <w:link w:val="937"/>
    <w:uiPriority w:val="0"/>
    <w:qFormat/>
    <w:rPr>
      <w:rFonts w:ascii="Times New Roman" w:hAnsi="Times New Roman" w:eastAsia="宋体" w:cs="Times New Roman"/>
      <w:sz w:val="24"/>
      <w:szCs w:val="24"/>
    </w:rPr>
  </w:style>
  <w:style w:type="character" w:styleId="937" w:customStyle="1">
    <w:name w:val="日期 Char"/>
    <w:link w:val="936"/>
    <w:uiPriority w:val="0"/>
    <w:qFormat/>
    <w:rPr>
      <w:rFonts w:ascii="Times New Roman" w:hAnsi="Times New Roman" w:eastAsia="宋体" w:cs="Times New Roman"/>
      <w:sz w:val="24"/>
      <w:szCs w:val="24"/>
    </w:rPr>
  </w:style>
  <w:style w:type="paragraph" w:styleId="938" w:customStyle="1">
    <w:name w:val="正文文本缩进 21"/>
    <w:basedOn w:val="712"/>
    <w:link w:val="939"/>
    <w:uiPriority w:val="0"/>
    <w:qFormat/>
    <w:pPr>
      <w:ind w:left="630" w:firstLine="645"/>
    </w:pPr>
    <w:rPr>
      <w:rFonts w:ascii="Arial" w:hAnsi="Arial" w:eastAsia="仿宋_GB2312" w:cs="Arial"/>
      <w:sz w:val="32"/>
      <w:szCs w:val="32"/>
    </w:rPr>
  </w:style>
  <w:style w:type="character" w:styleId="939" w:customStyle="1">
    <w:name w:val="正文文本缩进 2 Char"/>
    <w:link w:val="938"/>
    <w:uiPriority w:val="0"/>
    <w:qFormat/>
    <w:rPr>
      <w:rFonts w:ascii="Arial" w:hAnsi="Arial" w:eastAsia="仿宋_GB2312" w:cs="Arial"/>
      <w:sz w:val="32"/>
      <w:szCs w:val="32"/>
    </w:rPr>
  </w:style>
  <w:style w:type="paragraph" w:styleId="940" w:customStyle="1">
    <w:name w:val="批注框文本1"/>
    <w:basedOn w:val="712"/>
    <w:link w:val="941"/>
    <w:uiPriority w:val="0"/>
    <w:semiHidden/>
    <w:qFormat/>
    <w:rPr>
      <w:rFonts w:ascii="Times New Roman" w:hAnsi="Times New Roman" w:eastAsia="宋体" w:cs="Times New Roman"/>
      <w:sz w:val="18"/>
      <w:szCs w:val="18"/>
    </w:rPr>
  </w:style>
  <w:style w:type="character" w:styleId="941" w:customStyle="1">
    <w:name w:val="批注框文本 Char"/>
    <w:link w:val="940"/>
    <w:uiPriority w:val="0"/>
    <w:semiHidden/>
    <w:qFormat/>
    <w:rPr>
      <w:rFonts w:ascii="Times New Roman" w:hAnsi="Times New Roman" w:eastAsia="宋体" w:cs="Times New Roman"/>
      <w:sz w:val="18"/>
      <w:szCs w:val="18"/>
    </w:rPr>
  </w:style>
  <w:style w:type="paragraph" w:styleId="942" w:customStyle="1">
    <w:name w:val="页脚1"/>
    <w:basedOn w:val="712"/>
    <w:link w:val="94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43" w:customStyle="1">
    <w:name w:val="页脚 Char"/>
    <w:link w:val="942"/>
    <w:uiPriority w:val="0"/>
    <w:qFormat/>
    <w:rPr>
      <w:rFonts w:ascii="Times New Roman" w:hAnsi="Times New Roman" w:eastAsia="宋体" w:cs="Times New Roman"/>
      <w:sz w:val="18"/>
      <w:szCs w:val="18"/>
    </w:rPr>
  </w:style>
  <w:style w:type="paragraph" w:styleId="944" w:customStyle="1">
    <w:name w:val="页眉1"/>
    <w:basedOn w:val="712"/>
    <w:link w:val="94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5" w:customStyle="1">
    <w:name w:val="页眉 Char"/>
    <w:link w:val="944"/>
    <w:uiPriority w:val="0"/>
    <w:qFormat/>
    <w:rPr>
      <w:rFonts w:ascii="Times New Roman" w:hAnsi="Times New Roman" w:eastAsia="宋体" w:cs="Times New Roman"/>
      <w:sz w:val="18"/>
      <w:szCs w:val="18"/>
    </w:rPr>
  </w:style>
  <w:style w:type="paragraph" w:styleId="946" w:customStyle="1">
    <w:name w:val="目录 11"/>
    <w:basedOn w:val="712"/>
    <w:next w:val="71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7" w:customStyle="1">
    <w:name w:val="目录 41"/>
    <w:basedOn w:val="712"/>
    <w:next w:val="712"/>
    <w:uiPriority w:val="0"/>
    <w:semiHidden/>
    <w:qFormat/>
    <w:pPr>
      <w:ind w:left="630"/>
      <w:jc w:val="left"/>
    </w:pPr>
    <w:rPr>
      <w:rFonts w:ascii="Times New Roman" w:hAnsi="Times New Roman" w:eastAsia="宋体" w:cs="Times New Roman"/>
      <w:szCs w:val="21"/>
    </w:rPr>
  </w:style>
  <w:style w:type="paragraph" w:styleId="948" w:customStyle="1">
    <w:name w:val="列表1"/>
    <w:basedOn w:val="712"/>
    <w:uiPriority w:val="0"/>
    <w:qFormat/>
    <w:pPr>
      <w:ind w:left="200" w:hanging="200"/>
    </w:pPr>
    <w:rPr>
      <w:rFonts w:ascii="Times New Roman" w:hAnsi="Times New Roman" w:eastAsia="宋体" w:cs="Times New Roman"/>
      <w:szCs w:val="21"/>
    </w:rPr>
  </w:style>
  <w:style w:type="paragraph" w:styleId="949" w:customStyle="1">
    <w:name w:val="目录 61"/>
    <w:basedOn w:val="712"/>
    <w:next w:val="712"/>
    <w:uiPriority w:val="0"/>
    <w:semiHidden/>
    <w:qFormat/>
    <w:pPr>
      <w:ind w:left="1050"/>
      <w:jc w:val="left"/>
    </w:pPr>
    <w:rPr>
      <w:rFonts w:ascii="Times New Roman" w:hAnsi="Times New Roman" w:eastAsia="宋体" w:cs="Times New Roman"/>
      <w:szCs w:val="21"/>
    </w:rPr>
  </w:style>
  <w:style w:type="paragraph" w:styleId="950" w:customStyle="1">
    <w:name w:val="正文文本缩进 31"/>
    <w:basedOn w:val="712"/>
    <w:link w:val="951"/>
    <w:uiPriority w:val="0"/>
    <w:qFormat/>
    <w:pPr>
      <w:ind w:left="645" w:firstLine="645"/>
    </w:pPr>
    <w:rPr>
      <w:rFonts w:ascii="Arial" w:hAnsi="Arial" w:eastAsia="仿宋_GB2312" w:cs="Arial"/>
      <w:color w:val="ffff00"/>
      <w:sz w:val="32"/>
      <w:szCs w:val="32"/>
    </w:rPr>
  </w:style>
  <w:style w:type="character" w:styleId="951" w:customStyle="1">
    <w:name w:val="正文文本缩进 3 Char"/>
    <w:link w:val="950"/>
    <w:uiPriority w:val="0"/>
    <w:qFormat/>
    <w:rPr>
      <w:rFonts w:ascii="Arial" w:hAnsi="Arial" w:eastAsia="仿宋_GB2312" w:cs="Arial"/>
      <w:color w:val="ffff00"/>
      <w:sz w:val="32"/>
      <w:szCs w:val="32"/>
    </w:rPr>
  </w:style>
  <w:style w:type="paragraph" w:styleId="952" w:customStyle="1">
    <w:name w:val="图表目录1"/>
    <w:basedOn w:val="712"/>
    <w:next w:val="712"/>
    <w:uiPriority w:val="0"/>
    <w:semiHidden/>
    <w:qFormat/>
    <w:pPr>
      <w:ind w:left="840" w:hanging="420"/>
    </w:pPr>
    <w:rPr>
      <w:rFonts w:ascii="Times New Roman" w:hAnsi="Times New Roman" w:eastAsia="宋体" w:cs="Times New Roman"/>
      <w:szCs w:val="21"/>
    </w:rPr>
  </w:style>
  <w:style w:type="paragraph" w:styleId="953" w:customStyle="1">
    <w:name w:val="目录 21"/>
    <w:basedOn w:val="712"/>
    <w:next w:val="712"/>
    <w:uiPriority w:val="0"/>
    <w:semiHidden/>
    <w:qFormat/>
    <w:pPr>
      <w:ind w:left="210"/>
      <w:jc w:val="left"/>
    </w:pPr>
    <w:rPr>
      <w:rFonts w:ascii="Times New Roman" w:hAnsi="Times New Roman" w:eastAsia="宋体" w:cs="Times New Roman"/>
      <w:smallCaps/>
      <w:szCs w:val="24"/>
    </w:rPr>
  </w:style>
  <w:style w:type="paragraph" w:styleId="954" w:customStyle="1">
    <w:name w:val="目录 91"/>
    <w:basedOn w:val="712"/>
    <w:next w:val="712"/>
    <w:uiPriority w:val="0"/>
    <w:semiHidden/>
    <w:qFormat/>
    <w:pPr>
      <w:ind w:left="1680"/>
      <w:jc w:val="left"/>
    </w:pPr>
    <w:rPr>
      <w:rFonts w:ascii="Times New Roman" w:hAnsi="Times New Roman" w:eastAsia="宋体" w:cs="Times New Roman"/>
      <w:szCs w:val="21"/>
    </w:rPr>
  </w:style>
  <w:style w:type="paragraph" w:styleId="955" w:customStyle="1">
    <w:name w:val="正文文本 21"/>
    <w:basedOn w:val="712"/>
    <w:link w:val="956"/>
    <w:uiPriority w:val="0"/>
    <w:qFormat/>
    <w:pPr>
      <w:jc w:val="center"/>
      <w:widowControl/>
    </w:pPr>
    <w:rPr>
      <w:rFonts w:ascii="楷体_GB2312" w:hAnsi="Times New Roman" w:eastAsia="楷体_GB2312" w:cs="Times New Roman"/>
      <w:sz w:val="28"/>
      <w:szCs w:val="28"/>
    </w:rPr>
  </w:style>
  <w:style w:type="character" w:styleId="956" w:customStyle="1">
    <w:name w:val="正文文本 2 Char"/>
    <w:link w:val="955"/>
    <w:uiPriority w:val="0"/>
    <w:qFormat/>
    <w:rPr>
      <w:rFonts w:ascii="楷体_GB2312" w:hAnsi="Times New Roman" w:eastAsia="楷体_GB2312" w:cs="Times New Roman"/>
      <w:sz w:val="28"/>
      <w:szCs w:val="28"/>
    </w:rPr>
  </w:style>
  <w:style w:type="paragraph" w:styleId="957" w:customStyle="1">
    <w:name w:val="普通(网站)1"/>
    <w:basedOn w:val="712"/>
    <w:uiPriority w:val="99"/>
    <w:qFormat/>
    <w:pPr>
      <w:jc w:val="left"/>
      <w:spacing w:before="100" w:beforeAutospacing="1" w:after="100" w:afterAutospacing="1"/>
      <w:widowControl/>
    </w:pPr>
    <w:rPr>
      <w:rFonts w:ascii="宋体" w:hAnsi="宋体" w:eastAsia="宋体" w:cs="宋体"/>
      <w:sz w:val="24"/>
      <w:szCs w:val="24"/>
    </w:rPr>
  </w:style>
  <w:style w:type="paragraph" w:styleId="958" w:customStyle="1">
    <w:name w:val="索引 11"/>
    <w:basedOn w:val="712"/>
    <w:next w:val="712"/>
    <w:uiPriority w:val="0"/>
    <w:semiHidden/>
    <w:qFormat/>
    <w:pPr>
      <w:spacing w:line="240" w:lineRule="atLeast"/>
    </w:pPr>
    <w:rPr>
      <w:rFonts w:ascii="Times New Roman" w:hAnsi="Times New Roman" w:eastAsia="宋体" w:cs="Times New Roman"/>
      <w:b/>
      <w:bCs/>
      <w:szCs w:val="21"/>
    </w:rPr>
  </w:style>
  <w:style w:type="paragraph" w:styleId="959" w:customStyle="1">
    <w:name w:val="批注主题1"/>
    <w:basedOn w:val="920"/>
    <w:next w:val="920"/>
    <w:link w:val="960"/>
    <w:uiPriority w:val="0"/>
    <w:semiHidden/>
    <w:qFormat/>
    <w:rPr>
      <w:rFonts w:ascii="Times New Roman" w:hAnsi="Times New Roman" w:eastAsia="宋体" w:cs="Times New Roman"/>
      <w:b/>
      <w:bCs/>
      <w:szCs w:val="21"/>
    </w:rPr>
  </w:style>
  <w:style w:type="character" w:styleId="960" w:customStyle="1">
    <w:name w:val="批注主题 Char"/>
    <w:link w:val="959"/>
    <w:uiPriority w:val="0"/>
    <w:semiHidden/>
    <w:qFormat/>
    <w:rPr>
      <w:rFonts w:ascii="Times New Roman" w:hAnsi="Times New Roman" w:eastAsia="宋体" w:cs="Times New Roman"/>
      <w:b/>
      <w:bCs/>
      <w:szCs w:val="21"/>
    </w:rPr>
  </w:style>
  <w:style w:type="paragraph" w:styleId="961" w:customStyle="1">
    <w:name w:val="正文首行缩进1"/>
    <w:basedOn w:val="712"/>
    <w:link w:val="962"/>
    <w:uiPriority w:val="0"/>
    <w:qFormat/>
    <w:pPr>
      <w:ind w:firstLine="200"/>
      <w:spacing w:line="360" w:lineRule="auto"/>
    </w:pPr>
    <w:rPr>
      <w:rFonts w:ascii="仿宋_GB2312" w:hAnsi="Times New Roman" w:eastAsia="仿宋_GB2312" w:cs="Times New Roman"/>
      <w:sz w:val="30"/>
      <w:szCs w:val="30"/>
    </w:rPr>
  </w:style>
  <w:style w:type="character" w:styleId="962" w:customStyle="1">
    <w:name w:val="正文首行缩进 Char"/>
    <w:link w:val="961"/>
    <w:uiPriority w:val="0"/>
    <w:qFormat/>
    <w:rPr>
      <w:rFonts w:ascii="仿宋_GB2312" w:hAnsi="Times New Roman" w:eastAsia="仿宋_GB2312" w:cs="Times New Roman"/>
      <w:sz w:val="30"/>
      <w:szCs w:val="30"/>
    </w:rPr>
  </w:style>
  <w:style w:type="paragraph" w:styleId="963" w:customStyle="1">
    <w:name w:val="正文首行缩进 21"/>
    <w:basedOn w:val="926"/>
    <w:next w:val="712"/>
    <w:link w:val="964"/>
    <w:uiPriority w:val="0"/>
    <w:qFormat/>
    <w:pPr>
      <w:ind w:left="0" w:firstLine="420"/>
      <w:spacing w:after="0" w:line="360" w:lineRule="auto"/>
    </w:pPr>
    <w:rPr>
      <w:rFonts w:ascii="宋体" w:hAnsi="宋体" w:eastAsia="宋体" w:cs="Times New Roman"/>
      <w:szCs w:val="20"/>
    </w:rPr>
  </w:style>
  <w:style w:type="character" w:styleId="964" w:customStyle="1">
    <w:name w:val="正文首行缩进 2 Char"/>
    <w:link w:val="963"/>
    <w:uiPriority w:val="0"/>
    <w:qFormat/>
    <w:rPr>
      <w:rFonts w:ascii="宋体" w:hAnsi="宋体" w:eastAsia="宋体" w:cs="Times New Roman"/>
      <w:szCs w:val="20"/>
    </w:rPr>
  </w:style>
  <w:style w:type="table" w:styleId="965" w:customStyle="1">
    <w:name w:val="网格型11"/>
    <w:basedOn w:val="905"/>
    <w:uiPriority w:val="0"/>
    <w:qFormat/>
    <w:pPr>
      <w:jc w:val="both"/>
      <w:widowControl w:val="off"/>
    </w:pPr>
    <w:rPr>
      <w:rFonts w:ascii="Times New Roman" w:hAnsi="Times New Roman" w:eastAsia="宋体" w:cs="Times New Roman"/>
      <w:sz w:val="20"/>
      <w:szCs w:val="20"/>
    </w:rPr>
    <w:tblPr/>
  </w:style>
  <w:style w:type="character" w:styleId="966" w:customStyle="1">
    <w:name w:val="要点1"/>
    <w:link w:val="712"/>
    <w:uiPriority w:val="0"/>
    <w:qFormat/>
    <w:rPr>
      <w:b/>
      <w:bCs/>
    </w:rPr>
  </w:style>
  <w:style w:type="character" w:styleId="967" w:customStyle="1">
    <w:name w:val="页码1"/>
    <w:link w:val="712"/>
    <w:uiPriority w:val="0"/>
    <w:qFormat/>
  </w:style>
  <w:style w:type="character" w:styleId="968" w:customStyle="1">
    <w:name w:val="已访问的超链接1"/>
    <w:link w:val="712"/>
    <w:uiPriority w:val="0"/>
    <w:qFormat/>
    <w:rPr>
      <w:color w:val="800080"/>
      <w:u w:val="single"/>
    </w:rPr>
  </w:style>
  <w:style w:type="character" w:styleId="969" w:customStyle="1">
    <w:name w:val="强调1"/>
    <w:link w:val="712"/>
    <w:uiPriority w:val="0"/>
    <w:qFormat/>
    <w:rPr>
      <w:i/>
    </w:rPr>
  </w:style>
  <w:style w:type="character" w:styleId="970" w:customStyle="1">
    <w:name w:val="超链接1"/>
    <w:link w:val="712"/>
    <w:uiPriority w:val="0"/>
    <w:qFormat/>
    <w:rPr>
      <w:color w:val="0000ff"/>
      <w:u w:val="single"/>
    </w:rPr>
  </w:style>
  <w:style w:type="character" w:styleId="971" w:customStyle="1">
    <w:name w:val="批注引用1"/>
    <w:link w:val="712"/>
    <w:uiPriority w:val="0"/>
    <w:semiHidden/>
    <w:qFormat/>
    <w:rPr>
      <w:sz w:val="21"/>
      <w:szCs w:val="21"/>
    </w:rPr>
  </w:style>
  <w:style w:type="paragraph" w:styleId="972" w:customStyle="1">
    <w:name w:val="索引 41"/>
    <w:basedOn w:val="712"/>
    <w:next w:val="712"/>
    <w:uiPriority w:val="0"/>
    <w:semiHidden/>
    <w:qFormat/>
    <w:pPr>
      <w:ind w:left="1260"/>
    </w:pPr>
    <w:rPr>
      <w:rFonts w:ascii="Calibri" w:hAnsi="Calibri" w:eastAsia="Calibri" w:cs="宋体"/>
      <w:sz w:val="20"/>
      <w:lang w:val="zh-CN"/>
    </w:rPr>
  </w:style>
  <w:style w:type="paragraph" w:styleId="973" w:customStyle="1">
    <w:name w:val="正文文本缩进1"/>
    <w:basedOn w:val="712"/>
    <w:next w:val="974"/>
    <w:uiPriority w:val="0"/>
    <w:unhideWhenUsed/>
    <w:qFormat/>
    <w:pPr>
      <w:ind w:left="420"/>
      <w:spacing w:after="120"/>
    </w:pPr>
  </w:style>
  <w:style w:type="paragraph" w:styleId="974" w:customStyle="1">
    <w:name w:val="正文文本首行缩进 2"/>
    <w:basedOn w:val="973"/>
    <w:uiPriority w:val="0"/>
    <w:qFormat/>
    <w:pPr>
      <w:ind w:left="0" w:firstLine="420"/>
      <w:spacing w:after="0" w:line="360" w:lineRule="auto"/>
    </w:pPr>
    <w:rPr>
      <w:rFonts w:ascii="宋体" w:hAnsi="宋体"/>
      <w:sz w:val="20"/>
      <w:szCs w:val="20"/>
      <w:lang w:val="en-US" w:eastAsia="en-US"/>
    </w:rPr>
  </w:style>
  <w:style w:type="character" w:styleId="975" w:customStyle="1">
    <w:name w:val="font5 Char"/>
    <w:link w:val="712"/>
    <w:uiPriority w:val="0"/>
    <w:qFormat/>
    <w:rPr>
      <w:rFonts w:ascii="宋体" w:hAnsi="宋体" w:eastAsia="宋体"/>
      <w:sz w:val="28"/>
      <w:szCs w:val="28"/>
      <w:lang w:val="en-US" w:eastAsia="zh-CN" w:bidi="ar-SA"/>
    </w:rPr>
  </w:style>
  <w:style w:type="character" w:styleId="976" w:customStyle="1">
    <w:name w:val="二级目录 Char"/>
    <w:link w:val="977"/>
    <w:uiPriority w:val="0"/>
    <w:qFormat/>
    <w:rPr>
      <w:b/>
      <w:sz w:val="30"/>
      <w:szCs w:val="28"/>
    </w:rPr>
  </w:style>
  <w:style w:type="paragraph" w:styleId="977" w:customStyle="1">
    <w:name w:val="二级目录"/>
    <w:next w:val="712"/>
    <w:link w:val="97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12"/>
    <w:link w:val="978"/>
    <w:uiPriority w:val="0"/>
    <w:qFormat/>
    <w:pPr>
      <w:contextualSpacing/>
      <w:ind w:left="720"/>
      <w:jc w:val="left"/>
      <w:widowControl/>
    </w:pPr>
    <w:rPr>
      <w:rFonts w:ascii="Calibri" w:hAnsi="Calibri"/>
      <w:sz w:val="24"/>
      <w:szCs w:val="24"/>
      <w:lang w:eastAsia="en-US" w:bidi="en-US"/>
    </w:rPr>
  </w:style>
  <w:style w:type="paragraph" w:styleId="980" w:customStyle="1">
    <w:name w:val="Body Text(ch)"/>
    <w:basedOn w:val="712"/>
    <w:next w:val="924"/>
    <w:uiPriority w:val="0"/>
    <w:qFormat/>
    <w:pPr>
      <w:spacing w:after="120"/>
    </w:pPr>
    <w:rPr>
      <w:rFonts w:ascii="宋体" w:hAnsi="Arial" w:eastAsia="宋体" w:cs="Times New Roman"/>
      <w:bCs/>
      <w:iCs/>
      <w:szCs w:val="24"/>
    </w:rPr>
  </w:style>
  <w:style w:type="paragraph" w:styleId="981"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customStyle="1">
    <w:name w:val="Char"/>
    <w:basedOn w:val="712"/>
    <w:uiPriority w:val="0"/>
    <w:qFormat/>
    <w:pPr>
      <w:ind w:firstLine="200"/>
      <w:tabs>
        <w:tab w:val="left" w:pos="360" w:leader="none"/>
      </w:tabs>
    </w:pPr>
    <w:rPr>
      <w:rFonts w:ascii="Times New Roman" w:hAnsi="Times New Roman" w:eastAsia="宋体" w:cs="Times New Roman"/>
      <w:sz w:val="28"/>
      <w:szCs w:val="30"/>
    </w:rPr>
  </w:style>
  <w:style w:type="paragraph" w:styleId="984" w:customStyle="1">
    <w:name w:val=" Char"/>
    <w:basedOn w:val="918"/>
    <w:uiPriority w:val="0"/>
    <w:qFormat/>
    <w:rPr>
      <w:rFonts w:ascii="Tahoma" w:hAnsi="Tahoma"/>
      <w:sz w:val="24"/>
      <w:szCs w:val="24"/>
    </w:rPr>
  </w:style>
  <w:style w:type="paragraph" w:styleId="985" w:customStyle="1">
    <w:name w:val="普通正文"/>
    <w:basedOn w:val="712"/>
    <w:uiPriority w:val="0"/>
    <w:qFormat/>
    <w:pPr>
      <w:ind w:firstLine="480"/>
      <w:jc w:val="left"/>
      <w:spacing w:before="120" w:after="120" w:line="360" w:lineRule="auto"/>
    </w:pPr>
    <w:rPr>
      <w:rFonts w:ascii="Arial" w:hAnsi="Arial" w:eastAsia="宋体" w:cs="Times New Roman"/>
      <w:sz w:val="24"/>
      <w:szCs w:val="24"/>
    </w:rPr>
  </w:style>
  <w:style w:type="paragraph" w:styleId="986" w:customStyle="1">
    <w:name w:val="table_lines"/>
    <w:basedOn w:val="712"/>
    <w:uiPriority w:val="0"/>
    <w:qFormat/>
    <w:pPr>
      <w:jc w:val="left"/>
      <w:widowControl/>
    </w:pPr>
    <w:rPr>
      <w:rFonts w:ascii="Times New Roman" w:hAnsi="Times New Roman" w:eastAsia="宋体" w:cs="Times New Roman"/>
      <w:sz w:val="20"/>
      <w:szCs w:val="20"/>
      <w:lang w:val="de-DE" w:eastAsia="de-DE"/>
    </w:rPr>
  </w:style>
  <w:style w:type="paragraph" w:styleId="9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8" w:customStyle="1">
    <w:name w:val="font7"/>
    <w:basedOn w:val="71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9" w:customStyle="1">
    <w:name w:val=" Char Char Char Char"/>
    <w:basedOn w:val="918"/>
    <w:uiPriority w:val="0"/>
    <w:qFormat/>
    <w:pPr>
      <w:spacing w:line="360" w:lineRule="auto"/>
    </w:pPr>
    <w:rPr>
      <w:rFonts w:ascii="Tahoma" w:hAnsi="Tahoma"/>
      <w:sz w:val="24"/>
      <w:szCs w:val="24"/>
    </w:rPr>
  </w:style>
  <w:style w:type="paragraph" w:styleId="990">
    <w:name w:val="List Paragraph"/>
    <w:basedOn w:val="712"/>
    <w:uiPriority w:val="0"/>
    <w:qFormat/>
    <w:pPr>
      <w:contextualSpacing/>
      <w:ind w:left="720"/>
      <w:jc w:val="left"/>
      <w:widowControl/>
    </w:pPr>
    <w:rPr>
      <w:rFonts w:ascii="Calibri" w:hAnsi="Calibri" w:eastAsia="宋体" w:cs="Times New Roman"/>
      <w:sz w:val="24"/>
      <w:szCs w:val="24"/>
      <w:lang w:eastAsia="en-US" w:bidi="en-US"/>
    </w:rPr>
  </w:style>
  <w:style w:type="paragraph" w:styleId="991" w:customStyle="1">
    <w:name w:val="4"/>
    <w:basedOn w:val="712"/>
    <w:next w:val="950"/>
    <w:uiPriority w:val="0"/>
    <w:qFormat/>
    <w:pPr>
      <w:ind w:firstLine="420"/>
      <w:spacing w:line="360" w:lineRule="auto"/>
    </w:pPr>
    <w:rPr>
      <w:rFonts w:ascii="Times New Roman" w:hAnsi="Times New Roman" w:eastAsia="宋体" w:cs="Times New Roman"/>
      <w:color w:val="ff0000"/>
      <w:sz w:val="24"/>
      <w:szCs w:val="24"/>
    </w:rPr>
  </w:style>
  <w:style w:type="paragraph" w:styleId="992" w:customStyle="1">
    <w:name w:val="普通 (Web)"/>
    <w:basedOn w:val="712"/>
    <w:uiPriority w:val="0"/>
    <w:qFormat/>
    <w:pPr>
      <w:jc w:val="left"/>
      <w:spacing w:before="100" w:beforeAutospacing="1" w:after="100" w:afterAutospacing="1"/>
      <w:widowControl/>
    </w:pPr>
    <w:rPr>
      <w:rFonts w:ascii="宋体" w:hAnsi="宋体" w:eastAsia="宋体" w:cs="Times New Roman"/>
      <w:sz w:val="24"/>
      <w:szCs w:val="24"/>
    </w:rPr>
  </w:style>
  <w:style w:type="paragraph" w:styleId="993" w:customStyle="1">
    <w:name w:val=" Char Char Char Char Char Char Char Char Char Char"/>
    <w:basedOn w:val="712"/>
    <w:uiPriority w:val="0"/>
    <w:qFormat/>
    <w:pPr>
      <w:spacing w:line="360" w:lineRule="auto"/>
    </w:pPr>
    <w:rPr>
      <w:rFonts w:ascii="Times New Roman" w:hAnsi="Times New Roman" w:eastAsia="宋体" w:cs="Times New Roman"/>
      <w:sz w:val="24"/>
      <w:szCs w:val="20"/>
    </w:rPr>
  </w:style>
  <w:style w:type="paragraph" w:styleId="994" w:customStyle="1">
    <w:name w:val="样式1"/>
    <w:basedOn w:val="712"/>
    <w:uiPriority w:val="0"/>
    <w:qFormat/>
    <w:pPr>
      <w:numPr>
        <w:ilvl w:val="0"/>
        <w:numId w:val="3"/>
      </w:numPr>
    </w:pPr>
    <w:rPr>
      <w:rFonts w:ascii="宋体" w:hAnsi="宋体" w:eastAsia="宋体" w:cs="Times New Roman"/>
      <w:szCs w:val="21"/>
    </w:rPr>
  </w:style>
  <w:style w:type="paragraph" w:styleId="995" w:customStyle="1">
    <w:name w:val="font6"/>
    <w:basedOn w:val="71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customStyle="1">
    <w:name w:val="标题3"/>
    <w:basedOn w:val="712"/>
    <w:next w:val="712"/>
    <w:uiPriority w:val="0"/>
    <w:qFormat/>
    <w:pPr>
      <w:ind w:firstLine="624"/>
      <w:spacing w:line="590" w:lineRule="atLeast"/>
    </w:pPr>
    <w:rPr>
      <w:rFonts w:ascii="方正黑体_GBK" w:hAnsi="Times New Roman" w:eastAsia="方正黑体_GBK" w:cs="Times New Roman"/>
      <w:sz w:val="32"/>
      <w:szCs w:val="32"/>
    </w:rPr>
  </w:style>
  <w:style w:type="paragraph" w:styleId="999"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customStyle="1">
    <w:name w:val="Char Char Char Char Char Char Char Char"/>
    <w:basedOn w:val="712"/>
    <w:uiPriority w:val="0"/>
    <w:qFormat/>
    <w:pPr>
      <w:jc w:val="left"/>
      <w:spacing w:after="160" w:line="240" w:lineRule="exact"/>
      <w:widowControl/>
    </w:pPr>
    <w:rPr>
      <w:rFonts w:ascii="Verdana" w:hAnsi="Verdana" w:eastAsia="宋体" w:cs="Times New Roman"/>
      <w:sz w:val="20"/>
      <w:szCs w:val="20"/>
      <w:lang w:eastAsia="en-US"/>
    </w:rPr>
  </w:style>
  <w:style w:type="paragraph" w:styleId="1002"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customStyle="1">
    <w:name w:val=" Char Char Char Char Char Char Char Char"/>
    <w:basedOn w:val="712"/>
    <w:uiPriority w:val="0"/>
    <w:qFormat/>
    <w:pPr>
      <w:jc w:val="left"/>
      <w:spacing w:after="160" w:line="240" w:lineRule="exact"/>
      <w:widowControl/>
    </w:pPr>
    <w:rPr>
      <w:rFonts w:ascii="Verdana" w:hAnsi="Verdana" w:eastAsia="宋体" w:cs="Times New Roman"/>
      <w:sz w:val="20"/>
      <w:szCs w:val="20"/>
      <w:lang w:eastAsia="en-US"/>
    </w:rPr>
  </w:style>
  <w:style w:type="paragraph" w:styleId="1004" w:customStyle="1">
    <w:name w:val="xl30"/>
    <w:basedOn w:val="71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5" w:customStyle="1">
    <w:name w:val="Char Char Char Char"/>
    <w:basedOn w:val="918"/>
    <w:uiPriority w:val="0"/>
    <w:qFormat/>
    <w:pPr>
      <w:spacing w:line="360" w:lineRule="auto"/>
    </w:pPr>
    <w:rPr>
      <w:rFonts w:ascii="Tahoma" w:hAnsi="Tahoma"/>
      <w:sz w:val="24"/>
      <w:szCs w:val="24"/>
    </w:rPr>
  </w:style>
  <w:style w:type="paragraph" w:styleId="1006" w:customStyle="1">
    <w:name w:val="table_1stline"/>
    <w:basedOn w:val="71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7" w:customStyle="1">
    <w:name w:val="font5"/>
    <w:basedOn w:val="71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8" w:customStyle="1">
    <w:name w:val="标题1"/>
    <w:basedOn w:val="712"/>
    <w:next w:val="71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customStyle="1">
    <w:name w:val="_Style 112"/>
    <w:uiPriority w:val="99"/>
    <w:semiHidden/>
    <w:qFormat/>
    <w:rPr>
      <w:rFonts w:hint="default" w:ascii="Times New Roman" w:hAnsi="Times New Roman" w:eastAsia="宋体" w:cs="Times New Roman"/>
      <w:sz w:val="21"/>
      <w:szCs w:val="21"/>
      <w:lang w:val="en-US" w:eastAsia="zh-CN" w:bidi="ar-SA"/>
    </w:rPr>
  </w:style>
  <w:style w:type="paragraph" w:styleId="101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1" w:customStyle="1">
    <w:name w:val="Table Normal"/>
    <w:uiPriority w:val="0"/>
    <w:qFormat/>
    <w:tblPr/>
  </w:style>
  <w:style w:type="paragraph" w:styleId="1012" w:customStyle="1">
    <w:name w:val="正文文本 211"/>
    <w:basedOn w:val="712"/>
    <w:uiPriority w:val="99"/>
    <w:qFormat/>
    <w:pPr>
      <w:jc w:val="center"/>
    </w:pPr>
    <w:rPr>
      <w:b/>
      <w:bCs/>
      <w:sz w:val="20"/>
      <w:szCs w:val="20"/>
    </w:rPr>
  </w:style>
  <w:style w:type="paragraph" w:styleId="1013" w:customStyle="1">
    <w:name w:val="正文文本1"/>
    <w:basedOn w:val="712"/>
    <w:next w:val="712"/>
    <w:uiPriority w:val="0"/>
    <w:semiHidden/>
    <w:qFormat/>
    <w:rPr>
      <w:rFonts w:ascii="Arial" w:hAnsi="Arial" w:eastAsia="Arial" w:cs="Arial"/>
      <w:sz w:val="21"/>
      <w:szCs w:val="21"/>
      <w:lang w:val="en-US" w:eastAsia="en-US" w:bidi="ar-SA"/>
    </w:rPr>
  </w:style>
  <w:style w:type="paragraph" w:styleId="1014" w:customStyle="1">
    <w:name w:val="正文文本12"/>
    <w:basedOn w:val="712"/>
    <w:uiPriority w:val="1"/>
    <w:qFormat/>
    <w:pPr>
      <w:ind w:left="120"/>
    </w:pPr>
    <w:rPr>
      <w:rFonts w:ascii="宋体" w:hAnsi="宋体" w:eastAsia="宋体" w:cs="宋体"/>
      <w:sz w:val="21"/>
      <w:szCs w:val="21"/>
      <w:lang w:val="zh-CN" w:eastAsia="zh-CN" w:bidi="zh-CN"/>
    </w:rPr>
  </w:style>
  <w:style w:type="paragraph" w:styleId="1015" w:customStyle="1">
    <w:name w:val="纯文本1"/>
    <w:basedOn w:val="712"/>
    <w:uiPriority w:val="0"/>
    <w:qFormat/>
    <w:rPr>
      <w:rFonts w:ascii="宋体" w:hAnsi="Courier New" w:cs="Courier New"/>
    </w:rPr>
  </w:style>
  <w:style w:type="table" w:styleId="1016" w:customStyle="1">
    <w:name w:val="网格型1"/>
    <w:basedOn w:val="1017"/>
    <w:uiPriority w:val="0"/>
    <w:qFormat/>
    <w:pPr>
      <w:jc w:val="both"/>
      <w:widowControl w:val="off"/>
    </w:pPr>
    <w:tblPr/>
  </w:style>
  <w:style w:type="table" w:styleId="1017" w:customStyle="1">
    <w:name w:val="普通表格1"/>
    <w:uiPriority w:val="99"/>
    <w:unhideWhenUsed/>
    <w:qFormat/>
    <w:tblPr/>
  </w:style>
  <w:style w:type="paragraph" w:styleId="1018" w:customStyle="1">
    <w:name w:val="正文首行缩进 211"/>
    <w:basedOn w:val="1019"/>
    <w:next w:val="712"/>
    <w:uiPriority w:val="0"/>
    <w:qFormat/>
    <w:pPr>
      <w:ind w:left="0" w:firstLine="420"/>
      <w:spacing w:after="0" w:line="360" w:lineRule="auto"/>
    </w:pPr>
    <w:rPr>
      <w:rFonts w:ascii="宋体" w:hAnsi="宋体" w:eastAsia="宋体" w:cs="Times New Roman"/>
      <w:szCs w:val="20"/>
    </w:rPr>
  </w:style>
  <w:style w:type="paragraph" w:styleId="1019" w:customStyle="1">
    <w:name w:val="正文文本缩进11"/>
    <w:basedOn w:val="712"/>
    <w:next w:val="1020"/>
    <w:uiPriority w:val="0"/>
    <w:unhideWhenUsed/>
    <w:qFormat/>
    <w:pPr>
      <w:ind w:left="420"/>
      <w:spacing w:after="120"/>
    </w:pPr>
  </w:style>
  <w:style w:type="paragraph" w:styleId="1020" w:customStyle="1">
    <w:name w:val="寄信人地址1"/>
    <w:basedOn w:val="712"/>
    <w:uiPriority w:val="0"/>
    <w:qFormat/>
    <w:rPr>
      <w:rFonts w:ascii="Arial" w:hAnsi="Arial" w:eastAsia="宋体" w:cs="宋体"/>
    </w:rPr>
  </w:style>
  <w:style w:type="paragraph" w:styleId="1021" w:customStyle="1">
    <w:name w:val="Default"/>
    <w:uiPriority w:val="99"/>
    <w:unhideWhenUsed/>
    <w:qFormat/>
    <w:pPr>
      <w:widowControl w:val="off"/>
    </w:pPr>
    <w:rPr>
      <w:rFonts w:hint="eastAsia" w:ascii="宋体" w:hAnsi="宋体" w:eastAsia="宋体" w:cs="Times New Roman"/>
      <w:color w:val="000000"/>
      <w:sz w:val="24"/>
      <w:szCs w:val="24"/>
    </w:rPr>
  </w:style>
  <w:style w:type="paragraph" w:styleId="1022" w:customStyle="1">
    <w:name w:val="Table Text"/>
    <w:basedOn w:val="712"/>
    <w:uiPriority w:val="0"/>
    <w:semiHidden/>
    <w:qFormat/>
    <w:rPr>
      <w:rFonts w:ascii="宋体" w:hAnsi="宋体" w:eastAsia="宋体" w:cs="宋体"/>
    </w:rPr>
  </w:style>
  <w:style w:type="character" w:styleId="1023" w:customStyle="1">
    <w:name w:val="font21"/>
    <w:basedOn w:val="722"/>
    <w:uiPriority w:val="0"/>
    <w:qFormat/>
    <w:rPr>
      <w:rFonts w:hint="default" w:ascii="Times New Roman" w:hAnsi="Times New Roman" w:cs="Times New Roman"/>
      <w:color w:val="000000"/>
      <w:sz w:val="22"/>
      <w:szCs w:val="22"/>
      <w:u w:val="none"/>
    </w:rPr>
  </w:style>
  <w:style w:type="character" w:styleId="1024" w:customStyle="1">
    <w:name w:val="font31"/>
    <w:basedOn w:val="722"/>
    <w:uiPriority w:val="0"/>
    <w:qFormat/>
    <w:rPr>
      <w:rFonts w:hint="eastAsia" w:ascii="仿宋" w:hAnsi="仿宋" w:eastAsia="仿宋" w:cs="仿宋"/>
      <w:color w:val="000000"/>
      <w:sz w:val="22"/>
      <w:szCs w:val="22"/>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班潇文</cp:lastModifiedBy>
  <cp:revision>6</cp:revision>
  <dcterms:created xsi:type="dcterms:W3CDTF">2023-03-27T07:28:00Z</dcterms:created>
  <dcterms:modified xsi:type="dcterms:W3CDTF">2026-07-01T03:33:48Z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2052-12.1.0.26895</vt:lpwstr>
  </property>
  <property fmtid="{D5CDD505-2E9C-101B-9397-08002B2CF9AE}" pid="4" name="ICV">
    <vt:lpwstr>8346A7B01A3F4C9B9A84695B2ACD7BF9_13</vt:lpwstr>
  </property>
</Properties>
</file>