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r>
        <w:rPr>
          <w:rFonts w:hint="eastAsia" w:ascii="黑体" w:hAnsi="黑体" w:eastAsia="黑体"/>
          <w:b/>
          <w:sz w:val="84"/>
          <w:szCs w:val="84"/>
        </w:rPr>
        <w:t>竞争性磋商文件</w:t>
      </w: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1285" w:firstLineChars="400"/>
        <w:rPr>
          <w:rFonts w:hint="default" w:ascii="黑体" w:hAnsi="Arial" w:eastAsia="宋体" w:cs="Times New Roman"/>
          <w:b/>
          <w:color w:val="000000"/>
          <w:kern w:val="0"/>
          <w:sz w:val="44"/>
          <w:szCs w:val="21"/>
          <w:highlight w:val="none"/>
          <w:lang w:val="en-US" w:eastAsia="zh-CN"/>
        </w:rPr>
      </w:pPr>
      <w:r>
        <w:rPr>
          <w:rFonts w:hint="eastAsia" w:ascii="Arial" w:hAnsi="Arial" w:eastAsia="宋体" w:cs="Times New Roman"/>
          <w:b/>
          <w:bCs/>
          <w:color w:val="000000"/>
          <w:kern w:val="0"/>
          <w:sz w:val="32"/>
          <w:szCs w:val="24"/>
          <w:highlight w:val="none"/>
        </w:rPr>
        <w:t>项目名称：东海县自然资源和规划局机关办公楼电梯采购更换项目</w:t>
      </w:r>
    </w:p>
    <w:p>
      <w:pPr>
        <w:spacing w:line="480" w:lineRule="auto"/>
        <w:ind w:firstLine="1285" w:firstLineChars="400"/>
        <w:rPr>
          <w:rFonts w:hint="eastAsia" w:ascii="Arial" w:hAnsi="Arial" w:eastAsia="宋体" w:cs="Times New Roman"/>
          <w:b/>
          <w:bCs/>
          <w:color w:val="000000"/>
          <w:kern w:val="0"/>
          <w:sz w:val="32"/>
          <w:szCs w:val="24"/>
          <w:highlight w:val="none"/>
        </w:rPr>
      </w:pPr>
      <w:r>
        <w:rPr>
          <w:rFonts w:hint="eastAsia" w:ascii="Arial" w:hAnsi="Arial" w:eastAsia="宋体" w:cs="Times New Roman"/>
          <w:b/>
          <w:bCs/>
          <w:color w:val="000000"/>
          <w:kern w:val="0"/>
          <w:sz w:val="32"/>
          <w:szCs w:val="24"/>
          <w:highlight w:val="none"/>
        </w:rPr>
        <w:t>项目编号</w:t>
      </w:r>
      <w:r>
        <w:rPr>
          <w:rFonts w:hint="eastAsia" w:ascii="Arial" w:hAnsi="Arial" w:eastAsia="宋体" w:cs="Times New Roman"/>
          <w:b/>
          <w:bCs/>
          <w:color w:val="000000"/>
          <w:kern w:val="0"/>
          <w:sz w:val="32"/>
          <w:szCs w:val="24"/>
          <w:highlight w:val="none"/>
          <w:lang w:val="en-US" w:eastAsia="zh-CN"/>
        </w:rPr>
        <w:t>：JSZC-320722-JZCG-C2026-0006</w:t>
      </w: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before="120" w:after="120" w:line="360" w:lineRule="auto"/>
        <w:jc w:val="center"/>
        <w:rPr>
          <w:rFonts w:hint="eastAsia" w:ascii="Arial" w:hAnsi="Arial" w:eastAsia="宋体" w:cs="Times New Roman"/>
          <w:b/>
          <w:bCs/>
          <w:color w:val="000000"/>
          <w:kern w:val="0"/>
          <w:sz w:val="32"/>
          <w:szCs w:val="24"/>
          <w:lang w:eastAsia="zh-CN"/>
        </w:rPr>
      </w:pPr>
      <w:r>
        <w:rPr>
          <w:rFonts w:hint="eastAsia" w:ascii="Arial" w:hAnsi="Arial" w:eastAsia="宋体" w:cs="Times New Roman"/>
          <w:b/>
          <w:bCs/>
          <w:color w:val="000000"/>
          <w:kern w:val="0"/>
          <w:sz w:val="32"/>
          <w:szCs w:val="24"/>
          <w:lang w:eastAsia="zh-CN"/>
        </w:rPr>
        <w:t>东海县政府采购中心</w:t>
      </w:r>
    </w:p>
    <w:p>
      <w:pPr>
        <w:widowControl/>
        <w:jc w:val="center"/>
        <w:rPr>
          <w:rFonts w:asciiTheme="minorHAnsi" w:hAnsiTheme="minorHAnsi" w:eastAsiaTheme="minorEastAsia" w:cstheme="minorBidi"/>
          <w:kern w:val="2"/>
          <w:sz w:val="21"/>
          <w:szCs w:val="22"/>
          <w:lang w:val="en-US" w:eastAsia="zh-CN" w:bidi="ar-SA"/>
        </w:rPr>
      </w:pPr>
      <w:r>
        <w:rPr>
          <w:rFonts w:hint="eastAsia" w:ascii="Arial" w:hAnsi="Arial" w:eastAsia="宋体" w:cs="Times New Roman"/>
          <w:b/>
          <w:bCs/>
          <w:color w:val="000000"/>
          <w:kern w:val="0"/>
          <w:sz w:val="32"/>
          <w:szCs w:val="24"/>
        </w:rPr>
        <w:t>202</w:t>
      </w:r>
      <w:r>
        <w:rPr>
          <w:rFonts w:hint="eastAsia" w:ascii="Arial" w:hAnsi="Arial" w:eastAsia="宋体" w:cs="Times New Roman"/>
          <w:b/>
          <w:bCs/>
          <w:color w:val="000000"/>
          <w:kern w:val="0"/>
          <w:sz w:val="32"/>
          <w:szCs w:val="24"/>
          <w:lang w:val="en-US" w:eastAsia="zh-CN"/>
        </w:rPr>
        <w:t>6</w:t>
      </w:r>
      <w:r>
        <w:rPr>
          <w:rFonts w:hint="eastAsia" w:ascii="Arial" w:hAnsi="Arial" w:eastAsia="宋体" w:cs="Times New Roman"/>
          <w:b/>
          <w:bCs/>
          <w:color w:val="000000"/>
          <w:kern w:val="0"/>
          <w:sz w:val="32"/>
          <w:szCs w:val="24"/>
        </w:rPr>
        <w:t>年</w:t>
      </w:r>
      <w:r>
        <w:rPr>
          <w:rFonts w:hint="eastAsia" w:ascii="Arial" w:hAnsi="Arial" w:eastAsia="宋体" w:cs="Times New Roman"/>
          <w:b/>
          <w:bCs/>
          <w:color w:val="000000"/>
          <w:kern w:val="0"/>
          <w:sz w:val="32"/>
          <w:szCs w:val="24"/>
          <w:highlight w:val="none"/>
          <w:lang w:val="en-US" w:eastAsia="zh-CN"/>
        </w:rPr>
        <w:t>7</w:t>
      </w:r>
      <w:r>
        <w:rPr>
          <w:rFonts w:hint="eastAsia" w:ascii="Arial" w:hAnsi="Arial" w:eastAsia="宋体" w:cs="Times New Roman"/>
          <w:b/>
          <w:bCs/>
          <w:color w:val="000000"/>
          <w:kern w:val="0"/>
          <w:sz w:val="32"/>
          <w:szCs w:val="24"/>
        </w:rPr>
        <w:t>月</w:t>
      </w:r>
      <w:r>
        <w:br w:type="page"/>
      </w:r>
      <w:r>
        <w:fldChar w:fldCharType="begin"/>
      </w:r>
      <w:r>
        <w:instrText xml:space="preserve"> TOC \o "1-1" \u </w:instrText>
      </w:r>
      <w:r>
        <w:fldChar w:fldCharType="separate"/>
      </w:r>
    </w:p>
    <w:p>
      <w:pPr>
        <w:pStyle w:val="15"/>
        <w:tabs>
          <w:tab w:val="right" w:leader="dot" w:pos="8306"/>
          <w:tab w:val="clear" w:pos="8296"/>
        </w:tabs>
        <w:rPr>
          <w:rFonts w:hint="eastAsia" w:ascii="黑体" w:hAnsi="黑体" w:eastAsia="黑体"/>
          <w:lang w:val="en-US" w:eastAsia="zh-CN"/>
        </w:rPr>
      </w:pPr>
      <w:r>
        <w:rPr>
          <w:rFonts w:hint="eastAsia"/>
          <w:lang w:val="en-US" w:eastAsia="zh-CN"/>
        </w:rPr>
        <w:t>目录</w:t>
      </w:r>
    </w:p>
    <w:p>
      <w:pPr>
        <w:pStyle w:val="15"/>
        <w:tabs>
          <w:tab w:val="right" w:leader="dot" w:pos="8306"/>
          <w:tab w:val="clear" w:pos="8296"/>
        </w:tabs>
      </w:pPr>
      <w:r>
        <w:rPr>
          <w:rFonts w:hint="eastAsia" w:ascii="黑体" w:hAnsi="黑体" w:eastAsia="黑体"/>
        </w:rPr>
        <w:t>第一章  磋商邀请</w:t>
      </w:r>
      <w:r>
        <w:tab/>
      </w:r>
      <w:r>
        <w:fldChar w:fldCharType="begin"/>
      </w:r>
      <w:r>
        <w:instrText xml:space="preserve"> PAGEREF _Toc24363 \h </w:instrText>
      </w:r>
      <w:r>
        <w:fldChar w:fldCharType="separate"/>
      </w:r>
      <w:r>
        <w:t>1</w:t>
      </w:r>
      <w:r>
        <w:fldChar w:fldCharType="end"/>
      </w:r>
    </w:p>
    <w:p>
      <w:pPr>
        <w:pStyle w:val="15"/>
        <w:tabs>
          <w:tab w:val="right" w:leader="dot" w:pos="8306"/>
          <w:tab w:val="clear" w:pos="8296"/>
        </w:tabs>
      </w:pPr>
      <w:r>
        <w:rPr>
          <w:rFonts w:hint="eastAsia" w:ascii="黑体" w:hAnsi="黑体" w:eastAsia="黑体"/>
        </w:rPr>
        <w:t>第二章  供应商须知</w:t>
      </w:r>
      <w:r>
        <w:tab/>
      </w:r>
      <w:r>
        <w:fldChar w:fldCharType="begin"/>
      </w:r>
      <w:r>
        <w:instrText xml:space="preserve"> PAGEREF _Toc9692 \h </w:instrText>
      </w:r>
      <w:r>
        <w:fldChar w:fldCharType="separate"/>
      </w:r>
      <w:r>
        <w:t>5</w:t>
      </w:r>
      <w:r>
        <w:fldChar w:fldCharType="end"/>
      </w:r>
    </w:p>
    <w:p>
      <w:pPr>
        <w:pStyle w:val="15"/>
        <w:tabs>
          <w:tab w:val="right" w:leader="dot" w:pos="8306"/>
          <w:tab w:val="clear" w:pos="8296"/>
        </w:tabs>
      </w:pPr>
      <w:r>
        <w:rPr>
          <w:rFonts w:hint="eastAsia" w:ascii="黑体" w:hAnsi="黑体" w:eastAsia="黑体"/>
        </w:rPr>
        <w:t>第三章  合同文本</w:t>
      </w:r>
      <w:r>
        <w:tab/>
      </w:r>
      <w:r>
        <w:fldChar w:fldCharType="begin"/>
      </w:r>
      <w:r>
        <w:instrText xml:space="preserve"> PAGEREF _Toc24606 \h </w:instrText>
      </w:r>
      <w:r>
        <w:fldChar w:fldCharType="separate"/>
      </w:r>
      <w:r>
        <w:t>22</w:t>
      </w:r>
      <w:r>
        <w:fldChar w:fldCharType="end"/>
      </w:r>
    </w:p>
    <w:p>
      <w:pPr>
        <w:pStyle w:val="15"/>
        <w:tabs>
          <w:tab w:val="right" w:leader="dot" w:pos="8306"/>
          <w:tab w:val="clear" w:pos="8296"/>
        </w:tabs>
      </w:pPr>
      <w:r>
        <w:rPr>
          <w:rFonts w:hint="eastAsia" w:ascii="黑体" w:hAnsi="黑体" w:eastAsia="黑体"/>
        </w:rPr>
        <w:t>第四章  采购需求</w:t>
      </w:r>
      <w:r>
        <w:tab/>
      </w:r>
      <w:r>
        <w:fldChar w:fldCharType="begin"/>
      </w:r>
      <w:r>
        <w:instrText xml:space="preserve"> PAGEREF _Toc32139 \h </w:instrText>
      </w:r>
      <w:r>
        <w:fldChar w:fldCharType="separate"/>
      </w:r>
      <w:r>
        <w:t>38</w:t>
      </w:r>
      <w:r>
        <w:fldChar w:fldCharType="end"/>
      </w:r>
    </w:p>
    <w:p>
      <w:pPr>
        <w:pStyle w:val="15"/>
        <w:tabs>
          <w:tab w:val="right" w:leader="dot" w:pos="8306"/>
          <w:tab w:val="clear" w:pos="8296"/>
        </w:tabs>
      </w:pPr>
      <w:r>
        <w:rPr>
          <w:rFonts w:ascii="黑体" w:hAnsi="黑体" w:eastAsia="黑体"/>
        </w:rPr>
        <w:t>第五章</w:t>
      </w:r>
      <w:r>
        <w:rPr>
          <w:rFonts w:hint="eastAsia" w:ascii="黑体" w:hAnsi="黑体" w:eastAsia="黑体"/>
        </w:rPr>
        <w:t xml:space="preserve">  评审方法与评审标准</w:t>
      </w:r>
      <w:r>
        <w:tab/>
      </w:r>
      <w:r>
        <w:fldChar w:fldCharType="begin"/>
      </w:r>
      <w:r>
        <w:instrText xml:space="preserve"> PAGEREF _Toc6937 \h </w:instrText>
      </w:r>
      <w:r>
        <w:fldChar w:fldCharType="separate"/>
      </w:r>
      <w:r>
        <w:t>51</w:t>
      </w:r>
      <w:r>
        <w:fldChar w:fldCharType="end"/>
      </w:r>
    </w:p>
    <w:p>
      <w:pPr>
        <w:pStyle w:val="15"/>
        <w:tabs>
          <w:tab w:val="right" w:leader="dot" w:pos="8306"/>
          <w:tab w:val="clear" w:pos="8296"/>
        </w:tabs>
      </w:pPr>
      <w:r>
        <w:rPr>
          <w:rFonts w:hint="eastAsia" w:ascii="黑体" w:hAnsi="黑体" w:eastAsia="黑体"/>
        </w:rPr>
        <w:t>第六章  响应文件格式</w:t>
      </w:r>
      <w:r>
        <w:tab/>
      </w:r>
      <w:r>
        <w:fldChar w:fldCharType="begin"/>
      </w:r>
      <w:r>
        <w:instrText xml:space="preserve"> PAGEREF _Toc4513 \h </w:instrText>
      </w:r>
      <w:r>
        <w:fldChar w:fldCharType="separate"/>
      </w:r>
      <w:r>
        <w:t>57</w:t>
      </w:r>
      <w:r>
        <w:fldChar w:fldCharType="end"/>
      </w:r>
    </w:p>
    <w:p>
      <w:pPr>
        <w:widowControl/>
        <w:spacing w:before="120" w:after="120" w:line="360" w:lineRule="auto"/>
        <w:jc w:val="center"/>
      </w:pPr>
      <w:r>
        <w:fldChar w:fldCharType="end"/>
      </w:r>
      <w:r>
        <w:br w:type="page"/>
      </w:r>
    </w:p>
    <w:p>
      <w:pPr>
        <w:pStyle w:val="2"/>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2"/>
        <w:spacing w:beforeLines="50" w:afterLines="50" w:line="360" w:lineRule="auto"/>
        <w:jc w:val="center"/>
        <w:rPr>
          <w:rFonts w:ascii="黑体" w:hAnsi="黑体" w:eastAsia="黑体"/>
          <w:b w:val="0"/>
        </w:rPr>
      </w:pPr>
      <w:bookmarkStart w:id="0" w:name="_Toc24363"/>
      <w:r>
        <w:rPr>
          <w:rFonts w:hint="eastAsia" w:ascii="黑体" w:hAnsi="黑体" w:eastAsia="黑体"/>
          <w:b w:val="0"/>
        </w:rPr>
        <w:t>第一章  磋商邀请</w:t>
      </w:r>
      <w:bookmarkEnd w:id="0"/>
    </w:p>
    <w:p>
      <w:pPr>
        <w:spacing w:line="480" w:lineRule="auto"/>
        <w:ind w:firstLine="960" w:firstLineChars="400"/>
        <w:rPr>
          <w:sz w:val="24"/>
          <w:szCs w:val="24"/>
        </w:rPr>
      </w:pPr>
      <w:r>
        <w:rPr>
          <w:rFonts w:hint="eastAsia"/>
          <w:sz w:val="24"/>
          <w:szCs w:val="24"/>
        </w:rPr>
        <w:t>受</w:t>
      </w:r>
      <w:r>
        <w:rPr>
          <w:rFonts w:hint="eastAsia"/>
          <w:sz w:val="24"/>
          <w:szCs w:val="24"/>
          <w:highlight w:val="none"/>
          <w:u w:val="none"/>
          <w:lang w:val="en-US" w:eastAsia="zh-CN"/>
        </w:rPr>
        <w:t>东海县自然资源和规划局</w:t>
      </w:r>
      <w:r>
        <w:rPr>
          <w:rFonts w:hint="eastAsia"/>
          <w:sz w:val="24"/>
          <w:szCs w:val="24"/>
        </w:rPr>
        <w:t>的委托，</w:t>
      </w:r>
      <w:r>
        <w:rPr>
          <w:rFonts w:hint="eastAsia"/>
          <w:sz w:val="24"/>
          <w:szCs w:val="24"/>
          <w:lang w:eastAsia="zh-CN"/>
        </w:rPr>
        <w:t>东海县政府采购中心</w:t>
      </w:r>
      <w:r>
        <w:rPr>
          <w:rFonts w:hint="eastAsia"/>
          <w:sz w:val="24"/>
          <w:szCs w:val="24"/>
        </w:rPr>
        <w:t>就东海县自然资源和规划局机关办公楼电梯采购更换项目</w:t>
      </w:r>
      <w:r>
        <w:rPr>
          <w:rFonts w:hint="eastAsia"/>
          <w:sz w:val="24"/>
          <w:szCs w:val="24"/>
          <w:highlight w:val="none"/>
          <w:lang w:val="en-US" w:eastAsia="zh-CN"/>
        </w:rPr>
        <w:t>（JSZC-320722-JZCG-C2026-0006）进行</w:t>
      </w:r>
      <w:r>
        <w:rPr>
          <w:rFonts w:hint="eastAsia"/>
          <w:sz w:val="24"/>
          <w:szCs w:val="24"/>
        </w:rPr>
        <w:t>竞争性磋商采购，欢迎符合条件的供应商参加磋商。</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500" w:lineRule="exact"/>
              <w:jc w:val="left"/>
              <w:rPr>
                <w:sz w:val="24"/>
                <w:szCs w:val="24"/>
              </w:rPr>
            </w:pPr>
            <w:r>
              <w:rPr>
                <w:rFonts w:hint="eastAsia"/>
                <w:sz w:val="24"/>
                <w:szCs w:val="24"/>
              </w:rPr>
              <w:t>项目概况</w:t>
            </w:r>
          </w:p>
          <w:p>
            <w:pPr>
              <w:spacing w:line="500" w:lineRule="exact"/>
              <w:jc w:val="left"/>
              <w:rPr>
                <w:sz w:val="24"/>
                <w:szCs w:val="24"/>
              </w:rPr>
            </w:pPr>
            <w:r>
              <w:rPr>
                <w:rFonts w:hint="eastAsia"/>
                <w:sz w:val="24"/>
                <w:szCs w:val="24"/>
                <w:highlight w:val="none"/>
                <w:lang w:val="en-US" w:eastAsia="zh-CN"/>
              </w:rPr>
              <w:t>东海县自然资源和规划局机关办公楼电梯采购更换项目</w:t>
            </w:r>
            <w:r>
              <w:rPr>
                <w:rFonts w:hint="eastAsia"/>
                <w:sz w:val="24"/>
                <w:szCs w:val="24"/>
              </w:rPr>
              <w:t>采购项目的潜在供应商应在江苏政府采购网自行免费下载采购文件，并于</w:t>
            </w:r>
            <w:r>
              <w:rPr>
                <w:rFonts w:hint="eastAsia"/>
                <w:sz w:val="24"/>
                <w:szCs w:val="24"/>
                <w:highlight w:val="none"/>
              </w:rPr>
              <w:t>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15</w:t>
            </w:r>
            <w:r>
              <w:rPr>
                <w:rFonts w:hint="eastAsia"/>
                <w:sz w:val="24"/>
                <w:szCs w:val="24"/>
                <w:highlight w:val="none"/>
              </w:rPr>
              <w:t>日</w:t>
            </w:r>
            <w:r>
              <w:rPr>
                <w:rFonts w:hint="eastAsia"/>
                <w:sz w:val="24"/>
                <w:szCs w:val="24"/>
                <w:highlight w:val="none"/>
                <w:lang w:val="en-US" w:eastAsia="zh-CN"/>
              </w:rPr>
              <w:t>09</w:t>
            </w:r>
            <w:r>
              <w:rPr>
                <w:rFonts w:hint="eastAsia"/>
                <w:sz w:val="24"/>
                <w:szCs w:val="24"/>
                <w:highlight w:val="none"/>
              </w:rPr>
              <w:t>:</w:t>
            </w:r>
            <w:r>
              <w:rPr>
                <w:rFonts w:hint="eastAsia"/>
                <w:sz w:val="24"/>
                <w:szCs w:val="24"/>
                <w:highlight w:val="none"/>
                <w:lang w:val="en-US" w:eastAsia="zh-CN"/>
              </w:rPr>
              <w:t>0</w:t>
            </w:r>
            <w:r>
              <w:rPr>
                <w:rFonts w:hint="eastAsia"/>
                <w:sz w:val="24"/>
                <w:szCs w:val="24"/>
                <w:highlight w:val="none"/>
              </w:rPr>
              <w:t>0:00</w:t>
            </w:r>
            <w:r>
              <w:rPr>
                <w:rFonts w:hint="eastAsia"/>
                <w:sz w:val="24"/>
                <w:szCs w:val="24"/>
              </w:rPr>
              <w:t>（北京时间）前提交（上传）响应文件。</w:t>
            </w:r>
          </w:p>
        </w:tc>
      </w:tr>
    </w:tbl>
    <w:p>
      <w:pPr>
        <w:pStyle w:val="3"/>
        <w:spacing w:before="0" w:after="0" w:line="360" w:lineRule="auto"/>
        <w:rPr>
          <w:rFonts w:ascii="黑体" w:hAnsi="黑体" w:eastAsia="黑体"/>
          <w:b w:val="0"/>
        </w:rPr>
      </w:pPr>
      <w:r>
        <w:rPr>
          <w:rFonts w:hint="eastAsia" w:ascii="黑体" w:hAnsi="黑体" w:eastAsia="黑体"/>
          <w:b w:val="0"/>
        </w:rPr>
        <w:t>一、项目基本情况</w:t>
      </w:r>
    </w:p>
    <w:p>
      <w:pPr>
        <w:spacing w:line="500" w:lineRule="exact"/>
        <w:ind w:firstLine="480" w:firstLineChars="200"/>
        <w:jc w:val="left"/>
        <w:rPr>
          <w:sz w:val="24"/>
          <w:szCs w:val="24"/>
        </w:rPr>
      </w:pPr>
      <w:r>
        <w:rPr>
          <w:rFonts w:hint="eastAsia"/>
          <w:sz w:val="24"/>
          <w:szCs w:val="24"/>
        </w:rPr>
        <w:t>项目编号：JSZC-320722-JZCG-C2026-0006</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项目名称：东海县自然资源和规划局机关办公楼电梯采购更换项目</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预算金额：50万元</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最高限价：50万元（供应商所报的报价超过最高限价的响应无效）</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采购方式：竞争性磋商</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采购需求：东海县自然资源和规划局机关两部电梯使用年限较长，目前存在故障频发、部件老化停产、电梯不开门困人已影响正常办公通行，且存在安全隐患，为保障乘客安全、提升乘坐舒适度，拟进行整体更新。更新范围:拆除原有旧电梯设备，在原井道、机房内安装全新的乘客电梯系统。详细需求见第四章采购需求</w:t>
      </w:r>
    </w:p>
    <w:p>
      <w:pPr>
        <w:spacing w:line="500" w:lineRule="exact"/>
        <w:ind w:firstLine="482" w:firstLineChars="200"/>
        <w:jc w:val="left"/>
        <w:rPr>
          <w:b/>
          <w:sz w:val="24"/>
          <w:szCs w:val="24"/>
        </w:rPr>
      </w:pPr>
      <w:r>
        <w:rPr>
          <w:rFonts w:hint="eastAsia"/>
          <w:b/>
          <w:sz w:val="24"/>
          <w:szCs w:val="24"/>
        </w:rPr>
        <w:t>对本项目资格要求、采购需求、评审方法与评审标准等部分的询问、质疑请与采购人联系，由采购人负责答复。</w:t>
      </w:r>
    </w:p>
    <w:p>
      <w:pPr>
        <w:spacing w:line="500" w:lineRule="exact"/>
        <w:ind w:firstLine="480" w:firstLineChars="200"/>
        <w:jc w:val="left"/>
        <w:rPr>
          <w:rFonts w:hint="eastAsia" w:ascii="新宋体" w:hAnsi="新宋体" w:eastAsia="新宋体" w:cs="新宋体"/>
          <w:sz w:val="24"/>
          <w:szCs w:val="24"/>
        </w:rPr>
      </w:pPr>
      <w:r>
        <w:rPr>
          <w:rFonts w:hint="eastAsia"/>
          <w:sz w:val="24"/>
          <w:szCs w:val="24"/>
        </w:rPr>
        <w:t>合同履行期限：</w:t>
      </w:r>
      <w:r>
        <w:rPr>
          <w:rFonts w:hint="eastAsia"/>
          <w:sz w:val="24"/>
          <w:szCs w:val="24"/>
          <w:highlight w:val="none"/>
          <w:lang w:val="en-US" w:eastAsia="zh-CN"/>
        </w:rPr>
        <w:t>合同签订后60天内完成旧梯拆除，新梯安装、调试、验收。</w:t>
      </w:r>
    </w:p>
    <w:p>
      <w:pPr>
        <w:spacing w:line="500" w:lineRule="exact"/>
        <w:ind w:firstLine="480" w:firstLineChars="200"/>
        <w:jc w:val="left"/>
        <w:rPr>
          <w:rFonts w:hint="eastAsia"/>
          <w:sz w:val="24"/>
          <w:szCs w:val="24"/>
        </w:rPr>
      </w:pPr>
      <w:r>
        <w:rPr>
          <w:rFonts w:hint="eastAsia"/>
          <w:sz w:val="24"/>
          <w:szCs w:val="24"/>
        </w:rPr>
        <w:t>本项目（是/否）接受联合体投标：不接受联合体。</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本项目不接受进口产品（进口产品是指通过中国海关报关验放进入中国境内且产自关境外的产品）投标，中标后不允许分包或转包</w:t>
      </w:r>
    </w:p>
    <w:p>
      <w:pPr>
        <w:pStyle w:val="3"/>
        <w:spacing w:before="0" w:after="0" w:line="360" w:lineRule="auto"/>
        <w:rPr>
          <w:rFonts w:ascii="黑体" w:hAnsi="黑体" w:eastAsia="黑体"/>
          <w:b w:val="0"/>
        </w:rPr>
      </w:pPr>
      <w:r>
        <w:rPr>
          <w:rFonts w:hint="eastAsia" w:ascii="黑体" w:hAnsi="黑体" w:eastAsia="黑体"/>
          <w:b w:val="0"/>
        </w:rPr>
        <w:t>二、申请人的资格要求</w:t>
      </w:r>
    </w:p>
    <w:p>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2.2024或2025</w:t>
      </w:r>
      <w:r>
        <w:rPr>
          <w:rFonts w:hint="eastAsia"/>
          <w:sz w:val="24"/>
          <w:szCs w:val="24"/>
          <w:lang w:val="en-US" w:eastAsia="zh-CN"/>
        </w:rPr>
        <w:t>年度</w:t>
      </w:r>
      <w:r>
        <w:rPr>
          <w:rFonts w:hint="eastAsia"/>
          <w:sz w:val="24"/>
          <w:szCs w:val="24"/>
        </w:rPr>
        <w:t>的财务状况报告；（成立不满一年无需提供）</w:t>
      </w:r>
    </w:p>
    <w:p>
      <w:pPr>
        <w:spacing w:line="500" w:lineRule="exact"/>
        <w:ind w:firstLine="480" w:firstLineChars="200"/>
        <w:jc w:val="left"/>
        <w:rPr>
          <w:sz w:val="24"/>
          <w:szCs w:val="24"/>
        </w:rPr>
      </w:pPr>
      <w:r>
        <w:rPr>
          <w:rFonts w:hint="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（根据连财购〔2023〕4号文件精神，2、3项可以提供《财务状况报告及税收、社会保障资金缴纳情况承诺函》，详见响应文件格式）</w:t>
      </w:r>
    </w:p>
    <w:p>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pPr>
        <w:spacing w:line="500" w:lineRule="exact"/>
        <w:ind w:firstLine="480" w:firstLineChars="200"/>
        <w:jc w:val="left"/>
        <w:rPr>
          <w:sz w:val="24"/>
          <w:szCs w:val="24"/>
        </w:rPr>
      </w:pPr>
      <w:r>
        <w:rPr>
          <w:rFonts w:hint="eastAsia"/>
          <w:sz w:val="24"/>
          <w:szCs w:val="24"/>
        </w:rPr>
        <w:t>6.法律、行政法规规定的其他条件；（如有，请按要求提供）</w:t>
      </w:r>
    </w:p>
    <w:p>
      <w:pPr>
        <w:spacing w:line="500" w:lineRule="exact"/>
        <w:ind w:firstLine="480" w:firstLineChars="200"/>
        <w:jc w:val="left"/>
        <w:rPr>
          <w:sz w:val="24"/>
          <w:szCs w:val="24"/>
          <w:highlight w:val="none"/>
        </w:rPr>
      </w:pPr>
      <w:r>
        <w:rPr>
          <w:rFonts w:hint="eastAsia"/>
          <w:sz w:val="24"/>
          <w:szCs w:val="24"/>
        </w:rPr>
        <w:t>7.</w:t>
      </w:r>
      <w:r>
        <w:rPr>
          <w:rFonts w:hint="eastAsia" w:ascii="Calibri" w:hAnsi="Calibri" w:eastAsia="宋体" w:cs="Times New Roman"/>
          <w:sz w:val="24"/>
          <w:szCs w:val="24"/>
        </w:rPr>
        <w:t>资格审查现场查询信用中国、中国政府采购网</w:t>
      </w:r>
      <w:r>
        <w:rPr>
          <w:rFonts w:hint="eastAsia"/>
          <w:sz w:val="24"/>
          <w:szCs w:val="24"/>
        </w:rPr>
        <w:t>，供应商被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（响应文件中无</w:t>
      </w:r>
      <w:r>
        <w:rPr>
          <w:rFonts w:hint="eastAsia"/>
          <w:sz w:val="24"/>
          <w:szCs w:val="24"/>
          <w:highlight w:val="none"/>
        </w:rPr>
        <w:t>需提供证明材料）</w:t>
      </w:r>
    </w:p>
    <w:p>
      <w:pPr>
        <w:spacing w:line="500" w:lineRule="exact"/>
        <w:ind w:firstLine="480" w:firstLineChars="200"/>
        <w:jc w:val="left"/>
        <w:rPr>
          <w:rFonts w:hint="eastAsia"/>
          <w:sz w:val="24"/>
          <w:szCs w:val="24"/>
          <w:highlight w:val="none"/>
        </w:rPr>
      </w:pPr>
      <w:r>
        <w:rPr>
          <w:rFonts w:hint="eastAsia"/>
          <w:sz w:val="24"/>
          <w:szCs w:val="24"/>
          <w:highlight w:val="none"/>
        </w:rPr>
        <w:t>（二）落实政府采购政策需满足的资格要求：无</w:t>
      </w:r>
    </w:p>
    <w:p>
      <w:pPr>
        <w:spacing w:line="360" w:lineRule="auto"/>
        <w:ind w:firstLine="480"/>
        <w:jc w:val="left"/>
        <w:rPr>
          <w:rFonts w:hint="eastAsia" w:ascii="宋体" w:hAnsi="宋体" w:cs="宋体"/>
          <w:sz w:val="24"/>
          <w:szCs w:val="24"/>
          <w:highlight w:val="none"/>
        </w:rPr>
      </w:pPr>
      <w:r>
        <w:rPr>
          <w:rFonts w:hint="eastAsia"/>
          <w:sz w:val="24"/>
          <w:szCs w:val="24"/>
          <w:highlight w:val="none"/>
        </w:rPr>
        <w:t>（三）本项目的特定资格要求：</w:t>
      </w:r>
      <w:r>
        <w:rPr>
          <w:rFonts w:hint="eastAsia" w:ascii="宋体" w:hAnsi="宋体" w:eastAsia="宋体" w:cs="宋体"/>
          <w:sz w:val="24"/>
          <w:szCs w:val="24"/>
          <w:highlight w:val="none"/>
        </w:rPr>
        <w:t>（1）</w:t>
      </w:r>
      <w:r>
        <w:rPr>
          <w:rFonts w:ascii="宋体" w:hAnsi="宋体" w:eastAsia="宋体" w:cs="宋体"/>
          <w:b/>
          <w:bCs/>
          <w:sz w:val="24"/>
          <w:szCs w:val="24"/>
          <w:highlight w:val="none"/>
        </w:rPr>
        <w:t>投标人为制造商的，</w:t>
      </w:r>
      <w:r>
        <w:rPr>
          <w:rFonts w:ascii="宋体" w:hAnsi="宋体" w:eastAsia="宋体" w:cs="宋体"/>
          <w:b w:val="0"/>
          <w:bCs w:val="0"/>
          <w:sz w:val="24"/>
          <w:szCs w:val="24"/>
          <w:highlight w:val="none"/>
        </w:rPr>
        <w:t>应具备</w:t>
      </w:r>
      <w:r>
        <w:rPr>
          <w:rFonts w:ascii="宋体" w:hAnsi="宋体" w:eastAsia="宋体" w:cs="宋体"/>
          <w:sz w:val="24"/>
          <w:szCs w:val="24"/>
          <w:highlight w:val="none"/>
        </w:rPr>
        <w:t>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ascii="宋体" w:hAnsi="宋体" w:eastAsia="宋体" w:cs="宋体"/>
          <w:b/>
          <w:bCs/>
          <w:sz w:val="24"/>
          <w:szCs w:val="24"/>
          <w:highlight w:val="none"/>
        </w:rPr>
        <w:t>制造</w:t>
      </w:r>
      <w:r>
        <w:rPr>
          <w:rFonts w:hint="eastAsia" w:ascii="宋体" w:hAnsi="宋体" w:eastAsia="宋体" w:cs="宋体"/>
          <w:b/>
          <w:bCs/>
          <w:sz w:val="24"/>
          <w:szCs w:val="24"/>
          <w:highlight w:val="none"/>
          <w:lang w:val="en-US" w:eastAsia="zh-CN"/>
        </w:rPr>
        <w:t>（含</w:t>
      </w:r>
      <w:r>
        <w:rPr>
          <w:rFonts w:ascii="宋体" w:hAnsi="宋体" w:eastAsia="宋体" w:cs="宋体"/>
          <w:b/>
          <w:bCs/>
          <w:sz w:val="24"/>
          <w:szCs w:val="24"/>
          <w:highlight w:val="none"/>
        </w:rPr>
        <w:t>安装、</w:t>
      </w:r>
      <w:r>
        <w:rPr>
          <w:rFonts w:hint="eastAsia" w:ascii="宋体" w:hAnsi="宋体" w:eastAsia="宋体" w:cs="宋体"/>
          <w:b/>
          <w:bCs/>
          <w:sz w:val="24"/>
          <w:szCs w:val="24"/>
          <w:highlight w:val="none"/>
          <w:lang w:val="en-US" w:eastAsia="zh-CN"/>
        </w:rPr>
        <w:t>修理</w:t>
      </w:r>
      <w:r>
        <w:rPr>
          <w:rFonts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改造）</w:t>
      </w:r>
      <w:r>
        <w:rPr>
          <w:rFonts w:ascii="宋体" w:hAnsi="宋体" w:eastAsia="宋体" w:cs="宋体"/>
          <w:b/>
          <w:bCs/>
          <w:sz w:val="24"/>
          <w:szCs w:val="24"/>
          <w:highlight w:val="none"/>
        </w:rPr>
        <w:t>资质</w:t>
      </w:r>
      <w:r>
        <w:rPr>
          <w:rFonts w:ascii="宋体" w:hAnsi="宋体" w:eastAsia="宋体" w:cs="宋体"/>
          <w:sz w:val="24"/>
          <w:szCs w:val="24"/>
          <w:highlight w:val="none"/>
        </w:rPr>
        <w:t>；</w:t>
      </w:r>
      <w:r>
        <w:rPr>
          <w:rFonts w:hint="eastAsia" w:ascii="宋体" w:hAnsi="宋体" w:eastAsia="宋体" w:cs="宋体"/>
          <w:b/>
          <w:bCs/>
          <w:sz w:val="24"/>
          <w:szCs w:val="24"/>
          <w:highlight w:val="none"/>
          <w:lang w:val="en-US" w:eastAsia="zh-CN"/>
        </w:rPr>
        <w:t>或者同时具备</w:t>
      </w:r>
      <w:r>
        <w:rPr>
          <w:rFonts w:ascii="宋体" w:hAnsi="宋体" w:eastAsia="宋体" w:cs="宋体"/>
          <w:sz w:val="24"/>
          <w:szCs w:val="24"/>
          <w:highlight w:val="none"/>
        </w:rPr>
        <w:t>有效期内的《中华人民共和国特种设备制造许可证》曳引驱动乘客梯C级</w:t>
      </w:r>
      <w:r>
        <w:rPr>
          <w:rFonts w:hint="eastAsia" w:ascii="宋体" w:hAnsi="宋体" w:eastAsia="宋体" w:cs="宋体"/>
          <w:sz w:val="24"/>
          <w:szCs w:val="24"/>
          <w:highlight w:val="none"/>
          <w:lang w:val="en-US" w:eastAsia="zh-CN"/>
        </w:rPr>
        <w:t>及以上</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和</w:t>
      </w:r>
      <w:r>
        <w:rPr>
          <w:rFonts w:ascii="宋体" w:hAnsi="宋体" w:eastAsia="宋体" w:cs="宋体"/>
          <w:sz w:val="24"/>
          <w:szCs w:val="24"/>
          <w:highlight w:val="none"/>
        </w:rPr>
        <w:t>《中华人民共和国特种设备安装改造维修许可证》安装、维修C级</w:t>
      </w:r>
      <w:r>
        <w:rPr>
          <w:rFonts w:hint="eastAsia" w:ascii="宋体" w:hAnsi="宋体" w:eastAsia="宋体" w:cs="宋体"/>
          <w:sz w:val="24"/>
          <w:szCs w:val="24"/>
          <w:highlight w:val="none"/>
          <w:lang w:val="en-US" w:eastAsia="zh-CN"/>
        </w:rPr>
        <w:t>及</w:t>
      </w:r>
      <w:r>
        <w:rPr>
          <w:rFonts w:ascii="宋体" w:hAnsi="宋体" w:eastAsia="宋体" w:cs="宋体"/>
          <w:sz w:val="24"/>
          <w:szCs w:val="24"/>
          <w:highlight w:val="none"/>
        </w:rPr>
        <w:t>以上资质</w:t>
      </w:r>
      <w:r>
        <w:rPr>
          <w:rFonts w:hint="eastAsia" w:ascii="宋体" w:hAnsi="宋体" w:eastAsia="宋体" w:cs="宋体"/>
          <w:sz w:val="24"/>
          <w:szCs w:val="24"/>
          <w:highlight w:val="none"/>
          <w:lang w:eastAsia="zh-CN"/>
        </w:rPr>
        <w:t>。</w:t>
      </w:r>
    </w:p>
    <w:p>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rPr>
        <w:t>（</w:t>
      </w:r>
      <w:r>
        <w:rPr>
          <w:rFonts w:hint="eastAsia" w:ascii="宋体" w:hAnsi="宋体" w:eastAsia="新宋体" w:cs="宋体"/>
          <w:sz w:val="24"/>
          <w:szCs w:val="24"/>
          <w:highlight w:val="none"/>
          <w:lang w:val="en-US" w:eastAsia="zh-CN"/>
        </w:rPr>
        <w:t>2</w:t>
      </w:r>
      <w:r>
        <w:rPr>
          <w:rFonts w:hint="eastAsia" w:ascii="宋体" w:hAnsi="宋体" w:eastAsia="宋体" w:cs="宋体"/>
          <w:sz w:val="24"/>
          <w:szCs w:val="24"/>
          <w:highlight w:val="none"/>
        </w:rPr>
        <w:t>）</w:t>
      </w:r>
      <w:r>
        <w:rPr>
          <w:rFonts w:ascii="宋体" w:hAnsi="宋体" w:eastAsia="宋体" w:cs="宋体"/>
          <w:b/>
          <w:bCs/>
          <w:sz w:val="24"/>
          <w:szCs w:val="24"/>
          <w:highlight w:val="none"/>
        </w:rPr>
        <w:t>投标人为代理商的，应具备</w:t>
      </w:r>
      <w:r>
        <w:rPr>
          <w:rFonts w:ascii="宋体" w:hAnsi="宋体" w:eastAsia="宋体" w:cs="宋体"/>
          <w:sz w:val="24"/>
          <w:szCs w:val="24"/>
          <w:highlight w:val="none"/>
        </w:rPr>
        <w:t>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hint="eastAsia" w:ascii="宋体" w:hAnsi="宋体" w:eastAsia="宋体" w:cs="宋体"/>
          <w:sz w:val="24"/>
          <w:szCs w:val="24"/>
          <w:highlight w:val="none"/>
        </w:rPr>
        <w:t>安装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w:t>
      </w:r>
      <w:r>
        <w:rPr>
          <w:rFonts w:hint="eastAsia" w:ascii="宋体" w:hAnsi="宋体" w:eastAsia="宋体" w:cs="宋体"/>
          <w:sz w:val="24"/>
          <w:szCs w:val="24"/>
          <w:highlight w:val="none"/>
        </w:rPr>
        <w:t>修理</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资质（</w:t>
      </w:r>
      <w:r>
        <w:rPr>
          <w:rFonts w:hint="eastAsia" w:ascii="宋体" w:hAnsi="宋体" w:eastAsia="宋体" w:cs="宋体"/>
          <w:sz w:val="24"/>
          <w:szCs w:val="24"/>
          <w:highlight w:val="none"/>
          <w:lang w:val="en-US" w:eastAsia="zh-CN"/>
        </w:rPr>
        <w:t>新</w:t>
      </w:r>
      <w:r>
        <w:rPr>
          <w:rFonts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ascii="宋体" w:hAnsi="宋体" w:eastAsia="新宋体" w:cs="宋体"/>
          <w:sz w:val="24"/>
          <w:szCs w:val="24"/>
          <w:highlight w:val="none"/>
        </w:rPr>
        <w:t>②</w:t>
      </w:r>
      <w:r>
        <w:rPr>
          <w:rFonts w:ascii="宋体" w:hAnsi="宋体" w:eastAsia="宋体" w:cs="宋体"/>
          <w:b/>
          <w:bCs/>
          <w:sz w:val="24"/>
          <w:szCs w:val="24"/>
          <w:highlight w:val="none"/>
        </w:rPr>
        <w:t>同时提供所投产品制造商</w:t>
      </w:r>
      <w:r>
        <w:rPr>
          <w:rFonts w:ascii="宋体" w:hAnsi="宋体" w:eastAsia="宋体" w:cs="宋体"/>
          <w:sz w:val="24"/>
          <w:szCs w:val="24"/>
          <w:highlight w:val="none"/>
        </w:rPr>
        <w:t>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电梯</w:t>
      </w:r>
      <w:r>
        <w:rPr>
          <w:rFonts w:ascii="宋体" w:hAnsi="宋体" w:eastAsia="宋体" w:cs="宋体"/>
          <w:sz w:val="24"/>
          <w:szCs w:val="24"/>
          <w:highlight w:val="none"/>
        </w:rPr>
        <w:t>制造（新）资质。</w:t>
      </w:r>
    </w:p>
    <w:p>
      <w:pPr>
        <w:spacing w:line="360" w:lineRule="auto"/>
        <w:ind w:firstLine="480"/>
        <w:jc w:val="left"/>
        <w:rPr>
          <w:sz w:val="24"/>
          <w:szCs w:val="24"/>
          <w:highlight w:val="none"/>
        </w:rPr>
      </w:pPr>
      <w:r>
        <w:rPr>
          <w:rFonts w:hint="eastAsia" w:ascii="宋体" w:hAnsi="宋体" w:eastAsia="宋体" w:cs="宋体"/>
          <w:sz w:val="24"/>
          <w:szCs w:val="24"/>
          <w:highlight w:val="none"/>
          <w:lang w:eastAsia="zh-CN"/>
        </w:rPr>
        <w:t>（</w:t>
      </w:r>
      <w:r>
        <w:rPr>
          <w:rFonts w:hint="eastAsia" w:ascii="宋体" w:hAnsi="宋体" w:eastAsia="新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项目负责人为正式职工且具有《中华人民共和国特种设备安全管理和作业人员证》（电梯作业T）。提供证书及202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月至今任意</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个月由供应商为其缴纳的社保证明材料（加盖社保中心章或社保中心参保缴费证明电子专用章）等证明材料。</w:t>
      </w:r>
      <w:r>
        <w:rPr>
          <w:rFonts w:hint="eastAsia" w:ascii="宋体" w:hAnsi="宋体" w:eastAsia="宋体" w:cs="宋体"/>
          <w:sz w:val="24"/>
          <w:szCs w:val="24"/>
          <w:highlight w:val="none"/>
          <w:lang w:val="en-US" w:eastAsia="zh-CN"/>
        </w:rPr>
        <w:t>若人员入职时间不足一个月，可提供投标单位出具的在职承诺函（加盖公章），承诺该人员为投标单位正式员工并将依法缴纳社保，否则承担相应责任。</w:t>
      </w:r>
    </w:p>
    <w:p>
      <w:pPr>
        <w:pStyle w:val="3"/>
        <w:spacing w:before="0" w:after="0" w:line="360" w:lineRule="auto"/>
        <w:rPr>
          <w:rFonts w:ascii="黑体" w:hAnsi="黑体" w:eastAsia="黑体"/>
          <w:b w:val="0"/>
          <w:highlight w:val="none"/>
        </w:rPr>
      </w:pPr>
      <w:r>
        <w:rPr>
          <w:rFonts w:hint="eastAsia" w:ascii="黑体" w:hAnsi="黑体" w:eastAsia="黑体"/>
          <w:b w:val="0"/>
          <w:highlight w:val="none"/>
        </w:rPr>
        <w:t>三、获取采购文件</w:t>
      </w:r>
    </w:p>
    <w:p>
      <w:pPr>
        <w:spacing w:line="500" w:lineRule="exact"/>
        <w:ind w:firstLine="480" w:firstLineChars="200"/>
        <w:jc w:val="left"/>
        <w:rPr>
          <w:rFonts w:hint="eastAsia"/>
          <w:sz w:val="24"/>
          <w:szCs w:val="24"/>
          <w:highlight w:val="none"/>
          <w:lang w:val="en-US" w:eastAsia="zh-CN"/>
        </w:rPr>
      </w:pPr>
      <w:r>
        <w:rPr>
          <w:rFonts w:hint="eastAsia"/>
          <w:sz w:val="24"/>
          <w:szCs w:val="24"/>
          <w:highlight w:val="none"/>
          <w:lang w:val="en-US" w:eastAsia="zh-CN"/>
        </w:rPr>
        <w:t>时间：2026年7月3日至2026年7月10日，每天上午0:00-12:00，12:00-23:59（北京时间，法定节假日除外）</w:t>
      </w:r>
    </w:p>
    <w:p>
      <w:pPr>
        <w:spacing w:line="500" w:lineRule="exact"/>
        <w:ind w:firstLine="480" w:firstLineChars="200"/>
        <w:jc w:val="left"/>
        <w:rPr>
          <w:sz w:val="24"/>
          <w:szCs w:val="24"/>
          <w:highlight w:val="none"/>
        </w:rPr>
      </w:pPr>
      <w:r>
        <w:rPr>
          <w:rFonts w:hint="eastAsia"/>
          <w:sz w:val="24"/>
          <w:szCs w:val="24"/>
          <w:highlight w:val="none"/>
        </w:rPr>
        <w:t>地点：江苏政府采购网</w:t>
      </w:r>
    </w:p>
    <w:p>
      <w:pPr>
        <w:spacing w:line="500" w:lineRule="exact"/>
        <w:ind w:firstLine="480" w:firstLineChars="200"/>
        <w:jc w:val="left"/>
        <w:rPr>
          <w:sz w:val="24"/>
          <w:szCs w:val="24"/>
          <w:highlight w:val="none"/>
        </w:rPr>
      </w:pPr>
      <w:r>
        <w:rPr>
          <w:rFonts w:hint="eastAsia"/>
          <w:sz w:val="24"/>
          <w:szCs w:val="24"/>
          <w:highlight w:val="none"/>
        </w:rPr>
        <w:t>方式：供应商办理江苏省政府采购交易系统CA数字证书，登录“苏采云”政府采购交易系统，自行下载。</w:t>
      </w:r>
    </w:p>
    <w:p>
      <w:pPr>
        <w:spacing w:line="500" w:lineRule="exact"/>
        <w:ind w:firstLine="480" w:firstLineChars="200"/>
        <w:jc w:val="left"/>
        <w:rPr>
          <w:sz w:val="24"/>
          <w:szCs w:val="24"/>
          <w:highlight w:val="none"/>
        </w:rPr>
      </w:pPr>
      <w:r>
        <w:rPr>
          <w:rFonts w:hint="eastAsia"/>
          <w:sz w:val="24"/>
          <w:szCs w:val="24"/>
          <w:highlight w:val="none"/>
        </w:rPr>
        <w:t>售价：0.00元</w:t>
      </w:r>
    </w:p>
    <w:p>
      <w:pPr>
        <w:pStyle w:val="3"/>
        <w:spacing w:before="0" w:after="0" w:line="360" w:lineRule="auto"/>
        <w:rPr>
          <w:rFonts w:ascii="黑体" w:hAnsi="黑体" w:eastAsia="黑体"/>
          <w:b w:val="0"/>
          <w:highlight w:val="none"/>
        </w:rPr>
      </w:pPr>
      <w:r>
        <w:rPr>
          <w:rFonts w:hint="eastAsia" w:ascii="黑体" w:hAnsi="黑体" w:eastAsia="黑体"/>
          <w:b w:val="0"/>
          <w:highlight w:val="none"/>
        </w:rPr>
        <w:t>四、提交响应文件截止时间、开启时间和地点</w:t>
      </w:r>
    </w:p>
    <w:p>
      <w:pPr>
        <w:spacing w:line="500" w:lineRule="exact"/>
        <w:ind w:firstLine="480" w:firstLineChars="200"/>
        <w:jc w:val="left"/>
        <w:rPr>
          <w:sz w:val="24"/>
          <w:szCs w:val="24"/>
          <w:highlight w:val="none"/>
        </w:rPr>
      </w:pPr>
      <w:r>
        <w:rPr>
          <w:rFonts w:hint="eastAsia"/>
          <w:sz w:val="24"/>
          <w:szCs w:val="24"/>
          <w:highlight w:val="none"/>
        </w:rPr>
        <w:t>提交响应文件截止时间：202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15</w:t>
      </w:r>
      <w:r>
        <w:rPr>
          <w:rFonts w:hint="eastAsia"/>
          <w:sz w:val="24"/>
          <w:szCs w:val="24"/>
          <w:highlight w:val="none"/>
        </w:rPr>
        <w:t>日9:00:00（北京时间）</w:t>
      </w:r>
    </w:p>
    <w:p>
      <w:pPr>
        <w:spacing w:line="500" w:lineRule="exact"/>
        <w:ind w:firstLine="480" w:firstLineChars="200"/>
        <w:jc w:val="left"/>
        <w:rPr>
          <w:sz w:val="24"/>
          <w:szCs w:val="24"/>
          <w:highlight w:val="none"/>
        </w:rPr>
      </w:pPr>
      <w:r>
        <w:rPr>
          <w:rFonts w:hint="eastAsia"/>
          <w:sz w:val="24"/>
          <w:szCs w:val="24"/>
          <w:highlight w:val="none"/>
        </w:rPr>
        <w:t>开启时间：提交响应文件截止时间</w:t>
      </w:r>
    </w:p>
    <w:p>
      <w:pPr>
        <w:spacing w:line="500" w:lineRule="exact"/>
        <w:ind w:firstLine="480" w:firstLineChars="200"/>
        <w:jc w:val="left"/>
      </w:pPr>
      <w:r>
        <w:rPr>
          <w:rFonts w:hint="eastAsia"/>
          <w:sz w:val="24"/>
          <w:szCs w:val="24"/>
        </w:rPr>
        <w:t>开启地点：“苏采云”政府采购交易系统网上开标大厅</w:t>
      </w:r>
    </w:p>
    <w:p>
      <w:pPr>
        <w:pStyle w:val="3"/>
        <w:spacing w:before="0" w:after="0" w:line="360" w:lineRule="auto"/>
        <w:rPr>
          <w:rFonts w:ascii="黑体" w:hAnsi="黑体" w:eastAsia="黑体"/>
          <w:b w:val="0"/>
        </w:rPr>
      </w:pPr>
      <w:r>
        <w:rPr>
          <w:rFonts w:hint="eastAsia" w:ascii="黑体" w:hAnsi="黑体" w:eastAsia="黑体"/>
          <w:b w:val="0"/>
        </w:rPr>
        <w:t>五、公告期限</w:t>
      </w:r>
    </w:p>
    <w:p>
      <w:pPr>
        <w:spacing w:line="500" w:lineRule="exact"/>
        <w:ind w:firstLine="480" w:firstLineChars="200"/>
        <w:jc w:val="left"/>
        <w:rPr>
          <w:sz w:val="24"/>
          <w:szCs w:val="24"/>
        </w:rPr>
      </w:pPr>
      <w:r>
        <w:rPr>
          <w:rFonts w:hint="eastAsia"/>
          <w:sz w:val="24"/>
          <w:szCs w:val="24"/>
        </w:rPr>
        <w:t>自本公告发布之日起3个工作日。</w:t>
      </w:r>
    </w:p>
    <w:p>
      <w:pPr>
        <w:pStyle w:val="3"/>
        <w:spacing w:before="0" w:after="0" w:line="360" w:lineRule="auto"/>
        <w:rPr>
          <w:rFonts w:ascii="黑体" w:hAnsi="黑体" w:eastAsia="黑体"/>
          <w:b w:val="0"/>
        </w:rPr>
      </w:pPr>
      <w:r>
        <w:rPr>
          <w:rFonts w:hint="eastAsia" w:ascii="黑体" w:hAnsi="黑体" w:eastAsia="黑体"/>
          <w:b w:val="0"/>
        </w:rPr>
        <w:t>六、其他补充事宜</w:t>
      </w:r>
    </w:p>
    <w:p>
      <w:pPr>
        <w:spacing w:line="500" w:lineRule="exact"/>
        <w:ind w:firstLine="480" w:firstLineChars="200"/>
        <w:jc w:val="left"/>
        <w:rPr>
          <w:sz w:val="24"/>
          <w:szCs w:val="24"/>
        </w:rPr>
      </w:pPr>
      <w:r>
        <w:rPr>
          <w:rFonts w:hint="eastAsia"/>
          <w:sz w:val="24"/>
          <w:szCs w:val="24"/>
        </w:rPr>
        <w:t>1.本次磋商采购不收取磋商保证金。</w:t>
      </w:r>
    </w:p>
    <w:p>
      <w:pPr>
        <w:spacing w:line="500" w:lineRule="exact"/>
        <w:ind w:firstLine="480" w:firstLineChars="200"/>
        <w:jc w:val="left"/>
        <w:rPr>
          <w:sz w:val="24"/>
          <w:szCs w:val="24"/>
        </w:rPr>
      </w:pPr>
      <w:r>
        <w:rPr>
          <w:rFonts w:hint="eastAsia"/>
          <w:sz w:val="24"/>
          <w:szCs w:val="24"/>
        </w:rPr>
        <w:t>2.本磋商文件中斜体且有下划线部分为实质性要求和条件，由采购人根据实际情况设置，供应商须逐条明确作出满足实质性要求和条件的响应，否则将按无效响应处理。</w:t>
      </w:r>
    </w:p>
    <w:p>
      <w:pPr>
        <w:spacing w:line="500" w:lineRule="exact"/>
        <w:ind w:firstLine="480" w:firstLineChars="200"/>
        <w:jc w:val="left"/>
        <w:rPr>
          <w:sz w:val="24"/>
          <w:szCs w:val="24"/>
        </w:rPr>
      </w:pPr>
      <w:r>
        <w:rPr>
          <w:rFonts w:hint="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kern w:val="0"/>
          <w:sz w:val="24"/>
          <w:szCs w:val="24"/>
        </w:rPr>
        <w:t>或者</w:t>
      </w:r>
      <w:r>
        <w:rPr>
          <w:rFonts w:hint="eastAsia"/>
          <w:sz w:val="24"/>
          <w:szCs w:val="24"/>
        </w:rPr>
        <w:t>提交失误，由此造成的一切损失由供应商自行承担。</w:t>
      </w:r>
    </w:p>
    <w:p>
      <w:pPr>
        <w:spacing w:line="500" w:lineRule="exact"/>
        <w:ind w:firstLine="480" w:firstLineChars="20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pPr>
        <w:spacing w:line="500" w:lineRule="exact"/>
        <w:ind w:firstLine="480" w:firstLineChars="200"/>
        <w:jc w:val="left"/>
        <w:rPr>
          <w:sz w:val="24"/>
          <w:szCs w:val="24"/>
        </w:rPr>
      </w:pPr>
      <w:r>
        <w:rPr>
          <w:rFonts w:hint="eastAsia"/>
          <w:sz w:val="24"/>
          <w:szCs w:val="24"/>
        </w:rPr>
        <w:t>http://www.ccgp-jiangsu.gov.cn/jiangsu/zlxz/ee/ee3a4bc5a3454aa2b0d9312230633ce9.html</w:t>
      </w:r>
    </w:p>
    <w:p>
      <w:pPr>
        <w:spacing w:line="500" w:lineRule="exact"/>
        <w:ind w:firstLine="480" w:firstLineChars="200"/>
        <w:jc w:val="left"/>
        <w:rPr>
          <w:sz w:val="24"/>
          <w:szCs w:val="24"/>
        </w:rPr>
      </w:pPr>
      <w:r>
        <w:rPr>
          <w:rFonts w:hint="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自行承担一切损失。</w:t>
      </w:r>
    </w:p>
    <w:p>
      <w:pPr>
        <w:pStyle w:val="3"/>
        <w:spacing w:before="0" w:after="0" w:line="360" w:lineRule="auto"/>
        <w:rPr>
          <w:rFonts w:ascii="黑体" w:hAnsi="黑体" w:eastAsia="黑体"/>
          <w:b w:val="0"/>
        </w:rPr>
      </w:pPr>
      <w:r>
        <w:rPr>
          <w:rFonts w:hint="eastAsia" w:ascii="黑体" w:hAnsi="黑体" w:eastAsia="黑体"/>
          <w:b w:val="0"/>
        </w:rPr>
        <w:t>七、对本次采购提出询问，请按以下方式联系</w:t>
      </w:r>
    </w:p>
    <w:p>
      <w:pPr>
        <w:spacing w:line="500" w:lineRule="exact"/>
        <w:ind w:firstLine="480" w:firstLineChars="200"/>
        <w:jc w:val="left"/>
        <w:rPr>
          <w:sz w:val="24"/>
          <w:szCs w:val="24"/>
        </w:rPr>
      </w:pPr>
      <w:r>
        <w:rPr>
          <w:rFonts w:hint="eastAsia"/>
          <w:sz w:val="24"/>
          <w:szCs w:val="24"/>
        </w:rPr>
        <w:t>1.采购人信息</w:t>
      </w:r>
    </w:p>
    <w:p>
      <w:pPr>
        <w:spacing w:line="500" w:lineRule="exact"/>
        <w:ind w:firstLine="480" w:firstLineChars="200"/>
        <w:jc w:val="left"/>
        <w:rPr>
          <w:rFonts w:hint="default"/>
          <w:sz w:val="24"/>
          <w:szCs w:val="24"/>
          <w:highlight w:val="none"/>
          <w:lang w:val="en-US" w:eastAsia="zh-CN"/>
        </w:rPr>
      </w:pPr>
      <w:r>
        <w:rPr>
          <w:rFonts w:hint="eastAsia"/>
          <w:sz w:val="24"/>
          <w:szCs w:val="24"/>
          <w:highlight w:val="none"/>
        </w:rPr>
        <w:t>名    称：</w:t>
      </w:r>
      <w:r>
        <w:rPr>
          <w:rFonts w:hint="eastAsia"/>
          <w:sz w:val="24"/>
          <w:szCs w:val="24"/>
          <w:highlight w:val="none"/>
          <w:lang w:val="en-US" w:eastAsia="zh-CN"/>
        </w:rPr>
        <w:t>东海县自然资源和规划局</w:t>
      </w:r>
    </w:p>
    <w:p>
      <w:pPr>
        <w:spacing w:line="500" w:lineRule="exact"/>
        <w:ind w:firstLine="480" w:firstLineChars="200"/>
        <w:jc w:val="left"/>
        <w:rPr>
          <w:rFonts w:hint="default" w:eastAsiaTheme="minorEastAsia"/>
          <w:sz w:val="24"/>
          <w:szCs w:val="24"/>
          <w:highlight w:val="none"/>
          <w:lang w:val="en-US" w:eastAsia="zh-CN"/>
        </w:rPr>
      </w:pPr>
      <w:r>
        <w:rPr>
          <w:rFonts w:hint="eastAsia"/>
          <w:sz w:val="24"/>
          <w:szCs w:val="24"/>
          <w:highlight w:val="none"/>
        </w:rPr>
        <w:t>地    址</w:t>
      </w:r>
      <w:r>
        <w:rPr>
          <w:rFonts w:hint="eastAsia"/>
          <w:sz w:val="24"/>
          <w:szCs w:val="24"/>
          <w:highlight w:val="none"/>
          <w:lang w:eastAsia="zh-CN"/>
        </w:rPr>
        <w:t>：</w:t>
      </w:r>
      <w:r>
        <w:rPr>
          <w:rFonts w:hint="eastAsia"/>
          <w:sz w:val="24"/>
          <w:szCs w:val="24"/>
          <w:highlight w:val="none"/>
          <w:lang w:val="en-US" w:eastAsia="zh-CN"/>
        </w:rPr>
        <w:t>江苏省东海县牛山北路206号</w:t>
      </w:r>
    </w:p>
    <w:p>
      <w:pPr>
        <w:spacing w:line="500" w:lineRule="exact"/>
        <w:ind w:firstLine="480" w:firstLineChars="200"/>
        <w:jc w:val="left"/>
        <w:rPr>
          <w:rFonts w:hint="eastAsia" w:eastAsiaTheme="minorEastAsia"/>
          <w:sz w:val="24"/>
          <w:szCs w:val="24"/>
          <w:highlight w:val="none"/>
          <w:lang w:val="en-US" w:eastAsia="zh-CN"/>
        </w:rPr>
      </w:pPr>
      <w:r>
        <w:rPr>
          <w:rFonts w:hint="eastAsia"/>
          <w:sz w:val="24"/>
          <w:szCs w:val="24"/>
          <w:highlight w:val="none"/>
        </w:rPr>
        <w:t>联 系 人：</w:t>
      </w:r>
      <w:r>
        <w:rPr>
          <w:rFonts w:hint="eastAsia"/>
          <w:sz w:val="24"/>
          <w:szCs w:val="24"/>
          <w:highlight w:val="none"/>
          <w:lang w:val="en-US" w:eastAsia="zh-CN"/>
        </w:rPr>
        <w:t>陈主任</w:t>
      </w:r>
    </w:p>
    <w:p>
      <w:pPr>
        <w:spacing w:line="500" w:lineRule="exact"/>
        <w:ind w:firstLine="480" w:firstLineChars="200"/>
        <w:jc w:val="left"/>
        <w:rPr>
          <w:rFonts w:hint="default"/>
          <w:sz w:val="24"/>
          <w:szCs w:val="24"/>
          <w:highlight w:val="none"/>
          <w:lang w:val="en-US" w:eastAsia="zh-CN"/>
        </w:rPr>
      </w:pPr>
      <w:r>
        <w:rPr>
          <w:rFonts w:hint="eastAsia"/>
          <w:sz w:val="24"/>
          <w:szCs w:val="24"/>
          <w:highlight w:val="none"/>
        </w:rPr>
        <w:t>联系电话：</w:t>
      </w:r>
      <w:r>
        <w:rPr>
          <w:rFonts w:hint="eastAsia"/>
          <w:sz w:val="24"/>
          <w:szCs w:val="24"/>
          <w:highlight w:val="none"/>
          <w:lang w:val="en-US" w:eastAsia="zh-CN"/>
        </w:rPr>
        <w:t>18360658534</w:t>
      </w:r>
    </w:p>
    <w:p>
      <w:pPr>
        <w:spacing w:line="500" w:lineRule="exact"/>
        <w:ind w:firstLine="480" w:firstLineChars="200"/>
        <w:jc w:val="left"/>
        <w:rPr>
          <w:sz w:val="24"/>
          <w:szCs w:val="24"/>
        </w:rPr>
      </w:pPr>
      <w:r>
        <w:rPr>
          <w:rFonts w:hint="eastAsia"/>
          <w:sz w:val="24"/>
          <w:szCs w:val="24"/>
        </w:rPr>
        <w:t>2.采购代理机构信息</w:t>
      </w:r>
    </w:p>
    <w:p>
      <w:pPr>
        <w:spacing w:line="500" w:lineRule="exact"/>
        <w:ind w:firstLine="480" w:firstLineChars="200"/>
        <w:jc w:val="left"/>
        <w:rPr>
          <w:sz w:val="24"/>
          <w:szCs w:val="24"/>
        </w:rPr>
      </w:pPr>
      <w:r>
        <w:rPr>
          <w:rFonts w:hint="eastAsia"/>
          <w:sz w:val="24"/>
          <w:szCs w:val="24"/>
        </w:rPr>
        <w:t>名    称：</w:t>
      </w:r>
      <w:r>
        <w:rPr>
          <w:rFonts w:hint="eastAsia" w:ascii="新宋体" w:hAnsi="新宋体" w:eastAsia="新宋体" w:cs="新宋体"/>
          <w:sz w:val="24"/>
          <w:szCs w:val="24"/>
        </w:rPr>
        <w:t>东海县政府采购中心</w:t>
      </w:r>
    </w:p>
    <w:p>
      <w:pPr>
        <w:spacing w:line="500" w:lineRule="exact"/>
        <w:ind w:firstLine="480" w:firstLineChars="200"/>
        <w:jc w:val="left"/>
        <w:rPr>
          <w:sz w:val="24"/>
          <w:szCs w:val="24"/>
        </w:rPr>
      </w:pPr>
      <w:r>
        <w:rPr>
          <w:rFonts w:hint="eastAsia"/>
          <w:sz w:val="24"/>
          <w:szCs w:val="24"/>
        </w:rPr>
        <w:t>地    址：</w:t>
      </w:r>
      <w:r>
        <w:rPr>
          <w:rFonts w:hint="eastAsia" w:ascii="新宋体" w:hAnsi="新宋体" w:eastAsia="新宋体" w:cs="新宋体"/>
          <w:sz w:val="24"/>
          <w:szCs w:val="24"/>
        </w:rPr>
        <w:t>东海县晶都大道28号政务服务中心5楼</w:t>
      </w:r>
    </w:p>
    <w:p>
      <w:pPr>
        <w:spacing w:line="500" w:lineRule="exact"/>
        <w:ind w:firstLine="480" w:firstLineChars="200"/>
        <w:jc w:val="left"/>
        <w:rPr>
          <w:rFonts w:hint="eastAsia" w:eastAsiaTheme="minorEastAsia"/>
          <w:sz w:val="24"/>
          <w:szCs w:val="24"/>
          <w:lang w:val="en-US" w:eastAsia="zh-CN"/>
        </w:rPr>
      </w:pPr>
      <w:r>
        <w:rPr>
          <w:rFonts w:hint="eastAsia"/>
          <w:sz w:val="24"/>
          <w:szCs w:val="24"/>
        </w:rPr>
        <w:t>联 系 人：</w:t>
      </w:r>
      <w:r>
        <w:rPr>
          <w:rFonts w:hint="eastAsia"/>
          <w:sz w:val="24"/>
          <w:szCs w:val="24"/>
          <w:lang w:val="en-US" w:eastAsia="zh-CN"/>
        </w:rPr>
        <w:t>陈业佳</w:t>
      </w:r>
    </w:p>
    <w:p>
      <w:pPr>
        <w:spacing w:line="500" w:lineRule="exact"/>
        <w:ind w:firstLine="480" w:firstLineChars="200"/>
        <w:jc w:val="left"/>
        <w:rPr>
          <w:sz w:val="24"/>
          <w:szCs w:val="24"/>
        </w:rPr>
      </w:pPr>
      <w:r>
        <w:rPr>
          <w:rFonts w:hint="eastAsia"/>
          <w:sz w:val="24"/>
          <w:szCs w:val="24"/>
        </w:rPr>
        <w:t>联系电话：0518-87292719</w:t>
      </w:r>
    </w:p>
    <w:p>
      <w:pPr>
        <w:spacing w:line="500" w:lineRule="exact"/>
        <w:ind w:firstLine="480" w:firstLineChars="200"/>
        <w:jc w:val="left"/>
        <w:rPr>
          <w:sz w:val="24"/>
          <w:szCs w:val="24"/>
        </w:rPr>
      </w:pPr>
      <w:r>
        <w:rPr>
          <w:rFonts w:hint="eastAsia"/>
          <w:sz w:val="24"/>
          <w:szCs w:val="24"/>
        </w:rPr>
        <w:t>3.项目联系方式</w:t>
      </w:r>
    </w:p>
    <w:p>
      <w:pPr>
        <w:spacing w:line="500" w:lineRule="exact"/>
        <w:ind w:firstLine="480" w:firstLineChars="200"/>
        <w:jc w:val="left"/>
        <w:rPr>
          <w:rFonts w:hint="eastAsia" w:eastAsiaTheme="minorEastAsia"/>
          <w:sz w:val="24"/>
          <w:szCs w:val="24"/>
          <w:highlight w:val="none"/>
          <w:lang w:eastAsia="zh-CN"/>
        </w:rPr>
      </w:pPr>
      <w:r>
        <w:rPr>
          <w:rFonts w:hint="eastAsia"/>
          <w:sz w:val="24"/>
          <w:szCs w:val="24"/>
          <w:highlight w:val="none"/>
        </w:rPr>
        <w:t>项目联系人：</w:t>
      </w:r>
      <w:r>
        <w:rPr>
          <w:rFonts w:hint="eastAsia"/>
          <w:sz w:val="24"/>
          <w:szCs w:val="24"/>
          <w:highlight w:val="none"/>
          <w:lang w:val="en-US" w:eastAsia="zh-CN"/>
        </w:rPr>
        <w:t>陈主任</w:t>
      </w:r>
    </w:p>
    <w:p>
      <w:pPr>
        <w:spacing w:line="500" w:lineRule="exact"/>
        <w:ind w:firstLine="480" w:firstLineChars="200"/>
        <w:jc w:val="left"/>
        <w:rPr>
          <w:rFonts w:hint="default"/>
          <w:sz w:val="24"/>
          <w:szCs w:val="24"/>
          <w:highlight w:val="none"/>
          <w:lang w:val="en-US" w:eastAsia="zh-CN"/>
        </w:rPr>
      </w:pPr>
      <w:r>
        <w:rPr>
          <w:rFonts w:hint="eastAsia"/>
          <w:sz w:val="24"/>
          <w:szCs w:val="24"/>
          <w:highlight w:val="none"/>
        </w:rPr>
        <w:t>电      话：</w:t>
      </w:r>
      <w:r>
        <w:rPr>
          <w:rFonts w:hint="eastAsia"/>
          <w:sz w:val="24"/>
          <w:szCs w:val="24"/>
          <w:highlight w:val="none"/>
          <w:lang w:val="en-US" w:eastAsia="zh-CN"/>
        </w:rPr>
        <w:t>18360658534</w:t>
      </w:r>
    </w:p>
    <w:p>
      <w:pPr>
        <w:widowControl/>
        <w:jc w:val="left"/>
        <w:rPr>
          <w:rFonts w:ascii="黑体" w:hAnsi="黑体" w:eastAsia="黑体"/>
          <w:bCs/>
          <w:kern w:val="44"/>
          <w:sz w:val="44"/>
          <w:szCs w:val="44"/>
        </w:rPr>
      </w:pPr>
      <w:r>
        <w:rPr>
          <w:rFonts w:ascii="黑体" w:hAnsi="黑体" w:eastAsia="黑体"/>
          <w:b/>
        </w:rPr>
        <w:br w:type="page"/>
      </w:r>
    </w:p>
    <w:p>
      <w:pPr>
        <w:pStyle w:val="39"/>
        <w:keepNext/>
        <w:keepLines/>
        <w:pageBreakBefore w:val="0"/>
        <w:widowControl w:val="0"/>
        <w:kinsoku/>
        <w:wordWrap/>
        <w:overflowPunct/>
        <w:topLinePunct w:val="0"/>
        <w:autoSpaceDE/>
        <w:autoSpaceDN/>
        <w:bidi w:val="0"/>
        <w:adjustRightInd/>
        <w:snapToGrid/>
        <w:spacing w:before="156" w:after="156" w:line="360" w:lineRule="auto"/>
        <w:jc w:val="center"/>
        <w:textAlignment w:val="auto"/>
        <w:rPr>
          <w:rFonts w:ascii="黑体" w:hAnsi="黑体" w:eastAsia="黑体"/>
          <w:b w:val="0"/>
        </w:rPr>
      </w:pPr>
      <w:bookmarkStart w:id="1" w:name="_Toc9692"/>
      <w:r>
        <w:rPr>
          <w:rFonts w:hint="eastAsia" w:ascii="黑体" w:hAnsi="黑体" w:eastAsia="黑体"/>
          <w:b w:val="0"/>
        </w:rPr>
        <w:t>第二章  供应商须知</w:t>
      </w:r>
      <w:bookmarkEnd w:id="1"/>
    </w:p>
    <w:p>
      <w:pPr>
        <w:pStyle w:val="40"/>
        <w:spacing w:before="0" w:after="0" w:line="360" w:lineRule="auto"/>
        <w:rPr>
          <w:rFonts w:ascii="黑体" w:hAnsi="黑体" w:eastAsia="黑体"/>
          <w:b w:val="0"/>
        </w:rPr>
      </w:pPr>
      <w:r>
        <w:rPr>
          <w:rFonts w:hint="eastAsia" w:ascii="黑体" w:hAnsi="黑体" w:eastAsia="黑体"/>
          <w:b w:val="0"/>
        </w:rPr>
        <w:t>一、总则</w:t>
      </w:r>
    </w:p>
    <w:p>
      <w:pPr>
        <w:pStyle w:val="41"/>
        <w:spacing w:before="0" w:after="0" w:line="360" w:lineRule="auto"/>
        <w:ind w:firstLine="562"/>
        <w:jc w:val="left"/>
        <w:rPr>
          <w:sz w:val="28"/>
          <w:szCs w:val="28"/>
        </w:rPr>
      </w:pPr>
      <w:r>
        <w:rPr>
          <w:rFonts w:hint="eastAsia"/>
          <w:sz w:val="28"/>
          <w:szCs w:val="28"/>
        </w:rPr>
        <w:t>1、采购方式</w:t>
      </w:r>
    </w:p>
    <w:p>
      <w:pPr>
        <w:spacing w:line="500" w:lineRule="exact"/>
        <w:ind w:firstLine="480"/>
        <w:jc w:val="left"/>
        <w:rPr>
          <w:sz w:val="24"/>
          <w:szCs w:val="24"/>
        </w:rPr>
      </w:pPr>
      <w:r>
        <w:rPr>
          <w:rFonts w:hint="eastAsia"/>
          <w:sz w:val="24"/>
          <w:szCs w:val="24"/>
        </w:rPr>
        <w:t>1.1 本次政府采购活动采取竞争性磋商（以下简称磋商）方式，本磋商文件仅适用于磋商公告中所述项目。</w:t>
      </w:r>
    </w:p>
    <w:p>
      <w:pPr>
        <w:pStyle w:val="41"/>
        <w:spacing w:before="0" w:after="0" w:line="360" w:lineRule="auto"/>
        <w:ind w:firstLine="562"/>
        <w:jc w:val="left"/>
        <w:rPr>
          <w:sz w:val="28"/>
          <w:szCs w:val="28"/>
        </w:rPr>
      </w:pPr>
      <w:r>
        <w:rPr>
          <w:rFonts w:hint="eastAsia"/>
          <w:sz w:val="28"/>
          <w:szCs w:val="28"/>
        </w:rPr>
        <w:t>2、合格的供应商</w:t>
      </w:r>
    </w:p>
    <w:p>
      <w:pPr>
        <w:spacing w:line="500" w:lineRule="exact"/>
        <w:ind w:firstLine="480"/>
        <w:jc w:val="left"/>
        <w:rPr>
          <w:sz w:val="24"/>
          <w:szCs w:val="24"/>
        </w:rPr>
      </w:pPr>
      <w:r>
        <w:rPr>
          <w:rFonts w:hint="eastAsia"/>
          <w:sz w:val="24"/>
          <w:szCs w:val="24"/>
        </w:rPr>
        <w:t>2.1 满足磋商公告中申请人的资格要求的规定。</w:t>
      </w:r>
    </w:p>
    <w:p>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pPr>
        <w:spacing w:line="500" w:lineRule="exact"/>
        <w:ind w:firstLine="480"/>
        <w:jc w:val="left"/>
        <w:rPr>
          <w:sz w:val="24"/>
          <w:szCs w:val="24"/>
        </w:rPr>
      </w:pPr>
      <w:r>
        <w:rPr>
          <w:rFonts w:hint="eastAsia"/>
          <w:sz w:val="24"/>
          <w:szCs w:val="24"/>
        </w:rPr>
        <w:t>2.3 满足本磋商文件全部实质性要求和条件的规定。</w:t>
      </w:r>
    </w:p>
    <w:p>
      <w:pPr>
        <w:spacing w:line="500" w:lineRule="exact"/>
        <w:ind w:firstLine="480"/>
        <w:jc w:val="left"/>
        <w:rPr>
          <w:rFonts w:hint="eastAsia"/>
          <w:sz w:val="24"/>
          <w:szCs w:val="24"/>
        </w:rPr>
      </w:pPr>
      <w:r>
        <w:rPr>
          <w:rFonts w:hint="eastAsia"/>
          <w:sz w:val="24"/>
          <w:szCs w:val="24"/>
        </w:rPr>
        <w:t>2.4 符合上述条件的供应商应承担参与磋商采购及履约过程应承担的全部责任与义务。</w:t>
      </w:r>
    </w:p>
    <w:p>
      <w:pPr>
        <w:spacing w:line="500" w:lineRule="exact"/>
        <w:ind w:firstLine="480"/>
        <w:jc w:val="left"/>
        <w:rPr>
          <w:rFonts w:hint="eastAsia"/>
          <w:sz w:val="24"/>
          <w:szCs w:val="24"/>
        </w:rPr>
      </w:pPr>
      <w:r>
        <w:rPr>
          <w:rFonts w:hint="eastAsia"/>
          <w:sz w:val="24"/>
          <w:szCs w:val="24"/>
        </w:rPr>
        <w:t>2.5单位负责人为同一人或者存在直接控股、管理关系的不同供应商，不得参加同一合同项下的政府采购活动。</w:t>
      </w:r>
    </w:p>
    <w:p>
      <w:pPr>
        <w:pStyle w:val="41"/>
        <w:spacing w:before="0" w:after="0" w:line="360" w:lineRule="auto"/>
        <w:ind w:firstLine="562"/>
        <w:jc w:val="left"/>
        <w:rPr>
          <w:sz w:val="28"/>
          <w:szCs w:val="28"/>
        </w:rPr>
      </w:pPr>
      <w:r>
        <w:rPr>
          <w:rFonts w:hint="eastAsia"/>
          <w:sz w:val="28"/>
          <w:szCs w:val="28"/>
        </w:rPr>
        <w:t>3、适用法律</w:t>
      </w:r>
    </w:p>
    <w:p>
      <w:pPr>
        <w:spacing w:line="500" w:lineRule="exact"/>
        <w:ind w:firstLine="480"/>
        <w:jc w:val="left"/>
        <w:rPr>
          <w:sz w:val="24"/>
          <w:szCs w:val="24"/>
        </w:rPr>
      </w:pPr>
      <w:r>
        <w:rPr>
          <w:rFonts w:hint="eastAsia"/>
          <w:sz w:val="24"/>
          <w:szCs w:val="24"/>
        </w:rPr>
        <w:t>3.1 本次磋商采购及由此产生的合同受中华人民共和国有关的法律法规制约和保护。</w:t>
      </w:r>
    </w:p>
    <w:p>
      <w:pPr>
        <w:pStyle w:val="41"/>
        <w:spacing w:before="0" w:after="0" w:line="360" w:lineRule="auto"/>
        <w:ind w:firstLine="562"/>
        <w:jc w:val="left"/>
        <w:rPr>
          <w:sz w:val="28"/>
          <w:szCs w:val="28"/>
        </w:rPr>
      </w:pPr>
      <w:r>
        <w:rPr>
          <w:rFonts w:hint="eastAsia"/>
          <w:sz w:val="28"/>
          <w:szCs w:val="28"/>
        </w:rPr>
        <w:t>4、磋商费用</w:t>
      </w:r>
    </w:p>
    <w:p>
      <w:pPr>
        <w:spacing w:line="500" w:lineRule="exact"/>
        <w:ind w:firstLine="480"/>
        <w:jc w:val="left"/>
        <w:rPr>
          <w:sz w:val="24"/>
          <w:szCs w:val="24"/>
        </w:rPr>
      </w:pPr>
      <w:r>
        <w:rPr>
          <w:rFonts w:hint="eastAsia"/>
          <w:sz w:val="24"/>
          <w:szCs w:val="24"/>
        </w:rPr>
        <w:t>4.1 供应商应自行承担所有与参与磋商采购活动有关的费用，无论磋商采购过程中的做法和结果如何，采购人和</w:t>
      </w:r>
      <w:r>
        <w:rPr>
          <w:rFonts w:hint="eastAsia"/>
          <w:sz w:val="24"/>
          <w:szCs w:val="24"/>
          <w:lang w:eastAsia="zh-CN"/>
        </w:rPr>
        <w:t>东海县政府采购中心</w:t>
      </w:r>
      <w:r>
        <w:rPr>
          <w:rFonts w:hint="eastAsia"/>
          <w:sz w:val="24"/>
          <w:szCs w:val="24"/>
        </w:rPr>
        <w:t>（以下简称</w:t>
      </w:r>
      <w:r>
        <w:rPr>
          <w:rFonts w:hint="eastAsia"/>
          <w:sz w:val="24"/>
          <w:szCs w:val="24"/>
          <w:lang w:eastAsia="zh-CN"/>
        </w:rPr>
        <w:t>采购中心</w:t>
      </w:r>
      <w:r>
        <w:rPr>
          <w:rFonts w:hint="eastAsia"/>
          <w:sz w:val="24"/>
          <w:szCs w:val="24"/>
        </w:rPr>
        <w:t>）在任何情况下均无义务和责任承担这些费用。</w:t>
      </w:r>
    </w:p>
    <w:p>
      <w:pPr>
        <w:spacing w:line="500" w:lineRule="exact"/>
        <w:ind w:firstLine="480"/>
        <w:jc w:val="left"/>
        <w:rPr>
          <w:sz w:val="24"/>
          <w:szCs w:val="24"/>
        </w:rPr>
      </w:pPr>
      <w:r>
        <w:rPr>
          <w:rFonts w:hint="eastAsia"/>
          <w:sz w:val="24"/>
          <w:szCs w:val="24"/>
        </w:rPr>
        <w:t>4.2 本次磋商采购，采购人和</w:t>
      </w:r>
      <w:r>
        <w:rPr>
          <w:rFonts w:hint="eastAsia"/>
          <w:sz w:val="24"/>
          <w:szCs w:val="24"/>
          <w:lang w:eastAsia="zh-CN"/>
        </w:rPr>
        <w:t>采购中心</w:t>
      </w:r>
      <w:r>
        <w:rPr>
          <w:rFonts w:hint="eastAsia"/>
          <w:sz w:val="24"/>
          <w:szCs w:val="24"/>
        </w:rPr>
        <w:t>不收取磋商文件工本费与成交服务费。</w:t>
      </w:r>
    </w:p>
    <w:p>
      <w:pPr>
        <w:pStyle w:val="41"/>
        <w:spacing w:before="0" w:after="0" w:line="360" w:lineRule="auto"/>
        <w:ind w:firstLine="562"/>
        <w:jc w:val="left"/>
        <w:rPr>
          <w:sz w:val="28"/>
          <w:szCs w:val="28"/>
        </w:rPr>
      </w:pPr>
      <w:r>
        <w:rPr>
          <w:rFonts w:hint="eastAsia"/>
          <w:sz w:val="28"/>
          <w:szCs w:val="28"/>
        </w:rPr>
        <w:t>5、磋商文件的约束力</w:t>
      </w:r>
    </w:p>
    <w:p>
      <w:pPr>
        <w:spacing w:line="500" w:lineRule="exact"/>
        <w:ind w:firstLine="480"/>
        <w:jc w:val="left"/>
        <w:rPr>
          <w:sz w:val="24"/>
          <w:szCs w:val="24"/>
        </w:rPr>
      </w:pPr>
      <w:r>
        <w:rPr>
          <w:rFonts w:hint="eastAsia"/>
          <w:sz w:val="24"/>
          <w:szCs w:val="24"/>
        </w:rPr>
        <w:t>5.1 供应商一旦参与本项目采购活动，即被认为接受了本磋商文件的规定和约束。</w:t>
      </w:r>
    </w:p>
    <w:p>
      <w:pPr>
        <w:pStyle w:val="40"/>
        <w:spacing w:before="0" w:after="0" w:line="360" w:lineRule="auto"/>
        <w:rPr>
          <w:rFonts w:ascii="黑体" w:hAnsi="黑体" w:eastAsia="黑体"/>
          <w:b w:val="0"/>
        </w:rPr>
      </w:pPr>
      <w:r>
        <w:rPr>
          <w:rFonts w:hint="eastAsia" w:ascii="黑体" w:hAnsi="黑体" w:eastAsia="黑体"/>
          <w:b w:val="0"/>
        </w:rPr>
        <w:t>二、磋商文件</w:t>
      </w:r>
    </w:p>
    <w:p>
      <w:pPr>
        <w:pStyle w:val="41"/>
        <w:spacing w:before="0" w:after="0" w:line="360" w:lineRule="auto"/>
        <w:ind w:firstLine="562"/>
        <w:jc w:val="left"/>
        <w:rPr>
          <w:sz w:val="28"/>
          <w:szCs w:val="28"/>
        </w:rPr>
      </w:pPr>
      <w:r>
        <w:rPr>
          <w:rFonts w:hint="eastAsia"/>
          <w:sz w:val="28"/>
          <w:szCs w:val="28"/>
        </w:rPr>
        <w:t>6、磋商文件的构成</w:t>
      </w:r>
    </w:p>
    <w:p>
      <w:pPr>
        <w:spacing w:line="500" w:lineRule="exact"/>
        <w:ind w:firstLine="480"/>
        <w:jc w:val="left"/>
        <w:rPr>
          <w:sz w:val="24"/>
          <w:szCs w:val="24"/>
        </w:rPr>
      </w:pPr>
      <w:r>
        <w:rPr>
          <w:rFonts w:hint="eastAsia"/>
          <w:sz w:val="24"/>
          <w:szCs w:val="24"/>
        </w:rPr>
        <w:t>6.1 磋商文件由以下部分构成：</w:t>
      </w:r>
    </w:p>
    <w:p>
      <w:pPr>
        <w:spacing w:line="500" w:lineRule="exact"/>
        <w:ind w:firstLine="480"/>
        <w:jc w:val="left"/>
        <w:rPr>
          <w:sz w:val="24"/>
          <w:szCs w:val="24"/>
        </w:rPr>
      </w:pPr>
      <w:r>
        <w:rPr>
          <w:rFonts w:hint="eastAsia"/>
          <w:sz w:val="24"/>
          <w:szCs w:val="24"/>
        </w:rPr>
        <w:t>（1）磋商邀请</w:t>
      </w:r>
    </w:p>
    <w:p>
      <w:pPr>
        <w:spacing w:line="500" w:lineRule="exact"/>
        <w:ind w:firstLine="480"/>
        <w:jc w:val="left"/>
        <w:rPr>
          <w:sz w:val="24"/>
          <w:szCs w:val="24"/>
        </w:rPr>
      </w:pPr>
      <w:r>
        <w:rPr>
          <w:rFonts w:hint="eastAsia"/>
          <w:sz w:val="24"/>
          <w:szCs w:val="24"/>
        </w:rPr>
        <w:t>（2）供应商须知</w:t>
      </w:r>
    </w:p>
    <w:p>
      <w:pPr>
        <w:spacing w:line="500" w:lineRule="exact"/>
        <w:ind w:firstLine="480"/>
        <w:jc w:val="left"/>
        <w:rPr>
          <w:sz w:val="24"/>
          <w:szCs w:val="24"/>
        </w:rPr>
      </w:pPr>
      <w:r>
        <w:rPr>
          <w:rFonts w:hint="eastAsia"/>
          <w:sz w:val="24"/>
          <w:szCs w:val="24"/>
        </w:rPr>
        <w:t>（3）合同文本</w:t>
      </w:r>
    </w:p>
    <w:p>
      <w:pPr>
        <w:spacing w:line="500" w:lineRule="exact"/>
        <w:ind w:firstLine="480"/>
        <w:jc w:val="left"/>
        <w:rPr>
          <w:sz w:val="24"/>
          <w:szCs w:val="24"/>
        </w:rPr>
      </w:pPr>
      <w:r>
        <w:rPr>
          <w:rFonts w:hint="eastAsia"/>
          <w:sz w:val="24"/>
          <w:szCs w:val="24"/>
        </w:rPr>
        <w:t>（4）采购需求</w:t>
      </w:r>
    </w:p>
    <w:p>
      <w:pPr>
        <w:spacing w:line="500" w:lineRule="exact"/>
        <w:ind w:firstLine="480"/>
        <w:jc w:val="left"/>
        <w:rPr>
          <w:sz w:val="24"/>
          <w:szCs w:val="24"/>
        </w:rPr>
      </w:pPr>
      <w:r>
        <w:rPr>
          <w:rFonts w:hint="eastAsia"/>
          <w:sz w:val="24"/>
          <w:szCs w:val="24"/>
        </w:rPr>
        <w:t>（5）评审方法与评审标准</w:t>
      </w:r>
    </w:p>
    <w:p>
      <w:pPr>
        <w:spacing w:line="500" w:lineRule="exact"/>
        <w:ind w:firstLine="480"/>
        <w:jc w:val="left"/>
        <w:rPr>
          <w:sz w:val="24"/>
          <w:szCs w:val="24"/>
        </w:rPr>
      </w:pPr>
      <w:r>
        <w:rPr>
          <w:rFonts w:hint="eastAsia"/>
          <w:sz w:val="24"/>
          <w:szCs w:val="24"/>
        </w:rPr>
        <w:t>（6）响应文件格式</w:t>
      </w:r>
    </w:p>
    <w:p>
      <w:pPr>
        <w:spacing w:line="500" w:lineRule="exact"/>
        <w:ind w:firstLine="480"/>
        <w:jc w:val="left"/>
        <w:rPr>
          <w:sz w:val="24"/>
          <w:szCs w:val="24"/>
        </w:rPr>
      </w:pPr>
      <w:r>
        <w:rPr>
          <w:rFonts w:hint="eastAsia"/>
          <w:sz w:val="24"/>
          <w:szCs w:val="24"/>
        </w:rPr>
        <w:t>请仔细检查磋商文件是否齐全，如有缺漏请立即与</w:t>
      </w:r>
      <w:r>
        <w:rPr>
          <w:rFonts w:hint="eastAsia"/>
          <w:sz w:val="24"/>
          <w:szCs w:val="24"/>
          <w:lang w:eastAsia="zh-CN"/>
        </w:rPr>
        <w:t>采购中心</w:t>
      </w:r>
      <w:r>
        <w:rPr>
          <w:rFonts w:hint="eastAsia"/>
          <w:sz w:val="24"/>
          <w:szCs w:val="24"/>
        </w:rPr>
        <w:t>联系解决。</w:t>
      </w:r>
    </w:p>
    <w:p>
      <w:pPr>
        <w:pStyle w:val="41"/>
        <w:spacing w:before="0" w:after="0" w:line="360" w:lineRule="auto"/>
        <w:ind w:firstLine="562"/>
        <w:jc w:val="left"/>
        <w:rPr>
          <w:sz w:val="28"/>
          <w:szCs w:val="28"/>
        </w:rPr>
      </w:pPr>
      <w:r>
        <w:rPr>
          <w:rFonts w:hint="eastAsia"/>
          <w:sz w:val="28"/>
          <w:szCs w:val="28"/>
        </w:rPr>
        <w:t>7、磋商文件的澄清</w:t>
      </w:r>
    </w:p>
    <w:p>
      <w:pPr>
        <w:spacing w:line="500" w:lineRule="exact"/>
        <w:ind w:firstLine="480"/>
        <w:jc w:val="left"/>
        <w:rPr>
          <w:sz w:val="24"/>
          <w:szCs w:val="24"/>
        </w:rPr>
      </w:pPr>
      <w:r>
        <w:rPr>
          <w:rFonts w:hint="eastAsia"/>
          <w:sz w:val="24"/>
          <w:szCs w:val="24"/>
        </w:rPr>
        <w:t>7.1 任何要求对磋商文件进行澄清的供应商，应在提交响应文件截止时间五日前按磋商公告中的通讯地址，以书面形式通知采购人或者</w:t>
      </w:r>
      <w:r>
        <w:rPr>
          <w:rFonts w:hint="eastAsia"/>
          <w:sz w:val="24"/>
          <w:szCs w:val="24"/>
          <w:lang w:eastAsia="zh-CN"/>
        </w:rPr>
        <w:t>采购中心</w:t>
      </w:r>
      <w:r>
        <w:rPr>
          <w:rFonts w:hint="eastAsia"/>
          <w:sz w:val="24"/>
          <w:szCs w:val="24"/>
        </w:rPr>
        <w:t>。</w:t>
      </w:r>
    </w:p>
    <w:p>
      <w:pPr>
        <w:pStyle w:val="41"/>
        <w:spacing w:before="0" w:after="0" w:line="360" w:lineRule="auto"/>
        <w:ind w:firstLine="562"/>
        <w:jc w:val="left"/>
        <w:rPr>
          <w:sz w:val="28"/>
          <w:szCs w:val="28"/>
        </w:rPr>
      </w:pPr>
      <w:r>
        <w:rPr>
          <w:rFonts w:hint="eastAsia"/>
          <w:sz w:val="28"/>
          <w:szCs w:val="28"/>
        </w:rPr>
        <w:t>8、磋商文件的修改</w:t>
      </w:r>
    </w:p>
    <w:p>
      <w:pPr>
        <w:spacing w:line="500" w:lineRule="exact"/>
        <w:ind w:firstLine="480"/>
        <w:jc w:val="left"/>
        <w:rPr>
          <w:sz w:val="24"/>
          <w:szCs w:val="24"/>
        </w:rPr>
      </w:pPr>
      <w:r>
        <w:rPr>
          <w:rFonts w:hint="eastAsia"/>
          <w:sz w:val="24"/>
          <w:szCs w:val="24"/>
        </w:rPr>
        <w:t>8.1 在响应文件提交截止时间前，采购人和</w:t>
      </w:r>
      <w:r>
        <w:rPr>
          <w:rFonts w:hint="eastAsia"/>
          <w:sz w:val="24"/>
          <w:szCs w:val="24"/>
          <w:lang w:eastAsia="zh-CN"/>
        </w:rPr>
        <w:t>采购中心</w:t>
      </w:r>
      <w:r>
        <w:rPr>
          <w:rFonts w:hint="eastAsia"/>
          <w:sz w:val="24"/>
          <w:szCs w:val="24"/>
        </w:rPr>
        <w:t>可以对磋商文件进行修改。</w:t>
      </w:r>
    </w:p>
    <w:p>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有权按照法定的要求推迟提交响应文件截止时间和开启时间。</w:t>
      </w:r>
    </w:p>
    <w:p>
      <w:pPr>
        <w:spacing w:line="500" w:lineRule="exact"/>
        <w:ind w:firstLine="480"/>
        <w:jc w:val="left"/>
        <w:rPr>
          <w:sz w:val="24"/>
          <w:szCs w:val="24"/>
        </w:rPr>
      </w:pPr>
      <w:r>
        <w:rPr>
          <w:rFonts w:hint="eastAsia"/>
          <w:sz w:val="24"/>
          <w:szCs w:val="24"/>
        </w:rPr>
        <w:t>8.3 磋商文件的修改将在江苏政府采购网公布，补充文件将作为磋商文件的组成部分，并对供应商具有约束力。</w:t>
      </w:r>
    </w:p>
    <w:p>
      <w:pPr>
        <w:pStyle w:val="40"/>
        <w:spacing w:before="0" w:after="0" w:line="360" w:lineRule="auto"/>
        <w:rPr>
          <w:rFonts w:ascii="黑体" w:hAnsi="黑体" w:eastAsia="黑体"/>
          <w:b w:val="0"/>
        </w:rPr>
      </w:pPr>
      <w:r>
        <w:rPr>
          <w:rFonts w:hint="eastAsia" w:ascii="黑体" w:hAnsi="黑体" w:eastAsia="黑体"/>
          <w:b w:val="0"/>
        </w:rPr>
        <w:t>三、响应文件编制</w:t>
      </w:r>
    </w:p>
    <w:p>
      <w:pPr>
        <w:pStyle w:val="41"/>
        <w:spacing w:before="0" w:after="0" w:line="360" w:lineRule="auto"/>
        <w:ind w:firstLine="562"/>
        <w:jc w:val="left"/>
        <w:rPr>
          <w:sz w:val="28"/>
          <w:szCs w:val="28"/>
        </w:rPr>
      </w:pPr>
      <w:r>
        <w:rPr>
          <w:rFonts w:hint="eastAsia"/>
          <w:sz w:val="28"/>
          <w:szCs w:val="28"/>
        </w:rPr>
        <w:t>9、响应文件编写注意事项</w:t>
      </w:r>
    </w:p>
    <w:p>
      <w:pPr>
        <w:spacing w:line="500" w:lineRule="exact"/>
        <w:ind w:firstLine="480"/>
        <w:jc w:val="left"/>
        <w:rPr>
          <w:sz w:val="24"/>
          <w:szCs w:val="24"/>
        </w:rPr>
      </w:pPr>
      <w:r>
        <w:rPr>
          <w:rFonts w:hint="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pPr>
        <w:spacing w:line="500" w:lineRule="exact"/>
        <w:ind w:firstLine="480"/>
        <w:jc w:val="left"/>
        <w:rPr>
          <w:sz w:val="24"/>
          <w:szCs w:val="24"/>
        </w:rPr>
      </w:pPr>
      <w:r>
        <w:rPr>
          <w:rFonts w:hint="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pPr>
        <w:pStyle w:val="41"/>
        <w:spacing w:before="0" w:after="0" w:line="360" w:lineRule="auto"/>
        <w:ind w:firstLine="562"/>
        <w:jc w:val="left"/>
        <w:rPr>
          <w:sz w:val="28"/>
          <w:szCs w:val="28"/>
        </w:rPr>
      </w:pPr>
      <w:r>
        <w:rPr>
          <w:rFonts w:hint="eastAsia"/>
          <w:sz w:val="28"/>
          <w:szCs w:val="28"/>
        </w:rPr>
        <w:t>10、响应文件的语言及度量衡单位</w:t>
      </w:r>
    </w:p>
    <w:p>
      <w:pPr>
        <w:spacing w:line="500" w:lineRule="exact"/>
        <w:ind w:firstLine="480"/>
        <w:jc w:val="left"/>
        <w:rPr>
          <w:sz w:val="24"/>
          <w:szCs w:val="24"/>
        </w:rPr>
      </w:pPr>
      <w:r>
        <w:rPr>
          <w:rFonts w:hint="eastAsia"/>
          <w:sz w:val="24"/>
          <w:szCs w:val="24"/>
        </w:rPr>
        <w:t>10.1 除专用术语外，供应商提交的响应文件以及供应商与采购人和</w:t>
      </w:r>
      <w:r>
        <w:rPr>
          <w:rFonts w:hint="eastAsia"/>
          <w:sz w:val="24"/>
          <w:szCs w:val="24"/>
          <w:lang w:eastAsia="zh-CN"/>
        </w:rPr>
        <w:t>采购中心</w:t>
      </w:r>
      <w:r>
        <w:rPr>
          <w:rFonts w:hint="eastAsia"/>
          <w:sz w:val="24"/>
          <w:szCs w:val="24"/>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pPr>
        <w:spacing w:line="500" w:lineRule="exact"/>
        <w:ind w:firstLine="480"/>
        <w:jc w:val="left"/>
        <w:rPr>
          <w:sz w:val="24"/>
          <w:szCs w:val="24"/>
        </w:rPr>
      </w:pPr>
      <w:r>
        <w:rPr>
          <w:rFonts w:hint="eastAsia"/>
          <w:sz w:val="24"/>
          <w:szCs w:val="24"/>
        </w:rPr>
        <w:t>10.2 除技术性能另有规定外，响应文件所使用的度量衡单位，均须采用国家法定计量单位。</w:t>
      </w:r>
    </w:p>
    <w:p>
      <w:pPr>
        <w:pStyle w:val="41"/>
        <w:spacing w:before="0" w:after="0" w:line="360" w:lineRule="auto"/>
        <w:ind w:firstLine="562"/>
        <w:jc w:val="left"/>
        <w:rPr>
          <w:sz w:val="28"/>
          <w:szCs w:val="28"/>
        </w:rPr>
      </w:pPr>
      <w:r>
        <w:rPr>
          <w:rFonts w:hint="eastAsia"/>
          <w:sz w:val="28"/>
          <w:szCs w:val="28"/>
        </w:rPr>
        <w:t>11、响应文件的构成</w:t>
      </w:r>
    </w:p>
    <w:p>
      <w:pPr>
        <w:spacing w:line="500" w:lineRule="exact"/>
        <w:ind w:firstLine="480"/>
        <w:jc w:val="left"/>
        <w:rPr>
          <w:sz w:val="24"/>
          <w:szCs w:val="24"/>
        </w:rPr>
      </w:pPr>
      <w:r>
        <w:rPr>
          <w:rFonts w:hint="eastAsia"/>
          <w:sz w:val="24"/>
          <w:szCs w:val="24"/>
        </w:rPr>
        <w:t>11.1 供应商编写的响应文件应包括资格证明文件、符合性证明文件、分项报价表、技术要求响应及偏离表、商务要求响应及偏离表、其他证明文件、磋商响应函等部分。</w:t>
      </w:r>
    </w:p>
    <w:p>
      <w:pPr>
        <w:spacing w:line="500" w:lineRule="exact"/>
        <w:ind w:firstLine="480"/>
        <w:jc w:val="left"/>
        <w:rPr>
          <w:sz w:val="24"/>
          <w:szCs w:val="24"/>
        </w:rPr>
      </w:pPr>
      <w:r>
        <w:rPr>
          <w:rFonts w:hint="eastAsia"/>
          <w:sz w:val="24"/>
          <w:szCs w:val="24"/>
        </w:rPr>
        <w:t>11.2 如响应文件制作工具中格式和内容与江苏政府采购网发布的磋商文件不一致，请以江苏政府采购网发布的磋商文件为准。</w:t>
      </w:r>
    </w:p>
    <w:p>
      <w:pPr>
        <w:spacing w:line="500" w:lineRule="exact"/>
        <w:ind w:firstLine="480"/>
        <w:jc w:val="left"/>
        <w:rPr>
          <w:sz w:val="24"/>
          <w:szCs w:val="24"/>
        </w:rPr>
      </w:pPr>
      <w:r>
        <w:rPr>
          <w:rFonts w:hint="eastAsia"/>
          <w:sz w:val="24"/>
          <w:szCs w:val="24"/>
        </w:rPr>
        <w:t>11.3 特别提醒供应商，混乱的编排导致响应文件被误读或竞争性磋商小组（以下简称磋商小组）查找不到有效文件是供应商的风险。</w:t>
      </w:r>
    </w:p>
    <w:p>
      <w:pPr>
        <w:pStyle w:val="41"/>
        <w:spacing w:before="0" w:after="0" w:line="360" w:lineRule="auto"/>
        <w:ind w:firstLine="562"/>
        <w:jc w:val="left"/>
        <w:rPr>
          <w:sz w:val="28"/>
          <w:szCs w:val="28"/>
        </w:rPr>
      </w:pPr>
      <w:r>
        <w:rPr>
          <w:rFonts w:hint="eastAsia"/>
          <w:sz w:val="28"/>
          <w:szCs w:val="28"/>
        </w:rPr>
        <w:t>12、证明供应商及响应标的符合磋商文件规定的文件</w:t>
      </w:r>
    </w:p>
    <w:p>
      <w:pPr>
        <w:spacing w:line="500" w:lineRule="exact"/>
        <w:ind w:firstLine="480"/>
        <w:jc w:val="left"/>
        <w:rPr>
          <w:sz w:val="24"/>
          <w:szCs w:val="24"/>
        </w:rPr>
      </w:pPr>
      <w:r>
        <w:rPr>
          <w:rFonts w:hint="eastAsia"/>
          <w:sz w:val="24"/>
          <w:szCs w:val="24"/>
        </w:rPr>
        <w:t>12.1 供应商应按照磋商文件要求提交证明文件，证明其及响应标的符合磋商文件规定。</w:t>
      </w:r>
    </w:p>
    <w:p>
      <w:pPr>
        <w:spacing w:line="500" w:lineRule="exact"/>
        <w:ind w:firstLine="480"/>
        <w:jc w:val="left"/>
        <w:rPr>
          <w:sz w:val="24"/>
          <w:szCs w:val="24"/>
        </w:rPr>
      </w:pPr>
      <w:r>
        <w:rPr>
          <w:rFonts w:hint="eastAsia"/>
          <w:sz w:val="24"/>
          <w:szCs w:val="24"/>
        </w:rPr>
        <w:t>12.2 磋商文件对证明文件无明确形式要求的，证明文件可以以文字资料、图纸和数据等形式提交。</w:t>
      </w:r>
    </w:p>
    <w:p>
      <w:pPr>
        <w:spacing w:line="500" w:lineRule="exact"/>
        <w:ind w:firstLine="480"/>
        <w:jc w:val="left"/>
        <w:rPr>
          <w:sz w:val="24"/>
          <w:szCs w:val="24"/>
        </w:rPr>
      </w:pPr>
      <w:r>
        <w:rPr>
          <w:rFonts w:hint="eastAsia"/>
          <w:sz w:val="24"/>
          <w:szCs w:val="24"/>
        </w:rPr>
        <w:t>12.3 供应商委托代理时应当提交授权委托书，请按磋商文件第六章给定格式及要求填写并附法定代表人（单位负责人）与委托代理人身份证明。</w:t>
      </w:r>
    </w:p>
    <w:p>
      <w:pPr>
        <w:pStyle w:val="41"/>
        <w:spacing w:before="0" w:after="0" w:line="360" w:lineRule="auto"/>
        <w:ind w:firstLine="562"/>
        <w:jc w:val="left"/>
      </w:pPr>
      <w:r>
        <w:rPr>
          <w:rFonts w:hint="eastAsia"/>
          <w:sz w:val="28"/>
          <w:szCs w:val="28"/>
        </w:rPr>
        <w:t>13、分项报价表</w:t>
      </w:r>
    </w:p>
    <w:p>
      <w:pPr>
        <w:spacing w:line="500" w:lineRule="exact"/>
        <w:ind w:firstLine="480"/>
        <w:jc w:val="left"/>
        <w:rPr>
          <w:sz w:val="24"/>
          <w:szCs w:val="24"/>
        </w:rPr>
      </w:pPr>
      <w:r>
        <w:rPr>
          <w:rFonts w:hint="eastAsia"/>
          <w:sz w:val="24"/>
          <w:szCs w:val="24"/>
        </w:rPr>
        <w:t>13.1 供应商应根据响应报价要求在分项报价表中列明各项单价、总价等，未全部列示的作无效响应处理。</w:t>
      </w:r>
    </w:p>
    <w:p>
      <w:pPr>
        <w:spacing w:line="500" w:lineRule="exact"/>
        <w:ind w:firstLine="480"/>
        <w:jc w:val="left"/>
        <w:rPr>
          <w:sz w:val="24"/>
          <w:szCs w:val="24"/>
        </w:rPr>
      </w:pPr>
      <w:r>
        <w:rPr>
          <w:rFonts w:hint="eastAsia"/>
          <w:sz w:val="24"/>
          <w:szCs w:val="24"/>
        </w:rPr>
        <w:t>13.2 响应文件中的单价和总价无特殊规定的采用人民币报价，以元为单位标注。磋商文件中另有规定的按规定执行。</w:t>
      </w:r>
    </w:p>
    <w:p>
      <w:pPr>
        <w:pStyle w:val="41"/>
        <w:spacing w:before="0" w:after="0" w:line="360" w:lineRule="auto"/>
        <w:ind w:firstLine="562"/>
        <w:jc w:val="left"/>
        <w:rPr>
          <w:sz w:val="28"/>
          <w:szCs w:val="28"/>
        </w:rPr>
      </w:pPr>
      <w:r>
        <w:rPr>
          <w:rFonts w:hint="eastAsia"/>
          <w:sz w:val="28"/>
          <w:szCs w:val="28"/>
        </w:rPr>
        <w:t>14、技术要求响应及偏离表、商务要求响应及偏离表</w:t>
      </w:r>
    </w:p>
    <w:p>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pPr>
        <w:spacing w:line="500" w:lineRule="exact"/>
        <w:ind w:firstLine="480"/>
        <w:jc w:val="left"/>
        <w:rPr>
          <w:sz w:val="24"/>
          <w:szCs w:val="24"/>
        </w:rPr>
      </w:pPr>
      <w:r>
        <w:rPr>
          <w:rFonts w:hint="eastAsia"/>
          <w:sz w:val="24"/>
          <w:szCs w:val="24"/>
        </w:rPr>
        <w:t>14.2 供应商可在响应文件中提供认为需要的其他技术文件或说明。</w:t>
      </w:r>
    </w:p>
    <w:p>
      <w:pPr>
        <w:pStyle w:val="41"/>
        <w:spacing w:before="0" w:after="0" w:line="360" w:lineRule="auto"/>
        <w:ind w:firstLine="562"/>
        <w:jc w:val="left"/>
        <w:rPr>
          <w:sz w:val="28"/>
          <w:szCs w:val="28"/>
        </w:rPr>
      </w:pPr>
      <w:r>
        <w:rPr>
          <w:rFonts w:hint="eastAsia"/>
          <w:sz w:val="28"/>
          <w:szCs w:val="28"/>
        </w:rPr>
        <w:t>15、服务承诺、培训计划、人员安排及其他</w:t>
      </w:r>
    </w:p>
    <w:p>
      <w:pPr>
        <w:spacing w:line="500" w:lineRule="exact"/>
        <w:ind w:firstLine="480"/>
        <w:jc w:val="left"/>
        <w:rPr>
          <w:sz w:val="24"/>
          <w:szCs w:val="24"/>
        </w:rPr>
      </w:pPr>
      <w:r>
        <w:rPr>
          <w:rFonts w:hint="eastAsia"/>
          <w:sz w:val="24"/>
          <w:szCs w:val="24"/>
        </w:rPr>
        <w:t>15.1 供应商应根据磋商文件要求提供有关售后服务的管理制度，售后服务机构的分布情况，售后服务人员的数量、素质、技术水平及售后服务的反应能力等。</w:t>
      </w:r>
    </w:p>
    <w:p>
      <w:pPr>
        <w:spacing w:line="500" w:lineRule="exact"/>
        <w:ind w:firstLine="480"/>
        <w:jc w:val="left"/>
        <w:rPr>
          <w:sz w:val="24"/>
          <w:szCs w:val="24"/>
        </w:rPr>
      </w:pPr>
      <w:r>
        <w:rPr>
          <w:rFonts w:hint="eastAsia"/>
          <w:sz w:val="24"/>
          <w:szCs w:val="24"/>
        </w:rPr>
        <w:t>15.2 供应商应根据磋商文件要求提供培训计划、人员安排等。</w:t>
      </w:r>
    </w:p>
    <w:p>
      <w:pPr>
        <w:spacing w:line="500" w:lineRule="exact"/>
        <w:ind w:firstLine="480"/>
        <w:jc w:val="left"/>
        <w:rPr>
          <w:sz w:val="24"/>
          <w:szCs w:val="24"/>
        </w:rPr>
      </w:pPr>
      <w:r>
        <w:rPr>
          <w:rFonts w:hint="eastAsia"/>
          <w:sz w:val="24"/>
          <w:szCs w:val="24"/>
        </w:rPr>
        <w:t>15.3 供应商应根据磋商文件要求提供响应标的的主要组成部分、功能设计、实现思路及关键技术等。</w:t>
      </w:r>
    </w:p>
    <w:p>
      <w:pPr>
        <w:pStyle w:val="41"/>
        <w:spacing w:before="0" w:after="0" w:line="360" w:lineRule="auto"/>
        <w:ind w:firstLine="562"/>
        <w:jc w:val="left"/>
        <w:rPr>
          <w:sz w:val="28"/>
          <w:szCs w:val="28"/>
        </w:rPr>
      </w:pPr>
      <w:r>
        <w:rPr>
          <w:rFonts w:hint="eastAsia"/>
          <w:sz w:val="28"/>
          <w:szCs w:val="28"/>
        </w:rPr>
        <w:t>16、磋商响应函</w:t>
      </w:r>
    </w:p>
    <w:p>
      <w:pPr>
        <w:spacing w:line="500" w:lineRule="exact"/>
        <w:ind w:firstLine="480"/>
        <w:jc w:val="left"/>
        <w:rPr>
          <w:sz w:val="24"/>
          <w:szCs w:val="24"/>
        </w:rPr>
      </w:pPr>
      <w:r>
        <w:rPr>
          <w:rFonts w:hint="eastAsia"/>
          <w:sz w:val="24"/>
          <w:szCs w:val="24"/>
        </w:rPr>
        <w:t>16.1 供应商应按照磋商文件提供的格式完整、正确填写磋商响应函。</w:t>
      </w:r>
    </w:p>
    <w:p>
      <w:pPr>
        <w:pStyle w:val="41"/>
        <w:spacing w:before="0" w:after="0" w:line="360" w:lineRule="auto"/>
        <w:ind w:firstLine="562"/>
        <w:jc w:val="left"/>
        <w:rPr>
          <w:sz w:val="28"/>
          <w:szCs w:val="28"/>
        </w:rPr>
      </w:pPr>
      <w:r>
        <w:rPr>
          <w:rFonts w:hint="eastAsia"/>
          <w:sz w:val="28"/>
          <w:szCs w:val="28"/>
        </w:rPr>
        <w:t>17、磋商有效期</w:t>
      </w:r>
    </w:p>
    <w:p>
      <w:pPr>
        <w:spacing w:line="500" w:lineRule="exact"/>
        <w:ind w:firstLine="480"/>
        <w:jc w:val="left"/>
        <w:rPr>
          <w:sz w:val="24"/>
          <w:szCs w:val="24"/>
        </w:rPr>
      </w:pPr>
      <w:r>
        <w:rPr>
          <w:rFonts w:hint="eastAsia"/>
          <w:sz w:val="24"/>
          <w:szCs w:val="24"/>
        </w:rPr>
        <w:t>17.1 磋商有效期为磋商文件规定的开启之日后六十（60）天。磋商有效期比规定短的将被视为未实质性响应磋商文件而予以拒绝。</w:t>
      </w:r>
    </w:p>
    <w:p>
      <w:pPr>
        <w:spacing w:line="500" w:lineRule="exact"/>
        <w:ind w:firstLine="480"/>
        <w:jc w:val="left"/>
        <w:rPr>
          <w:sz w:val="24"/>
          <w:szCs w:val="24"/>
        </w:rPr>
      </w:pPr>
      <w:r>
        <w:rPr>
          <w:rFonts w:hint="eastAsia"/>
          <w:sz w:val="24"/>
          <w:szCs w:val="24"/>
        </w:rPr>
        <w:t>17.2 在特殊情况下（法律法规另有规定的除外），经监管部门批准后，</w:t>
      </w:r>
      <w:r>
        <w:rPr>
          <w:rFonts w:hint="eastAsia"/>
          <w:sz w:val="24"/>
          <w:szCs w:val="24"/>
          <w:lang w:eastAsia="zh-CN"/>
        </w:rPr>
        <w:t>采购中心</w:t>
      </w:r>
      <w:r>
        <w:rPr>
          <w:rFonts w:hint="eastAsia"/>
          <w:sz w:val="24"/>
          <w:szCs w:val="24"/>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pPr>
        <w:pStyle w:val="40"/>
        <w:spacing w:before="0" w:after="0" w:line="360" w:lineRule="auto"/>
        <w:rPr>
          <w:rFonts w:ascii="黑体" w:hAnsi="黑体" w:eastAsia="黑体"/>
          <w:b w:val="0"/>
        </w:rPr>
      </w:pPr>
      <w:r>
        <w:rPr>
          <w:rFonts w:hint="eastAsia" w:ascii="黑体" w:hAnsi="黑体" w:eastAsia="黑体"/>
          <w:b w:val="0"/>
        </w:rPr>
        <w:t>四、响应文件提交</w:t>
      </w:r>
    </w:p>
    <w:p>
      <w:pPr>
        <w:pStyle w:val="41"/>
        <w:spacing w:before="0" w:after="0" w:line="360" w:lineRule="auto"/>
        <w:ind w:firstLine="562"/>
        <w:jc w:val="left"/>
        <w:rPr>
          <w:sz w:val="28"/>
          <w:szCs w:val="28"/>
        </w:rPr>
      </w:pPr>
      <w:r>
        <w:rPr>
          <w:rFonts w:hint="eastAsia"/>
          <w:sz w:val="28"/>
          <w:szCs w:val="28"/>
        </w:rPr>
        <w:t>18、电子响应文件的提交</w:t>
      </w:r>
    </w:p>
    <w:p>
      <w:pPr>
        <w:spacing w:line="500" w:lineRule="exact"/>
        <w:ind w:firstLine="480"/>
        <w:jc w:val="left"/>
        <w:rPr>
          <w:sz w:val="24"/>
          <w:szCs w:val="24"/>
        </w:rPr>
      </w:pPr>
      <w:r>
        <w:rPr>
          <w:rFonts w:hint="eastAsia"/>
          <w:sz w:val="24"/>
          <w:szCs w:val="24"/>
        </w:rPr>
        <w:t>18.1 供应商应当按照《操作手册》规定，在响应文件提交截止时间前制作并提交（上传）电子响应文件。</w:t>
      </w:r>
    </w:p>
    <w:p>
      <w:pPr>
        <w:pStyle w:val="41"/>
        <w:spacing w:before="0" w:after="0" w:line="360" w:lineRule="auto"/>
        <w:ind w:firstLine="562"/>
        <w:jc w:val="left"/>
        <w:rPr>
          <w:sz w:val="28"/>
          <w:szCs w:val="28"/>
        </w:rPr>
      </w:pPr>
      <w:r>
        <w:rPr>
          <w:rFonts w:hint="eastAsia"/>
          <w:sz w:val="28"/>
          <w:szCs w:val="28"/>
        </w:rPr>
        <w:t>19、提交响应文件截止时间</w:t>
      </w:r>
    </w:p>
    <w:p>
      <w:pPr>
        <w:spacing w:line="500" w:lineRule="exact"/>
        <w:ind w:firstLine="480"/>
        <w:jc w:val="left"/>
        <w:rPr>
          <w:sz w:val="24"/>
          <w:szCs w:val="24"/>
        </w:rPr>
      </w:pPr>
      <w:r>
        <w:rPr>
          <w:rFonts w:hint="eastAsia"/>
          <w:sz w:val="24"/>
          <w:szCs w:val="24"/>
        </w:rPr>
        <w:t>19.1 供应商提交（上传）电子响应文件的时间不得迟于磋商公告中规定的截止时间。</w:t>
      </w:r>
    </w:p>
    <w:p>
      <w:pP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供应商应充分考虑计算机硬件、软件及网络环境等风险因素，如因供应商自身原因造成电子响应文件提交（上传）不成功的按照本磋商文件第二章第29.1条规定作无效响应处理。</w:t>
      </w:r>
    </w:p>
    <w:p>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可以按照规定，通过修改磋商文件酌情延长响应文件提交截止时间，在此情况下，供应商的所有权利和义务以及供应商受制的截止时间均应以延长后新的截止时间为准。</w:t>
      </w:r>
    </w:p>
    <w:p>
      <w:pPr>
        <w:pStyle w:val="41"/>
        <w:spacing w:before="0" w:after="0" w:line="360" w:lineRule="auto"/>
        <w:ind w:firstLine="562"/>
        <w:jc w:val="left"/>
        <w:rPr>
          <w:sz w:val="28"/>
          <w:szCs w:val="28"/>
        </w:rPr>
      </w:pPr>
      <w:r>
        <w:rPr>
          <w:rFonts w:hint="eastAsia"/>
          <w:sz w:val="28"/>
          <w:szCs w:val="28"/>
        </w:rPr>
        <w:t>20、响应文件的拒收</w:t>
      </w:r>
    </w:p>
    <w:p>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拒绝接收在磋商文件规定的截止时间后提交（上传）的任何响应文件。</w:t>
      </w:r>
    </w:p>
    <w:p>
      <w:pPr>
        <w:pStyle w:val="41"/>
        <w:spacing w:before="0" w:after="0" w:line="360" w:lineRule="auto"/>
        <w:ind w:firstLine="562"/>
        <w:jc w:val="left"/>
        <w:rPr>
          <w:sz w:val="28"/>
          <w:szCs w:val="28"/>
        </w:rPr>
      </w:pPr>
      <w:r>
        <w:rPr>
          <w:rFonts w:hint="eastAsia"/>
          <w:sz w:val="28"/>
          <w:szCs w:val="28"/>
        </w:rPr>
        <w:t>21、响应文件的撤回和修改</w:t>
      </w:r>
    </w:p>
    <w:p>
      <w:pPr>
        <w:spacing w:line="500" w:lineRule="exact"/>
        <w:ind w:firstLine="480"/>
        <w:jc w:val="left"/>
        <w:rPr>
          <w:sz w:val="24"/>
          <w:szCs w:val="24"/>
        </w:rPr>
      </w:pPr>
      <w:r>
        <w:rPr>
          <w:rFonts w:hint="eastAsia"/>
          <w:sz w:val="24"/>
          <w:szCs w:val="24"/>
        </w:rPr>
        <w:t>21.1 供应商可在提交（上传）响应文件截止时间前，撤回其电子响应文件，具体操作方法见《操作手册》。</w:t>
      </w:r>
    </w:p>
    <w:p>
      <w:pPr>
        <w:spacing w:line="500" w:lineRule="exact"/>
        <w:ind w:firstLine="480"/>
        <w:jc w:val="left"/>
        <w:rPr>
          <w:sz w:val="24"/>
          <w:szCs w:val="24"/>
        </w:rPr>
      </w:pPr>
      <w:r>
        <w:rPr>
          <w:rFonts w:hint="eastAsia"/>
          <w:sz w:val="24"/>
          <w:szCs w:val="24"/>
        </w:rPr>
        <w:t>21.2 供应商可在提交（上传）响应文件截止时间前，对其电子响应文件进行修改，具体操作方法见《操作手册》。在提交（上传）响应文件截止时间之后，供应商不得对其电子响应文件做任何修改。</w:t>
      </w:r>
    </w:p>
    <w:p>
      <w:pPr>
        <w:spacing w:line="500" w:lineRule="exact"/>
        <w:ind w:firstLine="480"/>
        <w:jc w:val="left"/>
        <w:rPr>
          <w:sz w:val="24"/>
          <w:szCs w:val="24"/>
        </w:rPr>
      </w:pPr>
      <w:r>
        <w:rPr>
          <w:rFonts w:hint="eastAsia"/>
          <w:sz w:val="24"/>
          <w:szCs w:val="24"/>
        </w:rPr>
        <w:t>21.3 在提交（上传）响应文件截止时间至磋商文件规定的磋商有效期满之间的这段时间内，供应商不得撤回其电子响应文件。</w:t>
      </w:r>
    </w:p>
    <w:p>
      <w:pPr>
        <w:pStyle w:val="40"/>
        <w:spacing w:before="0" w:after="0" w:line="360" w:lineRule="auto"/>
        <w:rPr>
          <w:rFonts w:ascii="黑体" w:hAnsi="黑体" w:eastAsia="黑体"/>
          <w:b w:val="0"/>
        </w:rPr>
      </w:pPr>
      <w:r>
        <w:rPr>
          <w:rFonts w:hint="eastAsia" w:ascii="黑体" w:hAnsi="黑体" w:eastAsia="黑体"/>
          <w:b w:val="0"/>
        </w:rPr>
        <w:t>五、响应文件开启（解密）与评审</w:t>
      </w:r>
    </w:p>
    <w:p>
      <w:pPr>
        <w:pStyle w:val="41"/>
        <w:spacing w:before="0" w:after="0" w:line="360" w:lineRule="auto"/>
        <w:ind w:firstLine="562"/>
        <w:jc w:val="left"/>
        <w:rPr>
          <w:sz w:val="28"/>
          <w:szCs w:val="28"/>
        </w:rPr>
      </w:pPr>
      <w:r>
        <w:rPr>
          <w:rFonts w:hint="eastAsia"/>
          <w:sz w:val="28"/>
          <w:szCs w:val="28"/>
        </w:rPr>
        <w:t>22、响应文件开启（解密）</w:t>
      </w:r>
    </w:p>
    <w:p>
      <w:pPr>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将在磋商公告中规定的时间和地点组织响应文件开启。供应商应当按时参加，并在“苏采云”系统规定的时间内对其电子响应文件进行解密。</w:t>
      </w:r>
    </w:p>
    <w:p>
      <w:pPr>
        <w:spacing w:line="500" w:lineRule="exact"/>
        <w:ind w:firstLine="480"/>
        <w:jc w:val="left"/>
        <w:rPr>
          <w:sz w:val="24"/>
          <w:szCs w:val="24"/>
        </w:rPr>
      </w:pPr>
      <w:r>
        <w:rPr>
          <w:rFonts w:hint="eastAsia"/>
          <w:sz w:val="24"/>
          <w:szCs w:val="24"/>
        </w:rPr>
        <w:t>22.2 供应商在开启（解密）过程中涉及到的响应文件解密、开启结果确认等工作，应当按照《操作手册》规定执行。</w:t>
      </w:r>
    </w:p>
    <w:p>
      <w:pPr>
        <w:spacing w:line="500" w:lineRule="exact"/>
        <w:ind w:firstLine="480"/>
        <w:jc w:val="left"/>
        <w:rPr>
          <w:sz w:val="24"/>
          <w:szCs w:val="24"/>
        </w:rPr>
      </w:pPr>
      <w:r>
        <w:rPr>
          <w:rFonts w:hint="eastAsia"/>
          <w:sz w:val="24"/>
          <w:szCs w:val="24"/>
        </w:rPr>
        <w:t>22.5 供应商未参加开启（解密）的，视同认可开启（解密）结果。</w:t>
      </w:r>
    </w:p>
    <w:p>
      <w:pPr>
        <w:spacing w:line="500" w:lineRule="exact"/>
        <w:ind w:firstLine="480"/>
        <w:jc w:val="left"/>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采购中心</w:t>
      </w:r>
      <w:r>
        <w:rPr>
          <w:rFonts w:hint="eastAsia"/>
          <w:sz w:val="24"/>
          <w:szCs w:val="24"/>
        </w:rPr>
        <w:t>及磋商小组联系。</w:t>
      </w:r>
    </w:p>
    <w:p>
      <w:pPr>
        <w:pStyle w:val="41"/>
        <w:spacing w:before="0" w:after="0" w:line="360" w:lineRule="auto"/>
        <w:ind w:firstLine="562"/>
        <w:jc w:val="left"/>
        <w:rPr>
          <w:sz w:val="28"/>
          <w:szCs w:val="28"/>
        </w:rPr>
      </w:pPr>
      <w:r>
        <w:rPr>
          <w:rFonts w:hint="eastAsia"/>
          <w:sz w:val="28"/>
          <w:szCs w:val="28"/>
        </w:rPr>
        <w:t>23、磋商小组</w:t>
      </w:r>
    </w:p>
    <w:p>
      <w:pPr>
        <w:spacing w:line="500" w:lineRule="exact"/>
        <w:ind w:firstLine="480"/>
        <w:jc w:val="left"/>
        <w:rPr>
          <w:sz w:val="24"/>
          <w:szCs w:val="24"/>
        </w:rPr>
      </w:pPr>
      <w:r>
        <w:rPr>
          <w:rFonts w:hint="eastAsia"/>
          <w:sz w:val="24"/>
          <w:szCs w:val="24"/>
        </w:rPr>
        <w:t>23.1 响应文件开启（解密）后，</w:t>
      </w:r>
      <w:r>
        <w:rPr>
          <w:rFonts w:hint="eastAsia"/>
          <w:sz w:val="24"/>
          <w:szCs w:val="24"/>
          <w:lang w:eastAsia="zh-CN"/>
        </w:rPr>
        <w:t>采购中心</w:t>
      </w:r>
      <w:r>
        <w:rPr>
          <w:rFonts w:hint="eastAsia"/>
          <w:sz w:val="24"/>
          <w:szCs w:val="24"/>
        </w:rPr>
        <w:t>将组织磋商小组进行评审。</w:t>
      </w:r>
    </w:p>
    <w:p>
      <w:pPr>
        <w:spacing w:line="500" w:lineRule="exact"/>
        <w:ind w:firstLine="480"/>
        <w:jc w:val="left"/>
        <w:rPr>
          <w:sz w:val="24"/>
          <w:szCs w:val="24"/>
        </w:rPr>
      </w:pPr>
      <w:r>
        <w:rPr>
          <w:rFonts w:hint="eastAsia"/>
          <w:sz w:val="24"/>
          <w:szCs w:val="24"/>
        </w:rPr>
        <w:t>23.2 磋商小组由采购人代表和有关技术、经济等方面的评审专家组成，且人员构成符合政府采购有关规定。</w:t>
      </w:r>
    </w:p>
    <w:p>
      <w:pPr>
        <w:spacing w:line="500" w:lineRule="exact"/>
        <w:ind w:firstLine="480"/>
        <w:jc w:val="left"/>
        <w:rPr>
          <w:sz w:val="24"/>
          <w:szCs w:val="24"/>
        </w:rPr>
      </w:pPr>
      <w:r>
        <w:rPr>
          <w:rFonts w:hint="eastAsia"/>
          <w:sz w:val="24"/>
          <w:szCs w:val="24"/>
        </w:rPr>
        <w:t>23.3 磋商小组按照磋商文件规定的评审程序、评审方法和评审标准进行独立评审并确定成交候选人。</w:t>
      </w:r>
    </w:p>
    <w:p>
      <w:pPr>
        <w:pStyle w:val="41"/>
        <w:spacing w:before="0" w:after="0" w:line="360" w:lineRule="auto"/>
        <w:ind w:firstLine="562"/>
        <w:jc w:val="left"/>
        <w:rPr>
          <w:sz w:val="28"/>
          <w:szCs w:val="28"/>
        </w:rPr>
      </w:pPr>
      <w:r>
        <w:rPr>
          <w:rFonts w:hint="eastAsia"/>
          <w:sz w:val="28"/>
          <w:szCs w:val="28"/>
        </w:rPr>
        <w:t>24、评审过程的保密与公正</w:t>
      </w:r>
    </w:p>
    <w:p>
      <w:pPr>
        <w:spacing w:line="500" w:lineRule="exact"/>
        <w:ind w:firstLine="480"/>
        <w:jc w:val="left"/>
        <w:rPr>
          <w:sz w:val="24"/>
          <w:szCs w:val="24"/>
        </w:rPr>
      </w:pPr>
      <w:r>
        <w:rPr>
          <w:rFonts w:hint="eastAsia"/>
          <w:sz w:val="24"/>
          <w:szCs w:val="24"/>
        </w:rPr>
        <w:t>24.1 凡是与审查、澄清、评价和比较有关的资料以及成交建议等，采购人、评审专家、</w:t>
      </w:r>
      <w:r>
        <w:rPr>
          <w:rFonts w:hint="eastAsia"/>
          <w:sz w:val="24"/>
          <w:szCs w:val="24"/>
          <w:lang w:eastAsia="zh-CN"/>
        </w:rPr>
        <w:t>采购中心</w:t>
      </w:r>
      <w:r>
        <w:rPr>
          <w:rFonts w:hint="eastAsia"/>
          <w:sz w:val="24"/>
          <w:szCs w:val="24"/>
        </w:rPr>
        <w:t>均不得向供应商或与评审无关的其他人员透露。</w:t>
      </w:r>
    </w:p>
    <w:p>
      <w:pPr>
        <w:spacing w:line="500" w:lineRule="exact"/>
        <w:ind w:firstLine="480"/>
        <w:jc w:val="left"/>
        <w:rPr>
          <w:sz w:val="24"/>
          <w:szCs w:val="24"/>
        </w:rPr>
      </w:pPr>
      <w:r>
        <w:rPr>
          <w:rFonts w:hint="eastAsia"/>
          <w:sz w:val="24"/>
          <w:szCs w:val="24"/>
        </w:rPr>
        <w:t>24.2 在评审过程中，供应商不得以任何行为影响评审过程，否则其响应文件将被作为无效响应文件。</w:t>
      </w:r>
    </w:p>
    <w:p>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和磋商小组不向未成交的供应商解释未成交原因，也不公布评审过程中的相关细节。</w:t>
      </w:r>
    </w:p>
    <w:p>
      <w:pPr>
        <w:pStyle w:val="41"/>
        <w:spacing w:before="0" w:after="0" w:line="360" w:lineRule="auto"/>
        <w:ind w:firstLine="562"/>
        <w:jc w:val="left"/>
        <w:rPr>
          <w:sz w:val="28"/>
          <w:szCs w:val="28"/>
        </w:rPr>
      </w:pPr>
      <w:r>
        <w:rPr>
          <w:rFonts w:hint="eastAsia"/>
          <w:sz w:val="28"/>
          <w:szCs w:val="28"/>
        </w:rPr>
        <w:t>25、响应文件的澄清</w:t>
      </w:r>
    </w:p>
    <w:p>
      <w:pPr>
        <w:spacing w:line="500" w:lineRule="exact"/>
        <w:ind w:firstLine="480"/>
        <w:jc w:val="left"/>
        <w:rPr>
          <w:sz w:val="24"/>
          <w:szCs w:val="24"/>
        </w:rPr>
      </w:pPr>
      <w:r>
        <w:rPr>
          <w:rFonts w:hint="eastAsia"/>
          <w:sz w:val="24"/>
          <w:szCs w:val="24"/>
        </w:rPr>
        <w:t>25.1 评审期间，磋商小组对响应文件中含义不明确、同类问题表述不一致或者有明显文字和计算错误的内容，有权要求供应商作出必要的澄清、说明或者补正。</w:t>
      </w:r>
    </w:p>
    <w:p>
      <w:pP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pPr>
        <w:spacing w:line="500" w:lineRule="exact"/>
        <w:ind w:firstLine="480"/>
        <w:jc w:val="left"/>
        <w:rPr>
          <w:sz w:val="24"/>
          <w:szCs w:val="24"/>
        </w:rPr>
      </w:pPr>
      <w:r>
        <w:rPr>
          <w:rFonts w:hint="eastAsia"/>
          <w:sz w:val="24"/>
          <w:szCs w:val="24"/>
        </w:rPr>
        <w:t>磋商小组并非对每个供应商都提出澄清、说明或者补正要求。</w:t>
      </w:r>
    </w:p>
    <w:p>
      <w:pPr>
        <w:spacing w:line="500" w:lineRule="exact"/>
        <w:ind w:firstLine="480"/>
        <w:jc w:val="left"/>
        <w:rPr>
          <w:sz w:val="24"/>
          <w:szCs w:val="24"/>
        </w:rPr>
      </w:pPr>
      <w:r>
        <w:rPr>
          <w:rFonts w:hint="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pPr>
        <w:spacing w:line="500" w:lineRule="exact"/>
        <w:ind w:firstLine="480"/>
        <w:jc w:val="left"/>
        <w:rPr>
          <w:sz w:val="24"/>
          <w:szCs w:val="24"/>
        </w:rPr>
      </w:pPr>
      <w:r>
        <w:rPr>
          <w:rFonts w:hint="eastAsia"/>
          <w:sz w:val="24"/>
          <w:szCs w:val="24"/>
        </w:rPr>
        <w:t>25.3 接到磋商小组澄清、说明或者补正要求的供应商如未按要求响应，其风险由供应商自行承担。</w:t>
      </w:r>
    </w:p>
    <w:p>
      <w:pPr>
        <w:pStyle w:val="41"/>
        <w:spacing w:before="0" w:after="0" w:line="360" w:lineRule="auto"/>
        <w:ind w:firstLine="562"/>
        <w:jc w:val="left"/>
        <w:rPr>
          <w:sz w:val="28"/>
          <w:szCs w:val="28"/>
        </w:rPr>
      </w:pPr>
      <w:r>
        <w:rPr>
          <w:rFonts w:hint="eastAsia"/>
          <w:sz w:val="28"/>
          <w:szCs w:val="28"/>
        </w:rPr>
        <w:t>26、对响应文件的审查</w:t>
      </w:r>
    </w:p>
    <w:p>
      <w:pPr>
        <w:spacing w:line="500" w:lineRule="exact"/>
        <w:ind w:firstLine="480"/>
        <w:jc w:val="left"/>
        <w:rPr>
          <w:sz w:val="24"/>
          <w:szCs w:val="24"/>
        </w:rPr>
      </w:pPr>
      <w:r>
        <w:rPr>
          <w:rFonts w:hint="eastAsia"/>
          <w:sz w:val="24"/>
          <w:szCs w:val="24"/>
        </w:rPr>
        <w:t>26.1 响应文件审查分为资格审查和符合性审查。</w:t>
      </w:r>
    </w:p>
    <w:p>
      <w:pPr>
        <w:spacing w:line="500" w:lineRule="exact"/>
        <w:ind w:firstLine="480"/>
        <w:jc w:val="left"/>
        <w:rPr>
          <w:sz w:val="24"/>
          <w:szCs w:val="24"/>
        </w:rPr>
      </w:pPr>
      <w:r>
        <w:rPr>
          <w:rFonts w:hint="eastAsia"/>
          <w:sz w:val="24"/>
          <w:szCs w:val="24"/>
        </w:rPr>
        <w:t>26.1.1资格审查：磋商小组依据法律法规和磋商文件的规定，对响应文件中的资格证明文件进行审查，以确定供应商是否具备参加磋商采购的资格。</w:t>
      </w:r>
    </w:p>
    <w:p>
      <w:pPr>
        <w:spacing w:line="500" w:lineRule="exact"/>
        <w:ind w:firstLine="480"/>
        <w:jc w:val="left"/>
        <w:rPr>
          <w:sz w:val="24"/>
          <w:szCs w:val="24"/>
        </w:rPr>
      </w:pPr>
      <w:r>
        <w:rPr>
          <w:rFonts w:hint="eastAsia"/>
          <w:sz w:val="24"/>
          <w:szCs w:val="24"/>
        </w:rPr>
        <w:t>磋商小组在进行资格审查的同时，将在信用中国网（www.creditchina.gov.cn）查询供应商的信用记录，以确定供应商是否具备参加磋商资格，查询结果留存并归档。</w:t>
      </w:r>
    </w:p>
    <w:p>
      <w:pPr>
        <w:spacing w:line="500" w:lineRule="exact"/>
        <w:ind w:firstLine="480"/>
        <w:jc w:val="left"/>
        <w:rPr>
          <w:rFonts w:hint="eastAsia"/>
          <w:sz w:val="24"/>
          <w:szCs w:val="24"/>
        </w:rPr>
      </w:pPr>
      <w:r>
        <w:rPr>
          <w:rFonts w:hint="eastAsia"/>
          <w:sz w:val="24"/>
          <w:szCs w:val="24"/>
        </w:rPr>
        <w:t>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且</w:t>
      </w:r>
      <w:r>
        <w:rPr>
          <w:rFonts w:hint="eastAsia"/>
          <w:sz w:val="24"/>
          <w:szCs w:val="24"/>
        </w:rPr>
        <w:t>与磋商文件的</w:t>
      </w:r>
      <w:r>
        <w:rPr>
          <w:sz w:val="24"/>
          <w:szCs w:val="24"/>
        </w:rPr>
        <w:t>其余非实质性要求和条件</w:t>
      </w:r>
      <w:r>
        <w:rPr>
          <w:rFonts w:hint="eastAsia"/>
          <w:sz w:val="24"/>
          <w:szCs w:val="24"/>
        </w:rPr>
        <w:t>没有重大偏离。</w:t>
      </w:r>
    </w:p>
    <w:p>
      <w:pPr>
        <w:spacing w:line="500" w:lineRule="exact"/>
        <w:ind w:firstLine="480"/>
        <w:jc w:val="left"/>
        <w:rPr>
          <w:rFonts w:hint="eastAsia"/>
          <w:sz w:val="24"/>
          <w:szCs w:val="24"/>
        </w:rPr>
      </w:pPr>
      <w:r>
        <w:rPr>
          <w:rFonts w:hint="eastAsia"/>
          <w:sz w:val="24"/>
          <w:szCs w:val="24"/>
        </w:rPr>
        <w:t>未通过资格审查或符合性审查的供应商，将通过“苏采云”系统中告知其未通过的原因，评审结束后，将不再告知。</w:t>
      </w:r>
    </w:p>
    <w:p>
      <w:pPr>
        <w:spacing w:line="500" w:lineRule="exact"/>
        <w:ind w:firstLine="480"/>
        <w:jc w:val="left"/>
        <w:rPr>
          <w:rFonts w:hint="eastAsia"/>
          <w:sz w:val="24"/>
          <w:szCs w:val="24"/>
        </w:rPr>
      </w:pPr>
      <w:r>
        <w:rPr>
          <w:rFonts w:hint="eastAsia"/>
          <w:sz w:val="24"/>
          <w:szCs w:val="24"/>
        </w:rPr>
        <w:t>26.1.3政府采购异常低价审查：</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根据《关于推动解决政府采购异常低价问题的通知》（财库〔2026〕2号）规定，政府采购评审过程中出现下列情形之一的，评审委员会应当启动异常低价投标审查程序:</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1.投标报价低于全部通过符合性审查供应商投标报价平均值65%的，即投标报价&lt;全部通过符合性审查供应商投标报价平均值×65%；</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2.投标报价低于通过符合性审查的次低报价供应商投标报价65%的，即投标报价&lt;通过符合性审查的次低报价供应商投标报价×65%；</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3.投标报价低于采购项目最高限价65%的，即投标报价&lt;采购项目最高限价×65%；</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4.评审委员会基于专业判断，认为供应商报价过低，有可能影响产品质量或者不能诚信履约的其他情形。</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相关法律法规对供应商报价有规定的，从其规定。</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spacing w:line="360" w:lineRule="auto"/>
        <w:ind w:firstLine="482"/>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spacing w:line="360" w:lineRule="auto"/>
        <w:ind w:firstLine="482"/>
        <w:rPr>
          <w:rFonts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pPr>
        <w:spacing w:line="500" w:lineRule="exact"/>
        <w:ind w:firstLine="480"/>
        <w:jc w:val="left"/>
        <w:rPr>
          <w:sz w:val="24"/>
          <w:szCs w:val="24"/>
        </w:rPr>
      </w:pPr>
      <w:r>
        <w:rPr>
          <w:rFonts w:hint="eastAsia"/>
          <w:sz w:val="24"/>
          <w:szCs w:val="24"/>
        </w:rPr>
        <w:t>26.2 所谓重大偏离是指在实质上与磋商文件不一致，而且限制了合同中买方和</w:t>
      </w:r>
      <w:r>
        <w:rPr>
          <w:rFonts w:hint="eastAsia"/>
          <w:sz w:val="24"/>
          <w:szCs w:val="24"/>
          <w:lang w:eastAsia="zh-CN"/>
        </w:rPr>
        <w:t>采购中心</w:t>
      </w:r>
      <w:r>
        <w:rPr>
          <w:rFonts w:hint="eastAsia"/>
          <w:sz w:val="24"/>
          <w:szCs w:val="24"/>
        </w:rPr>
        <w:t>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pPr>
        <w:spacing w:line="500" w:lineRule="exact"/>
        <w:ind w:firstLine="480"/>
        <w:jc w:val="left"/>
        <w:rPr>
          <w:sz w:val="24"/>
          <w:szCs w:val="24"/>
        </w:rPr>
      </w:pPr>
      <w:r>
        <w:rPr>
          <w:rFonts w:hint="eastAsia"/>
          <w:sz w:val="24"/>
          <w:szCs w:val="24"/>
        </w:rPr>
        <w:t>26.3 如果响应文件实质上没有响应磋商文件的要求，磋商小组将予以拒绝，供应商不得通过修改或撤销不符合要求的偏离而使其成为实质性响应。</w:t>
      </w:r>
    </w:p>
    <w:p>
      <w:pPr>
        <w:pStyle w:val="41"/>
        <w:spacing w:before="0" w:after="0" w:line="360" w:lineRule="auto"/>
        <w:ind w:firstLine="562"/>
        <w:jc w:val="left"/>
        <w:rPr>
          <w:sz w:val="28"/>
          <w:szCs w:val="28"/>
        </w:rPr>
      </w:pPr>
      <w:r>
        <w:rPr>
          <w:rFonts w:hint="eastAsia"/>
          <w:sz w:val="28"/>
          <w:szCs w:val="28"/>
        </w:rPr>
        <w:t>27、磋商程序</w:t>
      </w:r>
    </w:p>
    <w:p>
      <w:pPr>
        <w:spacing w:line="500" w:lineRule="exact"/>
        <w:ind w:firstLine="480"/>
        <w:jc w:val="left"/>
        <w:rPr>
          <w:sz w:val="24"/>
          <w:szCs w:val="24"/>
        </w:rPr>
      </w:pPr>
      <w:r>
        <w:rPr>
          <w:rFonts w:hint="eastAsia"/>
          <w:sz w:val="24"/>
          <w:szCs w:val="24"/>
        </w:rPr>
        <w:t>27.1 对于通过资格审查和符合性审查的供应商，磋商小组将集中与单一供应商分别进行磋商。</w:t>
      </w:r>
    </w:p>
    <w:p>
      <w:pPr>
        <w:spacing w:line="500" w:lineRule="exact"/>
        <w:ind w:firstLine="480"/>
        <w:jc w:val="left"/>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pPr>
        <w:spacing w:line="500" w:lineRule="exact"/>
        <w:ind w:firstLine="480"/>
        <w:jc w:val="left"/>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pPr>
        <w:spacing w:line="500" w:lineRule="exact"/>
        <w:ind w:firstLine="480"/>
        <w:jc w:val="left"/>
        <w:rPr>
          <w:sz w:val="24"/>
          <w:szCs w:val="24"/>
        </w:rPr>
      </w:pPr>
      <w:r>
        <w:rPr>
          <w:rFonts w:hint="eastAsia"/>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pPr>
        <w:spacing w:line="500" w:lineRule="exact"/>
        <w:ind w:firstLine="480"/>
        <w:jc w:val="left"/>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pPr>
        <w:spacing w:line="500" w:lineRule="exact"/>
        <w:ind w:firstLine="480"/>
        <w:jc w:val="left"/>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pPr>
        <w:spacing w:line="500" w:lineRule="exact"/>
        <w:ind w:firstLine="480"/>
        <w:jc w:val="left"/>
        <w:rPr>
          <w:sz w:val="24"/>
          <w:szCs w:val="24"/>
        </w:rPr>
      </w:pPr>
      <w:r>
        <w:rPr>
          <w:rFonts w:hint="eastAsia"/>
          <w:sz w:val="24"/>
          <w:szCs w:val="24"/>
        </w:rPr>
        <w:t>供应商未在磋商小组规定的时间内在“苏采云”系统中提交最后报价的视为放弃磋商，其响应文件按无效响应处理。</w:t>
      </w:r>
    </w:p>
    <w:p>
      <w:pPr>
        <w:pStyle w:val="41"/>
        <w:spacing w:before="0" w:after="0" w:line="360" w:lineRule="auto"/>
        <w:ind w:firstLine="562"/>
        <w:jc w:val="left"/>
        <w:rPr>
          <w:sz w:val="28"/>
          <w:szCs w:val="28"/>
        </w:rPr>
      </w:pPr>
      <w:r>
        <w:rPr>
          <w:rFonts w:hint="eastAsia"/>
          <w:sz w:val="28"/>
          <w:szCs w:val="28"/>
        </w:rPr>
        <w:t>28、评审方法与评审标准</w:t>
      </w:r>
    </w:p>
    <w:p>
      <w:pPr>
        <w:spacing w:line="500" w:lineRule="exact"/>
        <w:ind w:firstLine="480"/>
        <w:jc w:val="left"/>
        <w:rPr>
          <w:sz w:val="24"/>
          <w:szCs w:val="24"/>
        </w:rPr>
      </w:pPr>
      <w:r>
        <w:rPr>
          <w:rFonts w:hint="eastAsia"/>
          <w:sz w:val="24"/>
          <w:szCs w:val="24"/>
        </w:rPr>
        <w:t>28.1 评审方法。详见本磋商文件第五章。</w:t>
      </w:r>
    </w:p>
    <w:p>
      <w:pPr>
        <w:spacing w:line="500" w:lineRule="exact"/>
        <w:ind w:firstLine="480"/>
        <w:jc w:val="left"/>
        <w:rPr>
          <w:sz w:val="24"/>
          <w:szCs w:val="24"/>
        </w:rPr>
      </w:pPr>
      <w:r>
        <w:rPr>
          <w:rFonts w:hint="eastAsia"/>
          <w:sz w:val="24"/>
          <w:szCs w:val="24"/>
        </w:rPr>
        <w:t>28.2 评审标准。详见本磋商文件第五章。</w:t>
      </w:r>
    </w:p>
    <w:p>
      <w:pPr>
        <w:pStyle w:val="41"/>
        <w:spacing w:before="0" w:after="0" w:line="360" w:lineRule="auto"/>
        <w:ind w:firstLine="562"/>
        <w:jc w:val="left"/>
        <w:rPr>
          <w:sz w:val="28"/>
          <w:szCs w:val="28"/>
        </w:rPr>
      </w:pPr>
      <w:r>
        <w:rPr>
          <w:rFonts w:hint="eastAsia"/>
          <w:sz w:val="28"/>
          <w:szCs w:val="28"/>
        </w:rPr>
        <w:t>29、未实质性响应磋商文件的情形和采购活动终止</w:t>
      </w:r>
    </w:p>
    <w:p>
      <w:pPr>
        <w:spacing w:line="500" w:lineRule="exact"/>
        <w:ind w:firstLine="480"/>
        <w:jc w:val="left"/>
        <w:rPr>
          <w:sz w:val="24"/>
          <w:szCs w:val="24"/>
        </w:rPr>
      </w:pPr>
      <w:r>
        <w:rPr>
          <w:rFonts w:hint="eastAsia"/>
          <w:sz w:val="24"/>
          <w:szCs w:val="24"/>
        </w:rPr>
        <w:t>29.1 未实质性响应磋商文件的情形：</w:t>
      </w:r>
    </w:p>
    <w:p>
      <w:pPr>
        <w:spacing w:line="500" w:lineRule="exact"/>
        <w:ind w:firstLine="480"/>
        <w:jc w:val="left"/>
        <w:rPr>
          <w:sz w:val="24"/>
          <w:szCs w:val="24"/>
        </w:rPr>
      </w:pPr>
      <w:r>
        <w:rPr>
          <w:rFonts w:hint="eastAsia"/>
          <w:sz w:val="24"/>
          <w:szCs w:val="24"/>
        </w:rPr>
        <w:t>（1）供应商未按照磋商文件要求提交（上传）电子响应文件的。</w:t>
      </w:r>
    </w:p>
    <w:p>
      <w:pPr>
        <w:spacing w:line="500" w:lineRule="exact"/>
        <w:ind w:firstLine="480"/>
        <w:jc w:val="left"/>
        <w:rPr>
          <w:sz w:val="24"/>
          <w:szCs w:val="24"/>
        </w:rPr>
      </w:pPr>
      <w:r>
        <w:rPr>
          <w:rFonts w:hint="eastAsia"/>
          <w:sz w:val="24"/>
          <w:szCs w:val="24"/>
        </w:rPr>
        <w:t>（2）供应商在“苏采云”系统规定的时间内未成功解密电子响应文件的。</w:t>
      </w:r>
    </w:p>
    <w:p>
      <w:pPr>
        <w:spacing w:line="500" w:lineRule="exact"/>
        <w:ind w:firstLine="480"/>
        <w:jc w:val="left"/>
        <w:rPr>
          <w:sz w:val="24"/>
          <w:szCs w:val="24"/>
        </w:rPr>
      </w:pPr>
      <w:r>
        <w:rPr>
          <w:rFonts w:hint="eastAsia"/>
          <w:sz w:val="24"/>
          <w:szCs w:val="24"/>
        </w:rPr>
        <w:t>（3）供应商不具备磋商文件中规定的资格要求的。</w:t>
      </w:r>
    </w:p>
    <w:p>
      <w:pPr>
        <w:spacing w:line="500" w:lineRule="exact"/>
        <w:ind w:firstLine="480"/>
        <w:jc w:val="left"/>
        <w:rPr>
          <w:rFonts w:hint="eastAsia"/>
          <w:sz w:val="24"/>
          <w:szCs w:val="24"/>
        </w:rPr>
      </w:pPr>
      <w:r>
        <w:rPr>
          <w:rFonts w:hint="eastAsia"/>
          <w:sz w:val="24"/>
          <w:szCs w:val="24"/>
        </w:rPr>
        <w:t>（4）供应商被信用中国网站（www.creditchina.gov.cn）无被列入失信被执行人、重大税收违法案件当事人名单、政府采购严重失信行为记录名单及其他不符合《中华人民共和国政府采购法》第二十二条规定情形的。</w:t>
      </w:r>
    </w:p>
    <w:p>
      <w:pPr>
        <w:spacing w:line="500" w:lineRule="exact"/>
        <w:ind w:firstLine="480"/>
        <w:jc w:val="left"/>
        <w:rPr>
          <w:sz w:val="24"/>
          <w:szCs w:val="24"/>
        </w:rPr>
      </w:pPr>
      <w:r>
        <w:rPr>
          <w:rFonts w:hint="eastAsia"/>
          <w:sz w:val="24"/>
          <w:szCs w:val="24"/>
        </w:rPr>
        <w:t>（5）不符合磋商文件规定的实质性要求和条件的。（本磋商文件中斜体且有下划线部分为实质性要求和条件）</w:t>
      </w:r>
    </w:p>
    <w:p>
      <w:pPr>
        <w:spacing w:line="500" w:lineRule="exact"/>
        <w:ind w:firstLine="480"/>
        <w:jc w:val="left"/>
        <w:rPr>
          <w:sz w:val="24"/>
          <w:szCs w:val="24"/>
        </w:rPr>
      </w:pPr>
      <w:r>
        <w:rPr>
          <w:rFonts w:hint="eastAsia"/>
          <w:sz w:val="24"/>
          <w:szCs w:val="24"/>
        </w:rPr>
        <w:t>（6）供应商未通过符合性审查的。</w:t>
      </w:r>
    </w:p>
    <w:p>
      <w:pPr>
        <w:spacing w:line="500" w:lineRule="exact"/>
        <w:ind w:firstLine="480"/>
        <w:jc w:val="left"/>
        <w:rPr>
          <w:sz w:val="24"/>
          <w:szCs w:val="24"/>
        </w:rPr>
      </w:pPr>
      <w:r>
        <w:rPr>
          <w:rFonts w:hint="eastAsia"/>
          <w:sz w:val="24"/>
          <w:szCs w:val="24"/>
        </w:rPr>
        <w:t>（7）供应商未按照要求对磋商或者最后报价作出响应的。</w:t>
      </w:r>
    </w:p>
    <w:p>
      <w:pPr>
        <w:spacing w:line="500" w:lineRule="exact"/>
        <w:ind w:firstLine="480"/>
        <w:jc w:val="left"/>
        <w:rPr>
          <w:sz w:val="24"/>
          <w:szCs w:val="24"/>
        </w:rPr>
      </w:pPr>
      <w:r>
        <w:rPr>
          <w:rFonts w:hint="eastAsia"/>
          <w:sz w:val="24"/>
          <w:szCs w:val="24"/>
        </w:rPr>
        <w:t>（8）供应商提交两个（含两个）以上不同的最后报价的。</w:t>
      </w:r>
    </w:p>
    <w:p>
      <w:pPr>
        <w:spacing w:line="500" w:lineRule="exact"/>
        <w:ind w:firstLine="480"/>
        <w:jc w:val="left"/>
        <w:rPr>
          <w:sz w:val="24"/>
          <w:szCs w:val="24"/>
        </w:rPr>
      </w:pPr>
      <w:r>
        <w:rPr>
          <w:rFonts w:hint="eastAsia"/>
          <w:sz w:val="24"/>
          <w:szCs w:val="24"/>
        </w:rPr>
        <w:t>（9）供应商的最后报价超过了采购预算或者最高限价的。</w:t>
      </w:r>
    </w:p>
    <w:p>
      <w:pPr>
        <w:spacing w:line="500" w:lineRule="exact"/>
        <w:ind w:firstLine="480"/>
        <w:jc w:val="left"/>
        <w:rPr>
          <w:rFonts w:hint="eastAsia"/>
          <w:sz w:val="24"/>
          <w:szCs w:val="24"/>
        </w:rPr>
      </w:pPr>
      <w:r>
        <w:rPr>
          <w:rFonts w:hint="eastAsia"/>
          <w:sz w:val="24"/>
          <w:szCs w:val="24"/>
        </w:rPr>
        <w:t>（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p>
    <w:p>
      <w:pPr>
        <w:spacing w:line="500" w:lineRule="exact"/>
        <w:ind w:firstLine="480"/>
        <w:jc w:val="left"/>
        <w:rPr>
          <w:sz w:val="24"/>
          <w:szCs w:val="24"/>
        </w:rPr>
      </w:pPr>
      <w:r>
        <w:rPr>
          <w:rFonts w:hint="eastAsia"/>
          <w:sz w:val="24"/>
          <w:szCs w:val="24"/>
        </w:rPr>
        <w:t>（11）响应文件含有采购人不能接受的附加条件的。</w:t>
      </w:r>
    </w:p>
    <w:p>
      <w:pPr>
        <w:spacing w:line="500" w:lineRule="exact"/>
        <w:ind w:firstLine="480"/>
        <w:jc w:val="left"/>
        <w:rPr>
          <w:rFonts w:hint="eastAsia"/>
          <w:sz w:val="24"/>
          <w:szCs w:val="24"/>
        </w:rPr>
      </w:pPr>
      <w:r>
        <w:rPr>
          <w:rFonts w:hint="eastAsia"/>
          <w:sz w:val="24"/>
          <w:szCs w:val="24"/>
        </w:rPr>
        <w:t>（12）响应文件未按照磋商文件要求加盖公章（CA电子公章）的。</w:t>
      </w:r>
    </w:p>
    <w:p>
      <w:pPr>
        <w:spacing w:line="500" w:lineRule="exact"/>
        <w:ind w:firstLine="480"/>
        <w:jc w:val="left"/>
        <w:rPr>
          <w:sz w:val="24"/>
          <w:szCs w:val="24"/>
        </w:rPr>
      </w:pPr>
      <w:r>
        <w:rPr>
          <w:rFonts w:hint="eastAsia"/>
          <w:sz w:val="24"/>
          <w:szCs w:val="24"/>
        </w:rPr>
        <w:t>（13）其他法律、法规及本磋商文件规定的属于未实质性响应磋商文件的情形。</w:t>
      </w:r>
    </w:p>
    <w:p>
      <w:pPr>
        <w:spacing w:line="500" w:lineRule="exact"/>
        <w:ind w:firstLine="480"/>
        <w:jc w:val="left"/>
        <w:rPr>
          <w:sz w:val="24"/>
          <w:szCs w:val="24"/>
        </w:rPr>
      </w:pPr>
      <w:r>
        <w:rPr>
          <w:rFonts w:hint="eastAsia"/>
          <w:sz w:val="24"/>
          <w:szCs w:val="24"/>
        </w:rPr>
        <w:t>29.2 有下列情形之一的，视为供应商串通，响应无效：</w:t>
      </w:r>
    </w:p>
    <w:p>
      <w:pPr>
        <w:spacing w:line="500" w:lineRule="exact"/>
        <w:ind w:firstLine="480"/>
        <w:jc w:val="left"/>
        <w:rPr>
          <w:sz w:val="24"/>
          <w:szCs w:val="24"/>
        </w:rPr>
      </w:pPr>
      <w:r>
        <w:rPr>
          <w:rFonts w:hint="eastAsia"/>
          <w:sz w:val="24"/>
          <w:szCs w:val="24"/>
        </w:rPr>
        <w:t>（1）不同供应商的响应文件由同一单位或者个人编制。</w:t>
      </w:r>
    </w:p>
    <w:p>
      <w:pPr>
        <w:spacing w:line="500" w:lineRule="exact"/>
        <w:ind w:firstLine="480"/>
        <w:jc w:val="left"/>
        <w:rPr>
          <w:sz w:val="24"/>
          <w:szCs w:val="24"/>
        </w:rPr>
      </w:pPr>
      <w:r>
        <w:rPr>
          <w:rFonts w:hint="eastAsia"/>
          <w:sz w:val="24"/>
          <w:szCs w:val="24"/>
        </w:rPr>
        <w:t>（2）不同供应商委托同一单位或者个人办理磋商事宜。</w:t>
      </w:r>
    </w:p>
    <w:p>
      <w:pPr>
        <w:spacing w:line="500" w:lineRule="exact"/>
        <w:ind w:firstLine="480"/>
        <w:jc w:val="left"/>
        <w:rPr>
          <w:sz w:val="24"/>
          <w:szCs w:val="24"/>
        </w:rPr>
      </w:pPr>
      <w:r>
        <w:rPr>
          <w:rFonts w:hint="eastAsia"/>
          <w:sz w:val="24"/>
          <w:szCs w:val="24"/>
        </w:rPr>
        <w:t>（3）不同供应商的响应文件载明的项目管理成员或者联系人员为同一人。</w:t>
      </w:r>
    </w:p>
    <w:p>
      <w:pPr>
        <w:spacing w:line="500" w:lineRule="exact"/>
        <w:ind w:firstLine="480"/>
        <w:jc w:val="left"/>
        <w:rPr>
          <w:sz w:val="24"/>
          <w:szCs w:val="24"/>
        </w:rPr>
      </w:pPr>
      <w:r>
        <w:rPr>
          <w:rFonts w:hint="eastAsia"/>
          <w:sz w:val="24"/>
          <w:szCs w:val="24"/>
        </w:rPr>
        <w:t>（4）不同供应商的响应文件异常一致或者最后报价呈规律性差异。</w:t>
      </w:r>
    </w:p>
    <w:p>
      <w:pPr>
        <w:spacing w:line="500" w:lineRule="exact"/>
        <w:ind w:firstLine="480"/>
        <w:jc w:val="left"/>
        <w:rPr>
          <w:sz w:val="24"/>
          <w:szCs w:val="24"/>
        </w:rPr>
      </w:pPr>
      <w:r>
        <w:rPr>
          <w:rFonts w:hint="eastAsia"/>
          <w:sz w:val="24"/>
          <w:szCs w:val="24"/>
        </w:rPr>
        <w:t>（5）不同供应商的响应文件相互混装。</w:t>
      </w:r>
    </w:p>
    <w:p>
      <w:pPr>
        <w:spacing w:line="500" w:lineRule="exact"/>
        <w:ind w:firstLine="480"/>
        <w:jc w:val="left"/>
        <w:rPr>
          <w:sz w:val="24"/>
          <w:szCs w:val="24"/>
        </w:rPr>
      </w:pPr>
      <w:r>
        <w:rPr>
          <w:rFonts w:hint="eastAsia"/>
          <w:sz w:val="24"/>
          <w:szCs w:val="24"/>
        </w:rPr>
        <w:t>29.3 采购活动终止的情形：</w:t>
      </w:r>
    </w:p>
    <w:p>
      <w:pPr>
        <w:spacing w:line="500" w:lineRule="exact"/>
        <w:ind w:firstLine="480"/>
        <w:jc w:val="left"/>
        <w:rPr>
          <w:sz w:val="24"/>
          <w:szCs w:val="24"/>
        </w:rPr>
      </w:pPr>
      <w:r>
        <w:rPr>
          <w:rFonts w:hint="eastAsia"/>
          <w:sz w:val="24"/>
          <w:szCs w:val="24"/>
        </w:rPr>
        <w:t>（1）因“苏采云”系统故障原因造成开启（解密）不成功的，或者至磋商文件规定的截止时间成功解密电子响应文件的供应商不足三家的。</w:t>
      </w:r>
    </w:p>
    <w:p>
      <w:pPr>
        <w:spacing w:line="500" w:lineRule="exact"/>
        <w:ind w:firstLine="480"/>
        <w:jc w:val="left"/>
        <w:rPr>
          <w:sz w:val="24"/>
          <w:szCs w:val="24"/>
        </w:rPr>
      </w:pPr>
      <w:r>
        <w:rPr>
          <w:rFonts w:hint="eastAsia"/>
          <w:sz w:val="24"/>
          <w:szCs w:val="24"/>
        </w:rPr>
        <w:t>（2）磋商小组认定磋商文件存在歧义、重大缺陷导致评审工作无法进行，或者磋商文件内容违反国家有关强制性规定的。</w:t>
      </w:r>
    </w:p>
    <w:p>
      <w:pPr>
        <w:spacing w:line="500" w:lineRule="exact"/>
        <w:ind w:firstLine="480"/>
        <w:jc w:val="left"/>
        <w:rPr>
          <w:sz w:val="24"/>
          <w:szCs w:val="24"/>
        </w:rPr>
      </w:pPr>
      <w:r>
        <w:rPr>
          <w:rFonts w:hint="eastAsia"/>
          <w:sz w:val="24"/>
          <w:szCs w:val="24"/>
        </w:rPr>
        <w:t>（3）除本磋商文件第二章第27.2条第三款规定的情形外，符合专业条件的供应商或者对磋商文件作实质响应的供应商不足三家的。</w:t>
      </w:r>
    </w:p>
    <w:p>
      <w:pPr>
        <w:spacing w:line="500" w:lineRule="exact"/>
        <w:ind w:firstLine="480"/>
        <w:jc w:val="left"/>
        <w:rPr>
          <w:sz w:val="24"/>
          <w:szCs w:val="24"/>
        </w:rPr>
      </w:pPr>
      <w:r>
        <w:rPr>
          <w:rFonts w:hint="eastAsia"/>
          <w:sz w:val="24"/>
          <w:szCs w:val="24"/>
        </w:rPr>
        <w:t>（4）出现影响采购公正的违法、违规行为的。</w:t>
      </w:r>
    </w:p>
    <w:p>
      <w:pPr>
        <w:spacing w:line="500" w:lineRule="exact"/>
        <w:ind w:firstLine="480"/>
        <w:jc w:val="left"/>
        <w:rPr>
          <w:sz w:val="24"/>
          <w:szCs w:val="24"/>
        </w:rPr>
      </w:pPr>
      <w:r>
        <w:rPr>
          <w:rFonts w:hint="eastAsia"/>
          <w:sz w:val="24"/>
          <w:szCs w:val="24"/>
        </w:rPr>
        <w:t>（5）因重大变故，采购任务取消的。</w:t>
      </w:r>
    </w:p>
    <w:p>
      <w:pPr>
        <w:pStyle w:val="40"/>
        <w:spacing w:before="0" w:after="0" w:line="360" w:lineRule="auto"/>
        <w:rPr>
          <w:rFonts w:ascii="黑体" w:hAnsi="黑体" w:eastAsia="黑体"/>
          <w:b w:val="0"/>
        </w:rPr>
      </w:pPr>
      <w:r>
        <w:rPr>
          <w:rFonts w:hint="eastAsia" w:ascii="黑体" w:hAnsi="黑体" w:eastAsia="黑体"/>
          <w:b w:val="0"/>
        </w:rPr>
        <w:t>六、成交</w:t>
      </w:r>
    </w:p>
    <w:p>
      <w:pPr>
        <w:pStyle w:val="41"/>
        <w:spacing w:before="0" w:after="0" w:line="360" w:lineRule="auto"/>
        <w:ind w:firstLine="562"/>
        <w:jc w:val="left"/>
        <w:rPr>
          <w:sz w:val="28"/>
          <w:szCs w:val="28"/>
        </w:rPr>
      </w:pPr>
      <w:r>
        <w:rPr>
          <w:rFonts w:hint="eastAsia"/>
          <w:sz w:val="28"/>
          <w:szCs w:val="28"/>
        </w:rPr>
        <w:t>30、确定成交单位</w:t>
      </w:r>
    </w:p>
    <w:p>
      <w:pPr>
        <w:spacing w:line="500" w:lineRule="exact"/>
        <w:ind w:firstLine="480"/>
        <w:jc w:val="left"/>
        <w:rPr>
          <w:sz w:val="24"/>
          <w:szCs w:val="24"/>
        </w:rPr>
      </w:pPr>
      <w:r>
        <w:rPr>
          <w:rFonts w:hint="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pPr>
        <w:spacing w:line="500" w:lineRule="exact"/>
        <w:ind w:firstLine="480"/>
        <w:jc w:val="left"/>
        <w:rPr>
          <w:sz w:val="24"/>
          <w:szCs w:val="24"/>
        </w:rPr>
      </w:pPr>
      <w:r>
        <w:rPr>
          <w:rFonts w:hint="eastAsia"/>
          <w:sz w:val="24"/>
          <w:szCs w:val="24"/>
        </w:rPr>
        <w:t>30.2 采购人从评审报告提出的成交候选供应商中，按照排序由高到低的原则确定成交供应商。采购人确定成交供应商后，</w:t>
      </w:r>
      <w:r>
        <w:rPr>
          <w:rFonts w:hint="eastAsia"/>
          <w:sz w:val="24"/>
          <w:szCs w:val="24"/>
          <w:lang w:eastAsia="zh-CN"/>
        </w:rPr>
        <w:t>采购中心</w:t>
      </w:r>
      <w:r>
        <w:rPr>
          <w:rFonts w:hint="eastAsia"/>
          <w:sz w:val="24"/>
          <w:szCs w:val="24"/>
        </w:rPr>
        <w:t>将在江苏政府采购网发布成交结果公告，公告期限为1个工作日。</w:t>
      </w:r>
    </w:p>
    <w:p>
      <w:pPr>
        <w:spacing w:line="500" w:lineRule="exact"/>
        <w:ind w:firstLine="480"/>
        <w:jc w:val="left"/>
        <w:rPr>
          <w:sz w:val="24"/>
          <w:szCs w:val="24"/>
        </w:rPr>
      </w:pPr>
      <w:r>
        <w:rPr>
          <w:rFonts w:hint="eastAsia"/>
          <w:sz w:val="24"/>
          <w:szCs w:val="24"/>
        </w:rPr>
        <w:t>30.3 若有充分证据证明，成交供应商存在下列情形之一的，一经查实，将被取消成交资格：</w:t>
      </w:r>
    </w:p>
    <w:p>
      <w:pPr>
        <w:spacing w:line="500" w:lineRule="exact"/>
        <w:ind w:firstLine="480"/>
        <w:jc w:val="left"/>
        <w:rPr>
          <w:sz w:val="24"/>
          <w:szCs w:val="24"/>
        </w:rPr>
      </w:pPr>
      <w:r>
        <w:rPr>
          <w:rFonts w:hint="eastAsia"/>
          <w:sz w:val="24"/>
          <w:szCs w:val="24"/>
        </w:rPr>
        <w:t>（1）提供虚假材料谋取中标、成交的。</w:t>
      </w:r>
    </w:p>
    <w:p>
      <w:pPr>
        <w:spacing w:line="500" w:lineRule="exact"/>
        <w:ind w:firstLine="480"/>
        <w:jc w:val="left"/>
        <w:rPr>
          <w:sz w:val="24"/>
          <w:szCs w:val="24"/>
        </w:rPr>
      </w:pPr>
      <w:r>
        <w:rPr>
          <w:rFonts w:hint="eastAsia"/>
          <w:sz w:val="24"/>
          <w:szCs w:val="24"/>
        </w:rPr>
        <w:t>（2）采取不正当手段诋毁、排挤其他供应商的。</w:t>
      </w:r>
    </w:p>
    <w:p>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pPr>
        <w:spacing w:line="500" w:lineRule="exact"/>
        <w:ind w:firstLine="48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pPr>
        <w:spacing w:line="500" w:lineRule="exact"/>
        <w:ind w:firstLine="480"/>
        <w:jc w:val="left"/>
        <w:rPr>
          <w:sz w:val="24"/>
          <w:szCs w:val="24"/>
        </w:rPr>
      </w:pPr>
      <w:r>
        <w:rPr>
          <w:rFonts w:hint="eastAsia"/>
          <w:sz w:val="24"/>
          <w:szCs w:val="24"/>
        </w:rPr>
        <w:t>（5）属于本磋商文件规定的无效情形，但在评审过程中又未被磋商小组发现的。</w:t>
      </w:r>
    </w:p>
    <w:p>
      <w:pPr>
        <w:spacing w:line="500" w:lineRule="exact"/>
        <w:ind w:firstLine="480"/>
        <w:jc w:val="left"/>
        <w:rPr>
          <w:sz w:val="24"/>
          <w:szCs w:val="24"/>
        </w:rPr>
      </w:pPr>
      <w:r>
        <w:rPr>
          <w:rFonts w:hint="eastAsia"/>
          <w:sz w:val="24"/>
          <w:szCs w:val="24"/>
        </w:rPr>
        <w:t>（6）成交后无正当理由拒不与采购人签订政府采购合同或者未按照磋商文件确定的事项签订政府采购合同的。</w:t>
      </w:r>
    </w:p>
    <w:p>
      <w:pPr>
        <w:spacing w:line="500" w:lineRule="exact"/>
        <w:ind w:firstLine="480"/>
        <w:jc w:val="left"/>
        <w:rPr>
          <w:sz w:val="24"/>
          <w:szCs w:val="24"/>
        </w:rPr>
      </w:pPr>
      <w:r>
        <w:rPr>
          <w:rFonts w:hint="eastAsia"/>
          <w:sz w:val="24"/>
          <w:szCs w:val="24"/>
        </w:rPr>
        <w:t>（7）将政府采购合同转包的。</w:t>
      </w:r>
    </w:p>
    <w:p>
      <w:pPr>
        <w:pStyle w:val="41"/>
        <w:spacing w:before="0" w:after="0" w:line="360" w:lineRule="auto"/>
        <w:ind w:firstLine="562"/>
        <w:jc w:val="left"/>
        <w:rPr>
          <w:sz w:val="28"/>
          <w:szCs w:val="28"/>
        </w:rPr>
      </w:pPr>
      <w:r>
        <w:rPr>
          <w:rFonts w:hint="eastAsia"/>
          <w:sz w:val="28"/>
          <w:szCs w:val="28"/>
        </w:rPr>
        <w:t>31、成交通知书</w:t>
      </w:r>
    </w:p>
    <w:p>
      <w:pPr>
        <w:spacing w:line="500" w:lineRule="exact"/>
        <w:ind w:firstLine="480"/>
        <w:jc w:val="left"/>
        <w:rPr>
          <w:sz w:val="24"/>
          <w:szCs w:val="24"/>
        </w:rPr>
      </w:pPr>
      <w:r>
        <w:rPr>
          <w:rFonts w:hint="eastAsia"/>
          <w:sz w:val="24"/>
          <w:szCs w:val="24"/>
        </w:rPr>
        <w:t>31.1 成交结果确定后，</w:t>
      </w:r>
      <w:r>
        <w:rPr>
          <w:rFonts w:hint="eastAsia"/>
          <w:sz w:val="24"/>
          <w:szCs w:val="24"/>
          <w:lang w:eastAsia="zh-CN"/>
        </w:rPr>
        <w:t>采购中心</w:t>
      </w:r>
      <w:r>
        <w:rPr>
          <w:rFonts w:hint="eastAsia"/>
          <w:sz w:val="24"/>
          <w:szCs w:val="24"/>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pPr>
        <w:spacing w:line="500" w:lineRule="exact"/>
        <w:ind w:firstLine="480"/>
        <w:jc w:val="left"/>
        <w:rPr>
          <w:sz w:val="24"/>
          <w:szCs w:val="24"/>
        </w:rPr>
      </w:pPr>
      <w:r>
        <w:rPr>
          <w:rFonts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pPr>
        <w:pStyle w:val="40"/>
        <w:spacing w:before="0" w:after="0" w:line="360" w:lineRule="auto"/>
        <w:rPr>
          <w:rFonts w:ascii="黑体" w:hAnsi="黑体" w:eastAsia="黑体"/>
          <w:b w:val="0"/>
        </w:rPr>
      </w:pPr>
      <w:r>
        <w:rPr>
          <w:rFonts w:hint="eastAsia" w:ascii="黑体" w:hAnsi="黑体" w:eastAsia="黑体"/>
          <w:b w:val="0"/>
        </w:rPr>
        <w:t>七、授予合同</w:t>
      </w:r>
    </w:p>
    <w:p>
      <w:pPr>
        <w:pStyle w:val="41"/>
        <w:spacing w:before="0" w:after="0" w:line="360" w:lineRule="auto"/>
        <w:ind w:firstLine="562"/>
        <w:jc w:val="left"/>
        <w:rPr>
          <w:sz w:val="28"/>
          <w:szCs w:val="28"/>
        </w:rPr>
      </w:pPr>
      <w:r>
        <w:rPr>
          <w:rFonts w:hint="eastAsia"/>
          <w:sz w:val="28"/>
          <w:szCs w:val="28"/>
        </w:rPr>
        <w:t>32、履约保证金</w:t>
      </w:r>
    </w:p>
    <w:p>
      <w:pPr>
        <w:spacing w:line="500" w:lineRule="exact"/>
        <w:ind w:firstLine="480"/>
        <w:jc w:val="left"/>
        <w:rPr>
          <w:sz w:val="24"/>
          <w:szCs w:val="24"/>
        </w:rPr>
      </w:pPr>
      <w:r>
        <w:rPr>
          <w:rFonts w:hint="eastAsia"/>
          <w:sz w:val="24"/>
          <w:szCs w:val="24"/>
        </w:rPr>
        <w:t>32.1 本项目履约保证金要求详见磋商文件第四章 采购需求。</w:t>
      </w:r>
    </w:p>
    <w:p>
      <w:pPr>
        <w:pStyle w:val="41"/>
        <w:spacing w:before="0" w:after="0" w:line="360" w:lineRule="auto"/>
        <w:ind w:firstLine="562"/>
        <w:jc w:val="left"/>
        <w:rPr>
          <w:sz w:val="28"/>
          <w:szCs w:val="28"/>
        </w:rPr>
      </w:pPr>
      <w:r>
        <w:rPr>
          <w:rFonts w:hint="eastAsia"/>
          <w:sz w:val="28"/>
          <w:szCs w:val="28"/>
        </w:rPr>
        <w:t>33、签订合同</w:t>
      </w:r>
    </w:p>
    <w:p>
      <w:pPr>
        <w:spacing w:line="500" w:lineRule="exact"/>
        <w:ind w:firstLine="480"/>
        <w:jc w:val="left"/>
        <w:rPr>
          <w:sz w:val="24"/>
          <w:szCs w:val="24"/>
        </w:rPr>
      </w:pPr>
      <w:r>
        <w:rPr>
          <w:rFonts w:hint="eastAsia"/>
          <w:sz w:val="24"/>
          <w:szCs w:val="24"/>
        </w:rPr>
        <w:t>33.1 成交供应商应当在成交通知书发出之日起三十日内，按照磋商文件和成交供应商响应文件的规定，与采购人签订政府采购合同。</w:t>
      </w:r>
    </w:p>
    <w:p>
      <w:pPr>
        <w:spacing w:line="500" w:lineRule="exact"/>
        <w:ind w:firstLine="480"/>
        <w:jc w:val="left"/>
        <w:rPr>
          <w:sz w:val="24"/>
          <w:szCs w:val="24"/>
        </w:rPr>
      </w:pPr>
      <w:r>
        <w:rPr>
          <w:rFonts w:hint="eastAsia"/>
          <w:sz w:val="24"/>
          <w:szCs w:val="24"/>
        </w:rPr>
        <w:t>33.2 磋商文件、成交供应商的响应文件及磋商采购过程中有关澄清、承诺、磋商响应等文件均应作为合同附件。</w:t>
      </w:r>
    </w:p>
    <w:p>
      <w:pPr>
        <w:spacing w:line="500" w:lineRule="exact"/>
        <w:ind w:firstLine="480"/>
        <w:jc w:val="left"/>
        <w:rPr>
          <w:sz w:val="24"/>
          <w:szCs w:val="24"/>
        </w:rPr>
      </w:pPr>
      <w:r>
        <w:rPr>
          <w:rFonts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p>
    <w:p>
      <w:pPr>
        <w:pStyle w:val="41"/>
        <w:spacing w:before="0" w:after="0" w:line="360" w:lineRule="auto"/>
        <w:ind w:firstLine="562"/>
        <w:jc w:val="left"/>
        <w:rPr>
          <w:sz w:val="28"/>
          <w:szCs w:val="28"/>
        </w:rPr>
      </w:pPr>
      <w:r>
        <w:rPr>
          <w:rFonts w:hint="eastAsia"/>
          <w:sz w:val="28"/>
          <w:szCs w:val="28"/>
        </w:rPr>
        <w:t>34、合同标的的追加</w:t>
      </w:r>
    </w:p>
    <w:p>
      <w:pPr>
        <w:spacing w:line="500" w:lineRule="exact"/>
        <w:ind w:firstLine="480"/>
        <w:jc w:val="left"/>
        <w:rPr>
          <w:sz w:val="24"/>
          <w:szCs w:val="24"/>
        </w:rPr>
      </w:pPr>
      <w:r>
        <w:rPr>
          <w:rFonts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pPr>
        <w:pStyle w:val="41"/>
        <w:spacing w:before="0" w:after="0" w:line="360" w:lineRule="auto"/>
        <w:ind w:firstLine="562"/>
        <w:jc w:val="left"/>
        <w:rPr>
          <w:sz w:val="28"/>
          <w:szCs w:val="28"/>
        </w:rPr>
      </w:pPr>
      <w:r>
        <w:rPr>
          <w:rFonts w:hint="eastAsia"/>
          <w:sz w:val="28"/>
          <w:szCs w:val="28"/>
        </w:rPr>
        <w:t>35、政府采购履约资金扶持政策</w:t>
      </w:r>
    </w:p>
    <w:p>
      <w:pPr>
        <w:spacing w:line="500" w:lineRule="exact"/>
        <w:ind w:firstLine="480"/>
        <w:jc w:val="left"/>
        <w:rPr>
          <w:sz w:val="24"/>
          <w:szCs w:val="24"/>
        </w:rPr>
      </w:pPr>
      <w:r>
        <w:rPr>
          <w:rFonts w:hint="eastAsia"/>
          <w:sz w:val="24"/>
          <w:szCs w:val="24"/>
        </w:rPr>
        <w:t>35.1 成交供应商可凭政府采购合同办理融资贷款，详情请见江苏政府采购网“政采贷”专栏。</w:t>
      </w:r>
    </w:p>
    <w:p>
      <w:pPr>
        <w:pStyle w:val="40"/>
        <w:spacing w:before="0" w:after="0" w:line="360" w:lineRule="auto"/>
        <w:rPr>
          <w:rFonts w:ascii="黑体" w:hAnsi="黑体" w:eastAsia="黑体"/>
          <w:b w:val="0"/>
        </w:rPr>
      </w:pPr>
      <w:r>
        <w:rPr>
          <w:rFonts w:hint="eastAsia" w:ascii="黑体" w:hAnsi="黑体" w:eastAsia="黑体"/>
          <w:b w:val="0"/>
        </w:rPr>
        <w:t>八、询问与质疑</w:t>
      </w:r>
    </w:p>
    <w:p>
      <w:pPr>
        <w:pStyle w:val="41"/>
        <w:spacing w:before="0" w:after="0" w:line="360" w:lineRule="auto"/>
        <w:ind w:firstLine="562"/>
        <w:jc w:val="left"/>
        <w:rPr>
          <w:sz w:val="28"/>
          <w:szCs w:val="28"/>
        </w:rPr>
      </w:pPr>
      <w:r>
        <w:rPr>
          <w:rFonts w:hint="eastAsia"/>
          <w:sz w:val="28"/>
          <w:szCs w:val="28"/>
        </w:rPr>
        <w:t>36、询问</w:t>
      </w:r>
    </w:p>
    <w:p>
      <w:pPr>
        <w:spacing w:line="500" w:lineRule="exact"/>
        <w:ind w:firstLine="480"/>
        <w:jc w:val="left"/>
        <w:rPr>
          <w:sz w:val="24"/>
          <w:szCs w:val="24"/>
        </w:rPr>
      </w:pPr>
      <w:r>
        <w:rPr>
          <w:rFonts w:hint="eastAsia"/>
          <w:sz w:val="24"/>
          <w:szCs w:val="24"/>
        </w:rPr>
        <w:t>36.1 供应商对政府采购活动事项有疑问的，可以提出询问，采购人或者</w:t>
      </w:r>
      <w:r>
        <w:rPr>
          <w:rFonts w:hint="eastAsia"/>
          <w:sz w:val="24"/>
          <w:szCs w:val="24"/>
          <w:lang w:eastAsia="zh-CN"/>
        </w:rPr>
        <w:t>采购中心</w:t>
      </w:r>
      <w:r>
        <w:rPr>
          <w:rFonts w:hint="eastAsia"/>
          <w:sz w:val="24"/>
          <w:szCs w:val="24"/>
        </w:rPr>
        <w:t>应当在3个工作日内对供应商依法提出的询问作出答复，但答复的内容不得涉及商业秘密。供应商提出的询问超出采购人对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pPr>
        <w:pStyle w:val="41"/>
        <w:spacing w:before="0" w:after="0" w:line="360" w:lineRule="auto"/>
        <w:ind w:firstLine="562"/>
        <w:jc w:val="left"/>
        <w:rPr>
          <w:sz w:val="28"/>
          <w:szCs w:val="28"/>
        </w:rPr>
      </w:pPr>
      <w:r>
        <w:rPr>
          <w:rFonts w:hint="eastAsia"/>
          <w:sz w:val="28"/>
          <w:szCs w:val="28"/>
        </w:rPr>
        <w:t>37、质疑提出</w:t>
      </w:r>
    </w:p>
    <w:p>
      <w:pPr>
        <w:spacing w:line="500" w:lineRule="exact"/>
        <w:ind w:firstLine="480"/>
        <w:jc w:val="left"/>
        <w:rPr>
          <w:sz w:val="24"/>
          <w:szCs w:val="24"/>
        </w:rPr>
      </w:pPr>
      <w:r>
        <w:rPr>
          <w:rFonts w:hint="eastAsia"/>
          <w:sz w:val="24"/>
          <w:szCs w:val="24"/>
        </w:rPr>
        <w:t>37.1 提出质疑的供应商应当是参与所质疑项目采购活动的供应商。</w:t>
      </w:r>
    </w:p>
    <w:p>
      <w:pPr>
        <w:spacing w:line="500" w:lineRule="exact"/>
        <w:ind w:firstLine="480"/>
        <w:jc w:val="left"/>
        <w:rPr>
          <w:sz w:val="24"/>
          <w:szCs w:val="24"/>
        </w:rPr>
      </w:pPr>
      <w:r>
        <w:rPr>
          <w:rFonts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采购中心</w:t>
      </w:r>
      <w:r>
        <w:rPr>
          <w:rFonts w:hint="eastAsia"/>
          <w:sz w:val="24"/>
          <w:szCs w:val="24"/>
        </w:rPr>
        <w:t>提出质疑。</w:t>
      </w:r>
    </w:p>
    <w:p>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pPr>
        <w:spacing w:line="500" w:lineRule="exact"/>
        <w:ind w:firstLine="480"/>
        <w:jc w:val="left"/>
        <w:rPr>
          <w:sz w:val="24"/>
          <w:szCs w:val="24"/>
        </w:rPr>
      </w:pPr>
      <w:r>
        <w:rPr>
          <w:rFonts w:hint="eastAsia"/>
          <w:sz w:val="24"/>
          <w:szCs w:val="24"/>
        </w:rPr>
        <w:t>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pPr>
        <w:spacing w:line="500" w:lineRule="exact"/>
        <w:ind w:firstLine="480"/>
        <w:jc w:val="left"/>
        <w:rPr>
          <w:sz w:val="24"/>
          <w:szCs w:val="24"/>
        </w:rPr>
      </w:pPr>
      <w:r>
        <w:rPr>
          <w:rFonts w:hint="eastAsia"/>
          <w:sz w:val="24"/>
          <w:szCs w:val="24"/>
        </w:rPr>
        <w:t>37.4 质疑函的接收方式为供应商书面原件提交。联系部门、联系电话和通讯地址详见磋商文件第一章。质疑实行实名制，不得进行虚假、恶意质疑。</w:t>
      </w:r>
    </w:p>
    <w:p>
      <w:pPr>
        <w:spacing w:line="500" w:lineRule="exact"/>
        <w:ind w:firstLine="480"/>
        <w:jc w:val="left"/>
        <w:rPr>
          <w:sz w:val="24"/>
          <w:szCs w:val="24"/>
        </w:rPr>
      </w:pPr>
      <w:r>
        <w:rPr>
          <w:rFonts w:hint="eastAsia"/>
          <w:sz w:val="24"/>
          <w:szCs w:val="24"/>
        </w:rPr>
        <w:t>37.5 质疑函应当使用范本，详见磋商文件第六章。供应商提出质疑应当提交质疑函和必要的证明材料，应当包括下列内容：</w:t>
      </w:r>
    </w:p>
    <w:p>
      <w:pPr>
        <w:spacing w:line="500" w:lineRule="exact"/>
        <w:ind w:firstLine="480"/>
        <w:jc w:val="left"/>
        <w:rPr>
          <w:sz w:val="24"/>
          <w:szCs w:val="24"/>
        </w:rPr>
      </w:pPr>
      <w:r>
        <w:rPr>
          <w:rFonts w:hint="eastAsia"/>
          <w:sz w:val="24"/>
          <w:szCs w:val="24"/>
        </w:rPr>
        <w:t>（1）供应商的姓名或者名称、地址、邮编、联系人及联系电话；</w:t>
      </w:r>
    </w:p>
    <w:p>
      <w:pPr>
        <w:spacing w:line="500" w:lineRule="exact"/>
        <w:ind w:firstLine="480"/>
        <w:jc w:val="left"/>
        <w:rPr>
          <w:sz w:val="24"/>
          <w:szCs w:val="24"/>
        </w:rPr>
      </w:pPr>
      <w:r>
        <w:rPr>
          <w:rFonts w:hint="eastAsia"/>
          <w:sz w:val="24"/>
          <w:szCs w:val="24"/>
        </w:rPr>
        <w:t>（2）质疑项目的名称、编号；</w:t>
      </w:r>
    </w:p>
    <w:p>
      <w:pPr>
        <w:spacing w:line="500" w:lineRule="exact"/>
        <w:ind w:firstLine="480"/>
        <w:jc w:val="left"/>
        <w:rPr>
          <w:sz w:val="24"/>
          <w:szCs w:val="24"/>
        </w:rPr>
      </w:pPr>
      <w:r>
        <w:rPr>
          <w:rFonts w:hint="eastAsia"/>
          <w:sz w:val="24"/>
          <w:szCs w:val="24"/>
        </w:rPr>
        <w:t>（3）具体、明确的质疑事项和与质疑事项相关的请求；</w:t>
      </w:r>
    </w:p>
    <w:p>
      <w:pPr>
        <w:spacing w:line="500" w:lineRule="exact"/>
        <w:ind w:firstLine="480"/>
        <w:jc w:val="left"/>
        <w:rPr>
          <w:sz w:val="24"/>
          <w:szCs w:val="24"/>
        </w:rPr>
      </w:pPr>
      <w:r>
        <w:rPr>
          <w:rFonts w:hint="eastAsia"/>
          <w:sz w:val="24"/>
          <w:szCs w:val="24"/>
        </w:rPr>
        <w:t>（4）事实依据；</w:t>
      </w:r>
    </w:p>
    <w:p>
      <w:pPr>
        <w:spacing w:line="500" w:lineRule="exact"/>
        <w:ind w:firstLine="480"/>
        <w:jc w:val="left"/>
        <w:rPr>
          <w:sz w:val="24"/>
          <w:szCs w:val="24"/>
        </w:rPr>
      </w:pPr>
      <w:r>
        <w:rPr>
          <w:rFonts w:hint="eastAsia"/>
          <w:sz w:val="24"/>
          <w:szCs w:val="24"/>
        </w:rPr>
        <w:t>（5）必要的法律依据；</w:t>
      </w:r>
    </w:p>
    <w:p>
      <w:pPr>
        <w:spacing w:line="500" w:lineRule="exact"/>
        <w:ind w:firstLine="480"/>
        <w:jc w:val="left"/>
        <w:rPr>
          <w:sz w:val="24"/>
          <w:szCs w:val="24"/>
        </w:rPr>
      </w:pPr>
      <w:r>
        <w:rPr>
          <w:rFonts w:hint="eastAsia"/>
          <w:sz w:val="24"/>
          <w:szCs w:val="24"/>
        </w:rPr>
        <w:t>（6）提出质疑的日期；</w:t>
      </w:r>
    </w:p>
    <w:p>
      <w:pPr>
        <w:spacing w:line="500" w:lineRule="exact"/>
        <w:ind w:firstLine="480"/>
        <w:jc w:val="left"/>
        <w:rPr>
          <w:sz w:val="24"/>
          <w:szCs w:val="24"/>
        </w:rPr>
      </w:pPr>
      <w:r>
        <w:rPr>
          <w:rFonts w:hint="eastAsia"/>
          <w:sz w:val="24"/>
          <w:szCs w:val="24"/>
        </w:rPr>
        <w:t>（7）必要的证明材料；</w:t>
      </w:r>
    </w:p>
    <w:p>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pPr>
        <w:pStyle w:val="41"/>
        <w:spacing w:before="0" w:after="0" w:line="360" w:lineRule="auto"/>
        <w:ind w:firstLine="562"/>
        <w:jc w:val="left"/>
        <w:rPr>
          <w:sz w:val="24"/>
          <w:szCs w:val="24"/>
        </w:rPr>
      </w:pPr>
      <w:r>
        <w:rPr>
          <w:rFonts w:hint="eastAsia"/>
          <w:sz w:val="28"/>
          <w:szCs w:val="28"/>
        </w:rPr>
        <w:t>38、质疑函的受理和答复</w:t>
      </w:r>
    </w:p>
    <w:p>
      <w:pPr>
        <w:spacing w:line="500" w:lineRule="exact"/>
        <w:ind w:firstLine="480"/>
        <w:jc w:val="left"/>
        <w:rPr>
          <w:sz w:val="24"/>
          <w:szCs w:val="24"/>
        </w:rPr>
      </w:pPr>
      <w:r>
        <w:rPr>
          <w:rFonts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pPr>
        <w:spacing w:line="500" w:lineRule="exact"/>
        <w:ind w:firstLine="480"/>
        <w:jc w:val="left"/>
        <w:rPr>
          <w:sz w:val="24"/>
          <w:szCs w:val="24"/>
        </w:rPr>
      </w:pPr>
      <w:r>
        <w:rPr>
          <w:rFonts w:hint="eastAsia"/>
          <w:sz w:val="24"/>
          <w:szCs w:val="24"/>
        </w:rPr>
        <w:t>38.2 对符合法定要求的质疑，采购人、</w:t>
      </w:r>
      <w:r>
        <w:rPr>
          <w:rFonts w:hint="eastAsia"/>
          <w:sz w:val="24"/>
          <w:szCs w:val="24"/>
          <w:lang w:eastAsia="zh-CN"/>
        </w:rPr>
        <w:t>采购中心</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pPr>
        <w:spacing w:line="500" w:lineRule="exact"/>
        <w:ind w:firstLine="480"/>
        <w:jc w:val="left"/>
        <w:rPr>
          <w:sz w:val="24"/>
          <w:szCs w:val="24"/>
        </w:rPr>
      </w:pPr>
      <w:r>
        <w:rPr>
          <w:rFonts w:hint="eastAsia"/>
          <w:sz w:val="24"/>
          <w:szCs w:val="24"/>
        </w:rPr>
        <w:t>38.3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有权要求其补充必要的证明材料，质疑供应商未在法定时间内补充必要的证明材料的，不利后果由质疑供应商自行承担。</w:t>
      </w:r>
    </w:p>
    <w:p>
      <w:pPr>
        <w:spacing w:line="500" w:lineRule="exact"/>
        <w:ind w:firstLine="480"/>
        <w:jc w:val="left"/>
        <w:rPr>
          <w:sz w:val="24"/>
          <w:szCs w:val="24"/>
        </w:rPr>
      </w:pPr>
      <w:r>
        <w:rPr>
          <w:rFonts w:hint="eastAsia"/>
          <w:sz w:val="24"/>
          <w:szCs w:val="24"/>
        </w:rPr>
        <w:t>38.4 以下情形的质疑依法不予受理：</w:t>
      </w:r>
    </w:p>
    <w:p>
      <w:pPr>
        <w:spacing w:line="500" w:lineRule="exact"/>
        <w:ind w:firstLine="480"/>
        <w:jc w:val="left"/>
        <w:rPr>
          <w:sz w:val="24"/>
          <w:szCs w:val="24"/>
        </w:rPr>
      </w:pPr>
      <w:r>
        <w:rPr>
          <w:rFonts w:hint="eastAsia"/>
          <w:sz w:val="24"/>
          <w:szCs w:val="24"/>
        </w:rPr>
        <w:t>（1）内容不符合《政府采购质疑和投诉办法》第十二条规定的质疑。</w:t>
      </w:r>
    </w:p>
    <w:p>
      <w:pPr>
        <w:spacing w:line="500" w:lineRule="exact"/>
        <w:ind w:firstLine="480"/>
        <w:jc w:val="left"/>
        <w:rPr>
          <w:sz w:val="24"/>
          <w:szCs w:val="24"/>
        </w:rPr>
      </w:pPr>
      <w:r>
        <w:rPr>
          <w:rFonts w:hint="eastAsia"/>
          <w:sz w:val="24"/>
          <w:szCs w:val="24"/>
        </w:rPr>
        <w:t>（2）超出政府采购法定期限的质疑。</w:t>
      </w:r>
    </w:p>
    <w:p>
      <w:pPr>
        <w:spacing w:line="500" w:lineRule="exact"/>
        <w:ind w:firstLine="480"/>
        <w:jc w:val="left"/>
        <w:rPr>
          <w:sz w:val="24"/>
          <w:szCs w:val="24"/>
        </w:rPr>
      </w:pPr>
      <w:r>
        <w:rPr>
          <w:rFonts w:hint="eastAsia"/>
          <w:sz w:val="24"/>
          <w:szCs w:val="24"/>
        </w:rPr>
        <w:t>（3）以传真、电子邮件等方式提交的非原件形式的质疑。</w:t>
      </w:r>
    </w:p>
    <w:p>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pPr>
        <w:spacing w:line="500" w:lineRule="exact"/>
        <w:ind w:firstLine="480"/>
        <w:jc w:val="left"/>
        <w:rPr>
          <w:rFonts w:hint="eastAsia"/>
          <w:sz w:val="24"/>
          <w:szCs w:val="24"/>
        </w:rPr>
      </w:pPr>
      <w:r>
        <w:rPr>
          <w:rFonts w:hint="eastAsia"/>
          <w:sz w:val="24"/>
          <w:szCs w:val="24"/>
        </w:rPr>
        <w:t>38.5 采购人、</w:t>
      </w:r>
      <w:r>
        <w:rPr>
          <w:rFonts w:hint="eastAsia"/>
          <w:sz w:val="24"/>
          <w:szCs w:val="24"/>
          <w:lang w:eastAsia="zh-CN"/>
        </w:rPr>
        <w:t>采购中心</w:t>
      </w:r>
      <w:r>
        <w:rPr>
          <w:rFonts w:hint="eastAsia"/>
          <w:sz w:val="24"/>
          <w:szCs w:val="24"/>
        </w:rPr>
        <w:t>依法受理的质疑，将按照政府采购有关规定，在法定期限内作出答复。</w:t>
      </w:r>
    </w:p>
    <w:p>
      <w:pPr>
        <w:spacing w:line="500" w:lineRule="exact"/>
        <w:ind w:firstLine="480"/>
        <w:jc w:val="left"/>
        <w:rPr>
          <w:rFonts w:hint="eastAsia"/>
          <w:sz w:val="24"/>
          <w:szCs w:val="24"/>
        </w:rPr>
      </w:pPr>
      <w:r>
        <w:rPr>
          <w:rFonts w:hint="eastAsia"/>
          <w:sz w:val="24"/>
          <w:szCs w:val="24"/>
        </w:rPr>
        <w:t>38.6 因质疑供应商所留联系方式无效，或者无故不接收，导致质疑答复结果无法送达的，视为质疑供应商主动放弃知晓质疑答复结果的权利。</w:t>
      </w:r>
    </w:p>
    <w:p>
      <w:pPr>
        <w:spacing w:line="500" w:lineRule="exact"/>
        <w:ind w:firstLine="480"/>
        <w:jc w:val="left"/>
        <w:rPr>
          <w:sz w:val="24"/>
          <w:szCs w:val="24"/>
        </w:rPr>
      </w:pPr>
      <w:r>
        <w:rPr>
          <w:rFonts w:hint="eastAsia"/>
          <w:sz w:val="24"/>
          <w:szCs w:val="24"/>
        </w:rPr>
        <w:t>38.7 未尽事宜，依照有关法律、法规执行。</w:t>
      </w:r>
    </w:p>
    <w:p>
      <w:pPr>
        <w:pStyle w:val="40"/>
        <w:spacing w:before="0" w:after="0" w:line="360" w:lineRule="auto"/>
        <w:rPr>
          <w:rFonts w:hint="eastAsia" w:ascii="黑体" w:hAnsi="黑体" w:eastAsia="黑体"/>
          <w:b w:val="0"/>
        </w:rPr>
      </w:pPr>
      <w:r>
        <w:rPr>
          <w:rFonts w:hint="eastAsia" w:ascii="黑体" w:hAnsi="黑体" w:eastAsia="黑体"/>
          <w:b w:val="0"/>
        </w:rPr>
        <w:t>九、政府采购政策功能</w:t>
      </w:r>
    </w:p>
    <w:p>
      <w:pPr>
        <w:pStyle w:val="4"/>
        <w:spacing w:before="0" w:after="0" w:line="360" w:lineRule="auto"/>
        <w:ind w:firstLine="562"/>
        <w:jc w:val="left"/>
        <w:rPr>
          <w:sz w:val="28"/>
          <w:szCs w:val="28"/>
        </w:rPr>
      </w:pPr>
      <w:r>
        <w:rPr>
          <w:sz w:val="28"/>
          <w:szCs w:val="28"/>
        </w:rPr>
        <w:t>3</w:t>
      </w:r>
      <w:r>
        <w:rPr>
          <w:rFonts w:hint="eastAsia"/>
          <w:sz w:val="28"/>
          <w:szCs w:val="28"/>
          <w:lang w:val="en-US" w:eastAsia="zh-CN"/>
        </w:rPr>
        <w:t>9</w:t>
      </w:r>
      <w:r>
        <w:rPr>
          <w:sz w:val="28"/>
          <w:szCs w:val="28"/>
        </w:rPr>
        <w:t>、促进中小企业发展</w:t>
      </w:r>
    </w:p>
    <w:p>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9</w:t>
      </w:r>
      <w:r>
        <w:rPr>
          <w:rFonts w:ascii="Times New Roman" w:hAnsi="Times New Roman"/>
          <w:sz w:val="24"/>
          <w:szCs w:val="24"/>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9</w:t>
      </w:r>
      <w:r>
        <w:rPr>
          <w:rFonts w:ascii="Times New Roman" w:hAnsi="Times New Roman"/>
          <w:sz w:val="24"/>
          <w:szCs w:val="24"/>
        </w:rPr>
        <w:t>.2 投标人提供的货物全部由小型企业、微型企业、残疾人福利性单位、监狱企业制造的，对其报价给予10%的扣除，用扣除后的价格参与评审。提供的货物既有小微型企业制造，也有大中型企业制造的，不享受该扶持政策。</w:t>
      </w:r>
    </w:p>
    <w:p>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9</w:t>
      </w:r>
      <w:r>
        <w:rPr>
          <w:rFonts w:ascii="Times New Roman" w:hAnsi="Times New Roman"/>
          <w:sz w:val="24"/>
          <w:szCs w:val="24"/>
        </w:rPr>
        <w:t>.3 参加本项目政府采购活动的供应商享受价格评审优惠的应当提供的材料：（1）投标人提供的货物全部由小型企业、微型企业制造的，提供《中小企业声明函》（第六章 投标文件格式）。</w:t>
      </w:r>
    </w:p>
    <w:p>
      <w:pPr>
        <w:spacing w:line="360" w:lineRule="auto"/>
        <w:ind w:firstLine="480"/>
        <w:jc w:val="left"/>
        <w:rPr>
          <w:rFonts w:ascii="Times New Roman" w:hAnsi="Times New Roman"/>
          <w:sz w:val="24"/>
          <w:szCs w:val="24"/>
        </w:rPr>
      </w:pPr>
      <w:r>
        <w:rPr>
          <w:rFonts w:ascii="Times New Roman" w:hAnsi="Times New Roman"/>
          <w:sz w:val="24"/>
          <w:szCs w:val="24"/>
        </w:rPr>
        <w:t>（2）符合《关于促进残疾人就业政府采购政策的通知》（财库〔2017〕141号）规定的条件并提供《残疾人福利性单位声明函》（第六章 投标文件格式）的残疾人福利性单位视同小型、微型企业。</w:t>
      </w:r>
    </w:p>
    <w:p>
      <w:pPr>
        <w:spacing w:line="360" w:lineRule="auto"/>
        <w:ind w:firstLine="480"/>
        <w:jc w:val="left"/>
        <w:rPr>
          <w:rFonts w:ascii="Times New Roman" w:hAnsi="Times New Roman"/>
          <w:sz w:val="24"/>
          <w:szCs w:val="24"/>
        </w:rPr>
      </w:pPr>
      <w:r>
        <w:rPr>
          <w:rFonts w:ascii="Times New Roman" w:hAnsi="Times New Roman"/>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lang w:val="en-US" w:eastAsia="zh-CN"/>
        </w:rPr>
        <w:t>9</w:t>
      </w:r>
      <w:r>
        <w:rPr>
          <w:rFonts w:ascii="Times New Roman" w:hAnsi="Times New Roman"/>
          <w:sz w:val="24"/>
          <w:szCs w:val="24"/>
        </w:rPr>
        <w:t>.4 残疾人福利单位、监狱企业属于小型、微型企业的，不重复享受政策。</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3</w:t>
      </w:r>
      <w:r>
        <w:rPr>
          <w:rFonts w:hint="eastAsia" w:ascii="Calibri" w:hAnsi="Calibri" w:eastAsia="宋体" w:cs="Times New Roman"/>
          <w:sz w:val="24"/>
          <w:szCs w:val="24"/>
          <w:lang w:val="en-US" w:eastAsia="zh-CN"/>
        </w:rPr>
        <w:t>9</w:t>
      </w:r>
      <w:r>
        <w:rPr>
          <w:rFonts w:hint="eastAsia" w:ascii="Calibri" w:hAnsi="Calibri" w:eastAsia="宋体" w:cs="Times New Roman"/>
          <w:sz w:val="24"/>
          <w:szCs w:val="24"/>
        </w:rPr>
        <w:t>.5享受扶持政策获得政府采购合同的，小微型企业不得将合同分包给大中型企业，中型企业不得将合同分包给大型企业。</w:t>
      </w:r>
    </w:p>
    <w:p/>
    <w:p>
      <w:pPr>
        <w:keepNext w:val="0"/>
        <w:keepLines w:val="0"/>
        <w:pageBreakBefore w:val="0"/>
        <w:widowControl w:val="0"/>
        <w:numPr>
          <w:ilvl w:val="0"/>
          <w:numId w:val="0"/>
        </w:numPr>
        <w:spacing w:line="500" w:lineRule="exact"/>
        <w:ind w:firstLine="482"/>
        <w:jc w:val="both"/>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40、采购本国产品的支持政策</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40.3 供应商需按照招标文件的要求提供《关于符合本国产品标准的声明函》（以下简称《声明函》），如不提供将不享受本国产品价格评审优惠。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40.4 供应商需在《声明函》中逐一、准确填写产品名称、厂名、生产厂址三项信息（《声明函》中用斜线划除的地方无需填写），三项信息中任意一项未填写的视为该项产品不符合本国产品标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40.6政府采购中的本国产品标准及其他未尽事宜详见《国务院办公厅关于在政府采购中实施本国产品标准及相关政策的通知》（国办发〔2025〕34号）。</w:t>
      </w:r>
    </w:p>
    <w:p>
      <w:pPr>
        <w:keepNext/>
        <w:keepLines/>
        <w:widowControl w:val="0"/>
        <w:spacing w:before="0" w:after="0" w:line="360" w:lineRule="auto"/>
        <w:ind w:firstLine="562"/>
        <w:jc w:val="left"/>
        <w:outlineLvl w:val="2"/>
        <w:rPr>
          <w:rFonts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41、支持绿色发展</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41</w:t>
      </w:r>
      <w:r>
        <w:rPr>
          <w:rFonts w:hint="eastAsia" w:ascii="Calibri" w:hAnsi="Calibri" w:eastAsia="宋体" w:cs="Times New Roman"/>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41</w:t>
      </w:r>
      <w:r>
        <w:rPr>
          <w:rFonts w:hint="eastAsia" w:ascii="Calibri" w:hAnsi="Calibri" w:eastAsia="宋体" w:cs="Times New Roman"/>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keepNext/>
        <w:keepLines/>
        <w:widowControl w:val="0"/>
        <w:spacing w:before="0" w:after="0" w:line="360" w:lineRule="auto"/>
        <w:ind w:firstLine="562"/>
        <w:jc w:val="left"/>
        <w:outlineLvl w:val="2"/>
        <w:rPr>
          <w:rFonts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42、政府采购需求标准</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42</w:t>
      </w:r>
      <w:r>
        <w:rPr>
          <w:rFonts w:hint="eastAsia" w:ascii="Calibri" w:hAnsi="Calibri" w:eastAsia="宋体" w:cs="Times New Roman"/>
          <w:sz w:val="24"/>
          <w:szCs w:val="24"/>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keepNext/>
        <w:keepLines/>
        <w:widowControl w:val="0"/>
        <w:spacing w:before="0" w:after="0" w:line="360" w:lineRule="auto"/>
        <w:ind w:firstLine="562"/>
        <w:jc w:val="left"/>
        <w:outlineLvl w:val="2"/>
        <w:rPr>
          <w:rFonts w:hint="default" w:ascii="Calibri" w:hAnsi="Calibri" w:eastAsia="Arial" w:cs="Times New Roman"/>
          <w:b/>
          <w:bCs/>
          <w:sz w:val="28"/>
          <w:szCs w:val="28"/>
          <w:lang w:val="en-US" w:eastAsia="zh-CN" w:bidi="ar-SA"/>
        </w:rPr>
      </w:pPr>
      <w:bookmarkStart w:id="2" w:name="_Toc163482575"/>
      <w:r>
        <w:rPr>
          <w:rFonts w:hint="eastAsia" w:ascii="Calibri" w:hAnsi="Calibri" w:eastAsia="Arial" w:cs="Times New Roman"/>
          <w:b/>
          <w:bCs/>
          <w:sz w:val="28"/>
          <w:szCs w:val="28"/>
          <w:lang w:val="en-US" w:eastAsia="zh-CN" w:bidi="ar-SA"/>
        </w:rPr>
        <w:t>解释权</w:t>
      </w:r>
    </w:p>
    <w:p>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Calibri" w:hAnsi="Calibri" w:eastAsia="Arial" w:cs="Times New Roman"/>
          <w:sz w:val="24"/>
          <w:szCs w:val="24"/>
        </w:rPr>
        <w:t>》及相关法律法规编制，解释权属采购人。</w:t>
      </w:r>
    </w:p>
    <w:p>
      <w:pPr>
        <w:spacing w:line="50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招标文件</w:t>
      </w:r>
      <w:r>
        <w:rPr>
          <w:rFonts w:hint="eastAsia" w:ascii="Calibri" w:hAnsi="Calibri" w:eastAsia="Arial" w:cs="Times New Roman"/>
          <w:sz w:val="24"/>
          <w:szCs w:val="24"/>
        </w:rPr>
        <w:t>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bookmarkEnd w:id="2"/>
    <w:p>
      <w:pPr>
        <w:pStyle w:val="2"/>
        <w:spacing w:beforeLines="50" w:afterLines="50" w:line="360" w:lineRule="auto"/>
        <w:jc w:val="center"/>
        <w:rPr>
          <w:rFonts w:ascii="宋体" w:hAnsi="宋体" w:cs="宋体"/>
          <w:b/>
          <w:bCs/>
          <w:spacing w:val="-20"/>
          <w:kern w:val="44"/>
          <w:sz w:val="48"/>
          <w:szCs w:val="48"/>
        </w:rPr>
      </w:pPr>
      <w:r>
        <w:rPr>
          <w:sz w:val="24"/>
          <w:szCs w:val="24"/>
        </w:rPr>
        <w:br w:type="page"/>
      </w:r>
      <w:bookmarkStart w:id="3" w:name="_Toc24606"/>
      <w:r>
        <w:rPr>
          <w:rFonts w:hint="eastAsia" w:ascii="黑体" w:hAnsi="黑体" w:eastAsia="黑体"/>
          <w:b w:val="0"/>
        </w:rPr>
        <w:t>第三章  合同文本</w:t>
      </w:r>
      <w:bookmarkEnd w:id="3"/>
      <w:bookmarkStart w:id="4" w:name="_Toc3995"/>
    </w:p>
    <w:p>
      <w:pPr>
        <w:pStyle w:val="8"/>
        <w:spacing w:after="0"/>
        <w:jc w:val="center"/>
        <w:rPr>
          <w:rFonts w:ascii="宋体" w:hAnsi="宋体" w:cs="宋体"/>
          <w:b/>
          <w:bCs/>
          <w:spacing w:val="-20"/>
          <w:kern w:val="44"/>
          <w:sz w:val="48"/>
          <w:szCs w:val="48"/>
        </w:rPr>
      </w:pPr>
    </w:p>
    <w:p>
      <w:pPr>
        <w:pStyle w:val="8"/>
        <w:spacing w:after="0"/>
        <w:jc w:val="center"/>
        <w:rPr>
          <w:rFonts w:ascii="宋体" w:hAnsi="宋体" w:cs="宋体"/>
          <w:b/>
          <w:bCs/>
          <w:spacing w:val="-20"/>
          <w:kern w:val="44"/>
          <w:sz w:val="48"/>
          <w:szCs w:val="48"/>
        </w:rPr>
      </w:pPr>
    </w:p>
    <w:p>
      <w:pPr>
        <w:pStyle w:val="8"/>
        <w:spacing w:after="0"/>
        <w:jc w:val="center"/>
        <w:rPr>
          <w:rFonts w:ascii="宋体" w:hAnsi="宋体" w:cs="宋体"/>
          <w:b/>
          <w:bCs/>
          <w:spacing w:val="-20"/>
          <w:kern w:val="44"/>
          <w:sz w:val="48"/>
          <w:szCs w:val="48"/>
        </w:rPr>
      </w:pPr>
      <w:r>
        <w:rPr>
          <w:rFonts w:hint="eastAsia" w:ascii="宋体" w:hAnsi="宋体" w:cs="宋体"/>
          <w:b/>
          <w:bCs/>
          <w:spacing w:val="-20"/>
          <w:kern w:val="44"/>
          <w:sz w:val="48"/>
          <w:szCs w:val="48"/>
          <w:lang w:eastAsia="zh-CN"/>
        </w:rPr>
        <w:t>东海县</w:t>
      </w:r>
      <w:r>
        <w:rPr>
          <w:rFonts w:hint="eastAsia" w:ascii="宋体" w:hAnsi="宋体" w:cs="宋体"/>
          <w:b/>
          <w:bCs/>
          <w:spacing w:val="-20"/>
          <w:kern w:val="44"/>
          <w:sz w:val="48"/>
          <w:szCs w:val="48"/>
        </w:rPr>
        <w:t>政府采购货物买卖合同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highlight w:val="none"/>
        </w:rPr>
      </w:pPr>
    </w:p>
    <w:p>
      <w:pPr>
        <w:spacing w:line="360" w:lineRule="auto"/>
        <w:ind w:left="420" w:leftChars="200"/>
        <w:rPr>
          <w:rFonts w:hint="default" w:eastAsiaTheme="minorEastAsia"/>
          <w:sz w:val="32"/>
          <w:szCs w:val="32"/>
          <w:highlight w:val="none"/>
          <w:u w:val="single"/>
          <w:lang w:val="en-US" w:eastAsia="zh-CN"/>
        </w:rPr>
      </w:pPr>
      <w:r>
        <w:rPr>
          <w:rFonts w:hint="eastAsia" w:ascii="宋体" w:hAnsi="宋体" w:cs="宋体"/>
          <w:kern w:val="0"/>
          <w:sz w:val="32"/>
          <w:szCs w:val="32"/>
          <w:highlight w:val="none"/>
        </w:rPr>
        <w:t>项目名称：</w:t>
      </w:r>
      <w:r>
        <w:rPr>
          <w:rFonts w:hint="eastAsia" w:ascii="宋体" w:hAnsi="宋体" w:cs="宋体"/>
          <w:kern w:val="0"/>
          <w:sz w:val="32"/>
          <w:szCs w:val="32"/>
          <w:highlight w:val="none"/>
          <w:u w:val="single"/>
          <w:lang w:val="en-US" w:eastAsia="zh-CN"/>
        </w:rPr>
        <w:t>东海县自然资源和规划局机关办公楼电梯采购更换项目</w:t>
      </w:r>
    </w:p>
    <w:p>
      <w:pPr>
        <w:spacing w:line="360" w:lineRule="auto"/>
        <w:ind w:left="420" w:leftChars="200"/>
        <w:rPr>
          <w:sz w:val="32"/>
          <w:szCs w:val="32"/>
          <w:highlight w:val="none"/>
          <w:u w:val="single"/>
        </w:rPr>
      </w:pPr>
      <w:r>
        <w:rPr>
          <w:rFonts w:hint="eastAsia"/>
          <w:sz w:val="32"/>
          <w:szCs w:val="32"/>
          <w:highlight w:val="none"/>
        </w:rPr>
        <w:t>合同编号：</w:t>
      </w:r>
    </w:p>
    <w:p>
      <w:pPr>
        <w:spacing w:line="360" w:lineRule="auto"/>
        <w:ind w:left="420" w:leftChars="200"/>
        <w:rPr>
          <w:rFonts w:hint="default" w:eastAsiaTheme="minorEastAsia"/>
          <w:sz w:val="32"/>
          <w:szCs w:val="32"/>
          <w:highlight w:val="none"/>
          <w:lang w:val="en-US" w:eastAsia="zh-CN"/>
        </w:rPr>
      </w:pPr>
      <w:r>
        <w:rPr>
          <w:rFonts w:hint="eastAsia"/>
          <w:sz w:val="32"/>
          <w:szCs w:val="32"/>
          <w:highlight w:val="none"/>
        </w:rPr>
        <w:t>甲    方：</w:t>
      </w:r>
      <w:r>
        <w:rPr>
          <w:rFonts w:hint="eastAsia"/>
          <w:sz w:val="32"/>
          <w:szCs w:val="32"/>
          <w:highlight w:val="none"/>
          <w:u w:val="single"/>
          <w:lang w:val="en-US" w:eastAsia="zh-CN"/>
        </w:rPr>
        <w:t>东海县自然资源和规划局</w:t>
      </w:r>
    </w:p>
    <w:p>
      <w:pPr>
        <w:spacing w:line="360" w:lineRule="auto"/>
        <w:ind w:left="420" w:leftChars="200"/>
        <w:rPr>
          <w:sz w:val="32"/>
          <w:szCs w:val="32"/>
          <w:highlight w:val="none"/>
          <w:u w:val="single"/>
        </w:rPr>
      </w:pPr>
      <w:r>
        <w:rPr>
          <w:rFonts w:hint="eastAsia"/>
          <w:sz w:val="32"/>
          <w:szCs w:val="32"/>
          <w:highlight w:val="none"/>
        </w:rPr>
        <w:t>乙    方：</w:t>
      </w:r>
    </w:p>
    <w:p>
      <w:pPr>
        <w:spacing w:line="360" w:lineRule="auto"/>
        <w:ind w:left="420" w:leftChars="200"/>
        <w:rPr>
          <w:sz w:val="32"/>
          <w:szCs w:val="32"/>
        </w:rPr>
      </w:pPr>
      <w:r>
        <w:rPr>
          <w:rFonts w:hint="eastAsia"/>
          <w:sz w:val="32"/>
          <w:szCs w:val="32"/>
        </w:rPr>
        <w:t>签订时间：</w:t>
      </w:r>
    </w:p>
    <w:p>
      <w:pPr>
        <w:widowControl/>
        <w:jc w:val="left"/>
        <w:rPr>
          <w:rFonts w:eastAsia="黑体"/>
          <w:sz w:val="44"/>
          <w:szCs w:val="44"/>
        </w:rPr>
      </w:pPr>
      <w:r>
        <w:rPr>
          <w:rFonts w:eastAsia="黑体"/>
          <w:sz w:val="44"/>
          <w:szCs w:val="44"/>
        </w:rPr>
        <w:br w:type="page"/>
      </w:r>
    </w:p>
    <w:p>
      <w:pPr>
        <w:jc w:val="center"/>
        <w:rPr>
          <w:rFonts w:ascii="黑体" w:hAnsi="黑体" w:eastAsia="黑体"/>
          <w:sz w:val="44"/>
          <w:szCs w:val="44"/>
        </w:rPr>
      </w:pPr>
      <w:r>
        <w:rPr>
          <w:rFonts w:hint="eastAsia" w:ascii="黑体" w:hAnsi="黑体" w:eastAsia="黑体"/>
          <w:sz w:val="44"/>
          <w:szCs w:val="44"/>
        </w:rPr>
        <w:t>使用说明</w:t>
      </w:r>
    </w:p>
    <w:p>
      <w:pPr>
        <w:ind w:firstLine="640" w:firstLineChars="200"/>
        <w:rPr>
          <w:rFonts w:ascii="仿宋" w:hAnsi="仿宋" w:eastAsia="仿宋" w:cs="仿宋_GB2312"/>
          <w:sz w:val="32"/>
          <w:szCs w:val="32"/>
        </w:rPr>
      </w:pPr>
      <w:r>
        <w:rPr>
          <w:rFonts w:hint="eastAsia" w:ascii="仿宋" w:hAnsi="仿宋" w:eastAsia="仿宋" w:cs="仿宋_GB2312"/>
          <w:sz w:val="32"/>
          <w:szCs w:val="32"/>
        </w:rPr>
        <w:t>1.本合同标准文本适用于购买现成货物的采购项目，不包括需要供应商定制开发、创新研发的货物采购项目。</w:t>
      </w:r>
    </w:p>
    <w:p>
      <w:pPr>
        <w:ind w:firstLine="640" w:firstLineChars="200"/>
        <w:rPr>
          <w:rFonts w:ascii="仿宋" w:hAnsi="仿宋" w:eastAsia="仿宋" w:cs="仿宋_GB2312"/>
          <w:sz w:val="32"/>
          <w:szCs w:val="32"/>
        </w:rPr>
      </w:pPr>
      <w:r>
        <w:rPr>
          <w:rFonts w:hint="eastAsia" w:ascii="仿宋" w:hAnsi="仿宋" w:eastAsia="仿宋" w:cs="仿宋_GB2312"/>
          <w:sz w:val="32"/>
          <w:szCs w:val="32"/>
        </w:rPr>
        <w:t>2.本合同标准文本为政府采购货物买卖合同编制提供参考，可以结合采购项目具体情况，对文本作必要的调整修订后使用。</w:t>
      </w:r>
    </w:p>
    <w:p>
      <w:pPr>
        <w:ind w:firstLine="640" w:firstLineChars="200"/>
        <w:rPr>
          <w:rFonts w:ascii="仿宋" w:hAnsi="仿宋" w:eastAsia="仿宋" w:cs="仿宋_GB2312"/>
          <w:sz w:val="32"/>
          <w:szCs w:val="32"/>
        </w:rPr>
      </w:pPr>
      <w:r>
        <w:rPr>
          <w:rFonts w:hint="eastAsia" w:ascii="仿宋" w:hAnsi="仿宋" w:eastAsia="仿宋" w:cs="仿宋_GB2312"/>
          <w:sz w:val="32"/>
          <w:szCs w:val="32"/>
        </w:rPr>
        <w:t>3.本合同标准文本各条款中，如涉及填写多家供应商、制造商，多种采购标的、分包主要内容等信息的，可根据采购项目具体情况添加信息项。</w:t>
      </w:r>
    </w:p>
    <w:bookmarkEnd w:id="4"/>
    <w:p>
      <w:pPr>
        <w:widowControl/>
        <w:jc w:val="left"/>
        <w:rPr>
          <w:rFonts w:ascii="黑体" w:hAnsi="黑体" w:eastAsia="黑体" w:cstheme="majorBidi"/>
          <w:sz w:val="28"/>
          <w:szCs w:val="28"/>
        </w:rPr>
      </w:pPr>
      <w:bookmarkStart w:id="5" w:name="_Toc22209"/>
      <w:r>
        <w:rPr>
          <w:rFonts w:ascii="黑体" w:hAnsi="黑体" w:eastAsia="黑体"/>
          <w:b/>
          <w:bCs/>
          <w:sz w:val="28"/>
          <w:szCs w:val="28"/>
        </w:rPr>
        <w:br w:type="page"/>
      </w:r>
    </w:p>
    <w:p>
      <w:pPr>
        <w:pStyle w:val="3"/>
        <w:adjustRightInd w:val="0"/>
        <w:snapToGrid w:val="0"/>
        <w:spacing w:line="400" w:lineRule="exact"/>
        <w:jc w:val="center"/>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5"/>
    </w:p>
    <w:p>
      <w:pPr>
        <w:adjustRightInd w:val="0"/>
        <w:snapToGrid w:val="0"/>
        <w:spacing w:line="400" w:lineRule="exact"/>
        <w:rPr>
          <w:rFonts w:ascii="宋体" w:hAnsi="宋体" w:eastAsia="宋体"/>
          <w:szCs w:val="21"/>
          <w:highlight w:val="none"/>
        </w:rPr>
      </w:pPr>
      <w:r>
        <w:rPr>
          <w:rFonts w:hint="eastAsia" w:ascii="宋体" w:hAnsi="宋体" w:eastAsia="宋体"/>
          <w:szCs w:val="21"/>
          <w:highlight w:val="none"/>
        </w:rPr>
        <w:t>甲方（全称）：</w:t>
      </w:r>
      <w:r>
        <w:rPr>
          <w:rFonts w:hint="eastAsia" w:ascii="宋体" w:hAnsi="宋体" w:eastAsia="宋体"/>
          <w:szCs w:val="21"/>
          <w:highlight w:val="none"/>
          <w:lang w:val="en-US" w:eastAsia="zh-CN"/>
        </w:rPr>
        <w:t>东海县自然资源和规划局</w:t>
      </w:r>
      <w:r>
        <w:rPr>
          <w:rFonts w:hint="eastAsia" w:ascii="宋体" w:hAnsi="宋体" w:eastAsia="宋体"/>
          <w:szCs w:val="21"/>
          <w:highlight w:val="none"/>
        </w:rPr>
        <w:t>（采购人、受采购人委托签订合同的单位或采购文件约定的合同甲方）</w:t>
      </w:r>
    </w:p>
    <w:p>
      <w:pPr>
        <w:adjustRightInd w:val="0"/>
        <w:snapToGrid w:val="0"/>
        <w:spacing w:line="400" w:lineRule="exact"/>
        <w:rPr>
          <w:rFonts w:ascii="宋体" w:hAnsi="宋体" w:eastAsia="宋体"/>
          <w:szCs w:val="21"/>
          <w:highlight w:val="none"/>
        </w:rPr>
      </w:pPr>
      <w:r>
        <w:rPr>
          <w:rFonts w:hint="eastAsia" w:ascii="宋体" w:hAnsi="宋体" w:eastAsia="宋体"/>
          <w:szCs w:val="21"/>
          <w:highlight w:val="none"/>
        </w:rPr>
        <w:t>乙方1（全称）：（供应商）</w:t>
      </w:r>
    </w:p>
    <w:p>
      <w:pPr>
        <w:adjustRightInd w:val="0"/>
        <w:snapToGrid w:val="0"/>
        <w:spacing w:line="400" w:lineRule="exact"/>
        <w:rPr>
          <w:rFonts w:ascii="宋体" w:hAnsi="宋体" w:eastAsia="宋体"/>
          <w:szCs w:val="21"/>
          <w:highlight w:val="none"/>
        </w:rPr>
      </w:pPr>
      <w:r>
        <w:rPr>
          <w:rFonts w:hint="eastAsia" w:ascii="宋体" w:hAnsi="宋体" w:eastAsia="宋体"/>
          <w:szCs w:val="21"/>
          <w:highlight w:val="none"/>
        </w:rPr>
        <w:t>乙方2（全称）：（联合体成员供应商或其他合同主体）（如有）</w:t>
      </w:r>
    </w:p>
    <w:p>
      <w:pPr>
        <w:adjustRightInd w:val="0"/>
        <w:snapToGrid w:val="0"/>
        <w:spacing w:line="400" w:lineRule="exact"/>
        <w:rPr>
          <w:rFonts w:ascii="宋体" w:hAnsi="宋体" w:eastAsia="宋体"/>
          <w:szCs w:val="21"/>
          <w:highlight w:val="none"/>
        </w:rPr>
      </w:pPr>
      <w:r>
        <w:rPr>
          <w:rFonts w:hint="eastAsia" w:ascii="宋体" w:hAnsi="宋体" w:eastAsia="宋体"/>
          <w:highlight w:val="none"/>
        </w:rPr>
        <w:t>乙方</w:t>
      </w:r>
      <w:r>
        <w:rPr>
          <w:rFonts w:hint="eastAsia" w:ascii="宋体" w:hAnsi="宋体" w:eastAsia="宋体"/>
          <w:szCs w:val="21"/>
          <w:highlight w:val="none"/>
        </w:rPr>
        <w:t>3</w:t>
      </w:r>
      <w:r>
        <w:rPr>
          <w:rFonts w:hint="eastAsia" w:ascii="宋体" w:hAnsi="宋体" w:eastAsia="宋体"/>
          <w:highlight w:val="none"/>
        </w:rPr>
        <w:t>（全称）：</w:t>
      </w:r>
      <w:r>
        <w:rPr>
          <w:rFonts w:hint="eastAsia" w:ascii="宋体" w:hAnsi="宋体" w:eastAsia="宋体"/>
          <w:szCs w:val="21"/>
          <w:highlight w:val="none"/>
        </w:rPr>
        <w:t>（联合体成员供应商或其他合同主体）（如有）</w:t>
      </w:r>
    </w:p>
    <w:p>
      <w:pPr>
        <w:spacing w:line="400" w:lineRule="exact"/>
        <w:rPr>
          <w:rFonts w:ascii="宋体" w:hAnsi="宋体" w:eastAsia="宋体"/>
          <w:highlight w:val="none"/>
        </w:rPr>
      </w:pPr>
    </w:p>
    <w:p>
      <w:pPr>
        <w:pStyle w:val="9"/>
        <w:adjustRightInd w:val="0"/>
        <w:snapToGrid w:val="0"/>
        <w:spacing w:after="0" w:line="400" w:lineRule="exact"/>
        <w:ind w:left="0" w:leftChars="0" w:firstLine="420" w:firstLineChars="200"/>
        <w:jc w:val="lef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磋商文件等采购文件、乙方的《响应文件》及《成交通知书》，甲乙双方同意签订本合同。具体情况及要求如下：     </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项目信息</w:t>
      </w:r>
    </w:p>
    <w:p>
      <w:pPr>
        <w:pStyle w:val="9"/>
        <w:adjustRightInd w:val="0"/>
        <w:snapToGrid w:val="0"/>
        <w:spacing w:after="0" w:line="400" w:lineRule="exact"/>
        <w:ind w:leftChars="0"/>
        <w:jc w:val="left"/>
        <w:rPr>
          <w:rFonts w:hint="default" w:ascii="宋体" w:hAnsi="宋体" w:eastAsia="宋体"/>
          <w:szCs w:val="21"/>
          <w:highlight w:val="none"/>
          <w:u w:val="single"/>
          <w:lang w:val="en-US" w:eastAsia="zh-CN"/>
        </w:rPr>
      </w:pPr>
      <w:r>
        <w:rPr>
          <w:rFonts w:hint="eastAsia" w:ascii="宋体" w:hAnsi="宋体"/>
          <w:szCs w:val="21"/>
          <w:highlight w:val="none"/>
        </w:rPr>
        <w:t>（1）采购项目名称：</w:t>
      </w:r>
      <w:r>
        <w:rPr>
          <w:rFonts w:hint="eastAsia" w:ascii="宋体" w:hAnsi="宋体"/>
          <w:szCs w:val="21"/>
          <w:highlight w:val="none"/>
          <w:lang w:val="en-US" w:eastAsia="zh-CN"/>
        </w:rPr>
        <w:t>东海县自然资源和规划局机关办公楼电梯采购更换项目</w:t>
      </w:r>
    </w:p>
    <w:p>
      <w:pPr>
        <w:pStyle w:val="9"/>
        <w:numPr>
          <w:ilvl w:val="255"/>
          <w:numId w:val="0"/>
        </w:numPr>
        <w:tabs>
          <w:tab w:val="left" w:pos="999"/>
        </w:tabs>
        <w:adjustRightInd w:val="0"/>
        <w:snapToGrid w:val="0"/>
        <w:spacing w:after="0" w:line="400" w:lineRule="exact"/>
        <w:ind w:firstLine="945" w:firstLineChars="450"/>
        <w:jc w:val="left"/>
        <w:rPr>
          <w:rFonts w:ascii="宋体" w:hAnsi="宋体"/>
          <w:szCs w:val="21"/>
          <w:highlight w:val="none"/>
        </w:rPr>
      </w:pPr>
      <w:r>
        <w:rPr>
          <w:rFonts w:hint="eastAsia" w:ascii="宋体" w:hAnsi="宋体"/>
          <w:szCs w:val="21"/>
          <w:highlight w:val="none"/>
        </w:rPr>
        <w:t>采购项目编号：</w:t>
      </w:r>
    </w:p>
    <w:p>
      <w:pPr>
        <w:pStyle w:val="9"/>
        <w:adjustRightInd w:val="0"/>
        <w:snapToGrid w:val="0"/>
        <w:spacing w:after="0" w:line="400" w:lineRule="exact"/>
        <w:ind w:left="0" w:leftChars="0" w:firstLine="420" w:firstLineChars="200"/>
        <w:jc w:val="left"/>
        <w:rPr>
          <w:rFonts w:ascii="宋体" w:hAnsi="宋体"/>
          <w:szCs w:val="21"/>
          <w:highlight w:val="none"/>
        </w:rPr>
      </w:pPr>
      <w:r>
        <w:rPr>
          <w:rFonts w:hint="eastAsia" w:ascii="宋体" w:hAnsi="宋体"/>
          <w:szCs w:val="21"/>
          <w:highlight w:val="none"/>
        </w:rPr>
        <w:t>（2）采购计划编号：</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（3）项目内容：</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采购标的及数量（台/套</w:t>
      </w:r>
      <w:r>
        <w:rPr>
          <w:rFonts w:ascii="宋体" w:hAnsi="宋体" w:eastAsia="宋体"/>
          <w:szCs w:val="21"/>
          <w:highlight w:val="none"/>
        </w:rPr>
        <w:t>/</w:t>
      </w:r>
      <w:r>
        <w:rPr>
          <w:rFonts w:hint="eastAsia" w:ascii="宋体" w:hAnsi="宋体" w:eastAsia="宋体"/>
          <w:szCs w:val="21"/>
          <w:highlight w:val="none"/>
        </w:rPr>
        <w:t>个</w:t>
      </w:r>
      <w:r>
        <w:rPr>
          <w:rFonts w:ascii="宋体" w:hAnsi="宋体" w:eastAsia="宋体"/>
          <w:szCs w:val="21"/>
          <w:highlight w:val="none"/>
        </w:rPr>
        <w:t>/</w:t>
      </w:r>
      <w:r>
        <w:rPr>
          <w:rFonts w:hint="eastAsia" w:ascii="宋体" w:hAnsi="宋体" w:eastAsia="宋体"/>
          <w:szCs w:val="21"/>
          <w:highlight w:val="none"/>
        </w:rPr>
        <w:t>架</w:t>
      </w:r>
      <w:r>
        <w:rPr>
          <w:rFonts w:ascii="宋体" w:hAnsi="宋体" w:eastAsia="宋体"/>
          <w:szCs w:val="21"/>
          <w:highlight w:val="none"/>
        </w:rPr>
        <w:t>/</w:t>
      </w:r>
      <w:r>
        <w:rPr>
          <w:rFonts w:hint="eastAsia" w:ascii="宋体" w:hAnsi="宋体" w:eastAsia="宋体"/>
          <w:szCs w:val="21"/>
          <w:highlight w:val="none"/>
        </w:rPr>
        <w:t>组等）：</w:t>
      </w:r>
    </w:p>
    <w:p>
      <w:p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szCs w:val="21"/>
          <w:highlight w:val="none"/>
        </w:rPr>
        <w:t>品牌：    规格型号</w:t>
      </w:r>
      <w:r>
        <w:rPr>
          <w:rFonts w:hint="eastAsia" w:ascii="宋体" w:hAnsi="宋体" w:eastAsia="宋体" w:cs="宋体"/>
          <w:szCs w:val="21"/>
          <w:highlight w:val="none"/>
        </w:rPr>
        <w:t xml:space="preserve">：    </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t>采购标的的技术要求、商务要求具体见附件。</w:t>
      </w:r>
    </w:p>
    <w:p>
      <w:pPr>
        <w:numPr>
          <w:ilvl w:val="255"/>
          <w:numId w:val="0"/>
        </w:num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cs="汉仪书宋二S"/>
          <w:szCs w:val="21"/>
          <w:highlight w:val="none"/>
        </w:rPr>
        <w:t>①</w:t>
      </w:r>
      <w:r>
        <w:rPr>
          <w:rFonts w:hint="eastAsia" w:ascii="宋体" w:hAnsi="宋体" w:eastAsia="宋体" w:cs="宋体"/>
          <w:szCs w:val="21"/>
          <w:highlight w:val="none"/>
        </w:rPr>
        <w:t>涉及信息类产品，请填写该产品关键部件的品牌、型号：</w:t>
      </w:r>
    </w:p>
    <w:p>
      <w:pPr>
        <w:numPr>
          <w:ilvl w:val="255"/>
          <w:numId w:val="0"/>
        </w:num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cs="宋体"/>
          <w:szCs w:val="21"/>
          <w:highlight w:val="none"/>
        </w:rPr>
        <w:t>标的名称：</w:t>
      </w:r>
    </w:p>
    <w:p>
      <w:pPr>
        <w:numPr>
          <w:ilvl w:val="255"/>
          <w:numId w:val="0"/>
        </w:num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cs="宋体"/>
          <w:szCs w:val="21"/>
          <w:highlight w:val="none"/>
        </w:rPr>
        <w:t>关键部件：    品牌：    型号：</w:t>
      </w:r>
    </w:p>
    <w:p>
      <w:pPr>
        <w:numPr>
          <w:ilvl w:val="255"/>
          <w:numId w:val="0"/>
        </w:num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cs="宋体"/>
          <w:szCs w:val="21"/>
          <w:highlight w:val="none"/>
        </w:rPr>
        <w:t>关键部件：    品牌：    型号：</w:t>
      </w:r>
    </w:p>
    <w:p>
      <w:pPr>
        <w:numPr>
          <w:ilvl w:val="255"/>
          <w:numId w:val="0"/>
        </w:numPr>
        <w:adjustRightInd w:val="0"/>
        <w:snapToGrid w:val="0"/>
        <w:spacing w:line="400" w:lineRule="exact"/>
        <w:ind w:firstLine="945" w:firstLineChars="450"/>
        <w:jc w:val="left"/>
        <w:rPr>
          <w:rFonts w:ascii="宋体" w:hAnsi="宋体" w:eastAsia="宋体" w:cs="宋体"/>
          <w:highlight w:val="none"/>
        </w:rPr>
      </w:pPr>
      <w:r>
        <w:rPr>
          <w:rFonts w:hint="eastAsia" w:ascii="宋体" w:hAnsi="宋体" w:eastAsia="宋体" w:cs="宋体"/>
          <w:highlight w:val="none"/>
        </w:rPr>
        <w:t>关键部件：    品牌：    型号：</w:t>
      </w:r>
    </w:p>
    <w:p>
      <w:pPr>
        <w:numPr>
          <w:ilvl w:val="255"/>
          <w:numId w:val="0"/>
        </w:numPr>
        <w:adjustRightInd w:val="0"/>
        <w:snapToGrid w:val="0"/>
        <w:spacing w:line="400" w:lineRule="exact"/>
        <w:ind w:firstLine="945" w:firstLineChars="450"/>
        <w:jc w:val="left"/>
        <w:rPr>
          <w:rFonts w:ascii="宋体" w:hAnsi="宋体" w:eastAsia="宋体" w:cs="宋体"/>
          <w:szCs w:val="21"/>
          <w:highlight w:val="none"/>
        </w:rPr>
      </w:pPr>
      <w:r>
        <w:rPr>
          <w:rFonts w:hint="eastAsia" w:ascii="宋体" w:hAnsi="宋体" w:eastAsia="宋体" w:cs="宋体"/>
          <w:highlight w:val="none"/>
        </w:rPr>
        <w:t>（注：关键部件是指财政部会同有关部门发布的政府采购需求标准规定的需要通过国家有关部门指定的测评机构开展的安全可靠测评的软硬件，如CPU芯片、操作系统、数据库等。）</w:t>
      </w:r>
    </w:p>
    <w:p>
      <w:pPr>
        <w:pStyle w:val="35"/>
        <w:numPr>
          <w:ilvl w:val="255"/>
          <w:numId w:val="0"/>
        </w:numPr>
        <w:snapToGrid w:val="0"/>
        <w:ind w:firstLine="945" w:firstLineChars="450"/>
        <w:rPr>
          <w:rFonts w:ascii="宋体" w:hAnsi="宋体" w:eastAsia="宋体" w:cs="宋体"/>
          <w:sz w:val="21"/>
          <w:highlight w:val="none"/>
        </w:rPr>
      </w:pPr>
      <w:r>
        <w:rPr>
          <w:rFonts w:hint="eastAsia" w:ascii="宋体" w:hAnsi="宋体" w:eastAsia="宋体" w:cs="汉仪书宋二S"/>
          <w:sz w:val="21"/>
          <w:highlight w:val="none"/>
        </w:rPr>
        <w:t>②</w:t>
      </w:r>
      <w:r>
        <w:rPr>
          <w:rFonts w:hint="eastAsia" w:ascii="宋体" w:hAnsi="宋体" w:eastAsia="宋体" w:cs="宋体"/>
          <w:sz w:val="21"/>
          <w:highlight w:val="none"/>
        </w:rPr>
        <w:t>涉及车辆采购，请填写是否属于新能源汽车：</w:t>
      </w:r>
    </w:p>
    <w:p>
      <w:pPr>
        <w:pStyle w:val="35"/>
        <w:numPr>
          <w:ilvl w:val="255"/>
          <w:numId w:val="0"/>
        </w:numPr>
        <w:snapToGrid w:val="0"/>
        <w:ind w:firstLine="945" w:firstLineChars="450"/>
        <w:rPr>
          <w:rFonts w:ascii="宋体" w:hAnsi="宋体" w:eastAsia="宋体" w:cstheme="minorEastAsia"/>
          <w:sz w:val="21"/>
          <w:highlight w:val="none"/>
        </w:rPr>
      </w:pP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是，《政府采购品目分类目录》底级品目名称：    数量：    金额：</w:t>
      </w:r>
    </w:p>
    <w:p>
      <w:pPr>
        <w:pStyle w:val="35"/>
        <w:numPr>
          <w:ilvl w:val="255"/>
          <w:numId w:val="0"/>
        </w:numPr>
        <w:snapToGrid w:val="0"/>
        <w:ind w:firstLine="945" w:firstLineChars="450"/>
        <w:rPr>
          <w:rFonts w:ascii="宋体" w:hAnsi="宋体" w:eastAsia="宋体" w:cstheme="minorEastAsia"/>
          <w:sz w:val="21"/>
          <w:highlight w:val="none"/>
        </w:rPr>
      </w:pP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否</w:t>
      </w:r>
    </w:p>
    <w:p>
      <w:pPr>
        <w:pStyle w:val="35"/>
        <w:numPr>
          <w:ilvl w:val="255"/>
          <w:numId w:val="0"/>
        </w:numPr>
        <w:snapToGrid w:val="0"/>
        <w:ind w:firstLine="420" w:firstLineChars="200"/>
        <w:rPr>
          <w:rFonts w:ascii="宋体" w:hAnsi="宋体" w:eastAsia="宋体" w:cstheme="minorEastAsia"/>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4</w:t>
      </w:r>
      <w:r>
        <w:rPr>
          <w:rFonts w:hint="eastAsia" w:ascii="宋体" w:hAnsi="宋体" w:eastAsia="宋体" w:cstheme="minorEastAsia"/>
          <w:sz w:val="21"/>
          <w:highlight w:val="none"/>
        </w:rPr>
        <w:t>）政府采购组织形式：</w:t>
      </w:r>
      <w:r>
        <w:rPr>
          <w:rFonts w:hint="eastAsia" w:ascii="宋体" w:hAnsi="宋体" w:eastAsia="宋体" w:cstheme="minorEastAsia"/>
          <w:sz w:val="21"/>
          <w:highlight w:val="none"/>
        </w:rPr>
        <w:sym w:font="Wingdings" w:char="00FE"/>
      </w:r>
      <w:r>
        <w:rPr>
          <w:rFonts w:hint="eastAsia" w:ascii="宋体" w:hAnsi="宋体" w:eastAsia="宋体" w:cstheme="minorEastAsia"/>
          <w:sz w:val="21"/>
          <w:highlight w:val="none"/>
        </w:rPr>
        <w:t xml:space="preserve">政府集中采购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部门集中采购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分散采购</w:t>
      </w:r>
    </w:p>
    <w:p>
      <w:pPr>
        <w:pStyle w:val="35"/>
        <w:numPr>
          <w:ilvl w:val="255"/>
          <w:numId w:val="0"/>
        </w:numPr>
        <w:snapToGrid w:val="0"/>
        <w:ind w:firstLine="420" w:firstLineChars="200"/>
        <w:rPr>
          <w:rFonts w:ascii="宋体" w:hAnsi="宋体" w:eastAsia="宋体" w:cstheme="minorEastAsia"/>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5</w:t>
      </w:r>
      <w:r>
        <w:rPr>
          <w:rFonts w:hint="eastAsia" w:ascii="宋体" w:hAnsi="宋体" w:eastAsia="宋体" w:cstheme="minorEastAsia"/>
          <w:sz w:val="21"/>
          <w:highlight w:val="none"/>
        </w:rPr>
        <w:t>）政府采购方式：</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公开招标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邀请招标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竞争性谈判  </w:t>
      </w:r>
      <w:r>
        <w:rPr>
          <w:rFonts w:hint="eastAsia" w:ascii="宋体" w:hAnsi="宋体" w:eastAsia="宋体" w:cstheme="minorEastAsia"/>
          <w:sz w:val="21"/>
          <w:highlight w:val="none"/>
        </w:rPr>
        <w:sym w:font="Wingdings" w:char="00FE"/>
      </w:r>
      <w:r>
        <w:rPr>
          <w:rFonts w:hint="eastAsia" w:ascii="宋体" w:hAnsi="宋体" w:eastAsia="宋体" w:cstheme="minorEastAsia"/>
          <w:sz w:val="21"/>
          <w:highlight w:val="none"/>
        </w:rPr>
        <w:t>竞争性磋商</w:t>
      </w:r>
    </w:p>
    <w:p>
      <w:pPr>
        <w:pStyle w:val="35"/>
        <w:numPr>
          <w:ilvl w:val="255"/>
          <w:numId w:val="0"/>
        </w:numPr>
        <w:snapToGrid w:val="0"/>
        <w:ind w:firstLine="2436" w:firstLineChars="1160"/>
        <w:rPr>
          <w:rFonts w:ascii="宋体" w:hAnsi="宋体" w:eastAsia="宋体" w:cstheme="minorEastAsia"/>
          <w:sz w:val="21"/>
          <w:highlight w:val="none"/>
        </w:rPr>
      </w:pP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询价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单一来源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框架协议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其他：</w:t>
      </w:r>
    </w:p>
    <w:p>
      <w:pPr>
        <w:pStyle w:val="35"/>
        <w:numPr>
          <w:ilvl w:val="255"/>
          <w:numId w:val="0"/>
        </w:numPr>
        <w:snapToGrid w:val="0"/>
        <w:ind w:firstLine="945" w:firstLineChars="450"/>
        <w:rPr>
          <w:rFonts w:ascii="宋体" w:hAnsi="宋体" w:eastAsia="宋体" w:cs="宋体"/>
          <w:sz w:val="21"/>
          <w:highlight w:val="none"/>
          <w:u w:val="single"/>
        </w:rPr>
      </w:pPr>
      <w:r>
        <w:rPr>
          <w:rFonts w:hint="eastAsia" w:ascii="宋体" w:hAnsi="宋体" w:eastAsia="宋体" w:cs="宋体"/>
          <w:sz w:val="21"/>
          <w:highlight w:val="none"/>
        </w:rPr>
        <w:t>（注：在框架协议采购的第二阶段，可选择使用该合同文本）</w:t>
      </w:r>
    </w:p>
    <w:p>
      <w:pPr>
        <w:pStyle w:val="35"/>
        <w:numPr>
          <w:ilvl w:val="255"/>
          <w:numId w:val="0"/>
        </w:numPr>
        <w:snapToGrid w:val="0"/>
        <w:ind w:firstLine="420" w:firstLineChars="200"/>
        <w:rPr>
          <w:rFonts w:ascii="宋体" w:hAnsi="宋体" w:eastAsia="宋体" w:cs="Times New Roman"/>
          <w:kern w:val="2"/>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rPr>
        <w:t>6</w:t>
      </w:r>
      <w:r>
        <w:rPr>
          <w:rFonts w:hint="eastAsia" w:ascii="宋体" w:hAnsi="宋体" w:eastAsia="宋体" w:cstheme="minorEastAsia"/>
          <w:sz w:val="21"/>
          <w:highlight w:val="none"/>
        </w:rPr>
        <w:t>）中标（成交）采购</w:t>
      </w:r>
      <w:r>
        <w:rPr>
          <w:rFonts w:hint="eastAsia" w:ascii="宋体" w:hAnsi="宋体" w:eastAsia="宋体" w:cs="Times New Roman"/>
          <w:kern w:val="2"/>
          <w:sz w:val="21"/>
          <w:highlight w:val="none"/>
        </w:rPr>
        <w:t>标的制造商是否为中小企业：</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 xml:space="preserve">是  </w:t>
      </w:r>
      <w:r>
        <w:rPr>
          <w:rFonts w:hint="eastAsia" w:ascii="宋体" w:hAnsi="宋体" w:eastAsia="宋体" w:cs="Times New Roman"/>
          <w:kern w:val="2"/>
          <w:sz w:val="21"/>
          <w:highlight w:val="none"/>
        </w:rPr>
        <w:sym w:font="Wingdings" w:char="00FE"/>
      </w:r>
      <w:r>
        <w:rPr>
          <w:rFonts w:hint="eastAsia" w:ascii="宋体" w:hAnsi="宋体" w:eastAsia="宋体" w:cs="Times New Roman"/>
          <w:kern w:val="2"/>
          <w:sz w:val="21"/>
          <w:highlight w:val="none"/>
        </w:rPr>
        <w:t>否</w:t>
      </w:r>
    </w:p>
    <w:p>
      <w:pPr>
        <w:numPr>
          <w:ilvl w:val="255"/>
          <w:numId w:val="0"/>
        </w:numPr>
        <w:adjustRightInd w:val="0"/>
        <w:snapToGrid w:val="0"/>
        <w:spacing w:line="400" w:lineRule="exact"/>
        <w:ind w:firstLine="945" w:firstLineChars="450"/>
        <w:jc w:val="left"/>
        <w:rPr>
          <w:rFonts w:ascii="宋体" w:hAnsi="宋体" w:eastAsia="宋体"/>
          <w:iCs/>
          <w:szCs w:val="21"/>
          <w:highlight w:val="none"/>
        </w:rPr>
      </w:pPr>
      <w:r>
        <w:rPr>
          <w:rFonts w:hint="eastAsia" w:ascii="宋体" w:hAnsi="宋体" w:eastAsia="宋体"/>
          <w:szCs w:val="21"/>
          <w:highlight w:val="none"/>
        </w:rPr>
        <w:t>本合同是否为专门面向中小企业的采购合同（中小企业预留合同）：</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是  </w:t>
      </w:r>
      <w:r>
        <w:rPr>
          <w:rFonts w:hint="eastAsia" w:ascii="宋体" w:hAnsi="宋体" w:eastAsia="宋体"/>
          <w:iCs/>
          <w:szCs w:val="21"/>
          <w:highlight w:val="none"/>
        </w:rPr>
        <w:sym w:font="Wingdings" w:char="00FE"/>
      </w:r>
      <w:r>
        <w:rPr>
          <w:rFonts w:hint="eastAsia" w:ascii="宋体" w:hAnsi="宋体" w:eastAsia="宋体"/>
          <w:iCs/>
          <w:szCs w:val="21"/>
          <w:highlight w:val="none"/>
        </w:rPr>
        <w:t>否</w:t>
      </w:r>
    </w:p>
    <w:p>
      <w:pPr>
        <w:numPr>
          <w:ilvl w:val="255"/>
          <w:numId w:val="0"/>
        </w:numPr>
        <w:adjustRightInd w:val="0"/>
        <w:snapToGrid w:val="0"/>
        <w:spacing w:line="400" w:lineRule="exact"/>
        <w:ind w:firstLine="945" w:firstLineChars="450"/>
        <w:jc w:val="left"/>
        <w:rPr>
          <w:rFonts w:ascii="宋体" w:hAnsi="宋体" w:eastAsia="宋体"/>
          <w:iCs/>
          <w:szCs w:val="21"/>
          <w:highlight w:val="none"/>
        </w:rPr>
      </w:pPr>
      <w:r>
        <w:rPr>
          <w:rFonts w:hint="eastAsia" w:ascii="宋体" w:hAnsi="宋体" w:eastAsia="宋体"/>
          <w:highlight w:val="none"/>
        </w:rPr>
        <w:t>若本项目不专门面向中小企业采购，是否给予小微企业评审优惠：</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是  </w:t>
      </w:r>
      <w:r>
        <w:rPr>
          <w:rFonts w:hint="eastAsia" w:ascii="宋体" w:hAnsi="宋体" w:eastAsia="宋体"/>
          <w:iCs/>
          <w:szCs w:val="21"/>
          <w:highlight w:val="none"/>
        </w:rPr>
        <w:sym w:font="Wingdings" w:char="00FE"/>
      </w:r>
      <w:r>
        <w:rPr>
          <w:rFonts w:hint="eastAsia" w:ascii="宋体" w:hAnsi="宋体" w:eastAsia="宋体"/>
          <w:iCs/>
          <w:szCs w:val="21"/>
          <w:highlight w:val="none"/>
        </w:rPr>
        <w:t>否</w:t>
      </w:r>
    </w:p>
    <w:p>
      <w:pPr>
        <w:numPr>
          <w:ilvl w:val="255"/>
          <w:numId w:val="0"/>
        </w:numPr>
        <w:adjustRightInd w:val="0"/>
        <w:snapToGrid w:val="0"/>
        <w:spacing w:line="400" w:lineRule="exact"/>
        <w:ind w:firstLine="945" w:firstLineChars="450"/>
        <w:jc w:val="left"/>
        <w:rPr>
          <w:rFonts w:ascii="宋体" w:hAnsi="宋体" w:eastAsia="宋体"/>
          <w:iCs/>
          <w:szCs w:val="21"/>
          <w:highlight w:val="none"/>
        </w:rPr>
      </w:pPr>
      <w:r>
        <w:rPr>
          <w:rFonts w:hint="eastAsia" w:ascii="宋体" w:hAnsi="宋体" w:eastAsia="宋体"/>
          <w:highlight w:val="none"/>
        </w:rPr>
        <w:t>中标（成交）采购标的制造商是否为残疾人福利性单位：</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是  </w:t>
      </w:r>
      <w:r>
        <w:rPr>
          <w:rFonts w:hint="eastAsia" w:ascii="宋体" w:hAnsi="宋体" w:eastAsia="宋体"/>
          <w:iCs/>
          <w:szCs w:val="21"/>
          <w:highlight w:val="none"/>
        </w:rPr>
        <w:sym w:font="Wingdings" w:char="00FE"/>
      </w:r>
      <w:r>
        <w:rPr>
          <w:rFonts w:hint="eastAsia" w:ascii="宋体" w:hAnsi="宋体" w:eastAsia="宋体"/>
          <w:iCs/>
          <w:szCs w:val="21"/>
          <w:highlight w:val="none"/>
        </w:rPr>
        <w:t>否</w:t>
      </w:r>
    </w:p>
    <w:p>
      <w:pPr>
        <w:snapToGrid w:val="0"/>
        <w:spacing w:line="400" w:lineRule="exact"/>
        <w:ind w:firstLine="945" w:firstLineChars="450"/>
        <w:jc w:val="left"/>
        <w:rPr>
          <w:rFonts w:ascii="宋体" w:hAnsi="宋体" w:eastAsia="宋体"/>
          <w:highlight w:val="none"/>
        </w:rPr>
      </w:pPr>
      <w:r>
        <w:rPr>
          <w:rFonts w:hint="eastAsia" w:ascii="宋体" w:hAnsi="宋体" w:eastAsia="宋体"/>
          <w:highlight w:val="none"/>
        </w:rPr>
        <w:t>中标（成交）采购标的制造商是否为监狱企业：</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是  </w:t>
      </w:r>
      <w:r>
        <w:rPr>
          <w:rFonts w:hint="eastAsia" w:ascii="宋体" w:hAnsi="宋体" w:eastAsia="宋体"/>
          <w:iCs/>
          <w:szCs w:val="21"/>
          <w:highlight w:val="none"/>
        </w:rPr>
        <w:sym w:font="Wingdings" w:char="00FE"/>
      </w:r>
      <w:r>
        <w:rPr>
          <w:rFonts w:hint="eastAsia" w:ascii="宋体" w:hAnsi="宋体" w:eastAsia="宋体"/>
          <w:iCs/>
          <w:szCs w:val="21"/>
          <w:highlight w:val="none"/>
        </w:rPr>
        <w:t>否</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w:t>
      </w:r>
      <w:r>
        <w:rPr>
          <w:rFonts w:ascii="宋体" w:hAnsi="宋体" w:eastAsia="宋体"/>
          <w:szCs w:val="21"/>
          <w:highlight w:val="none"/>
        </w:rPr>
        <w:t>7</w:t>
      </w:r>
      <w:r>
        <w:rPr>
          <w:rFonts w:hint="eastAsia" w:ascii="宋体" w:hAnsi="宋体" w:eastAsia="宋体"/>
          <w:szCs w:val="21"/>
          <w:highlight w:val="none"/>
        </w:rPr>
        <w:t>）合同是否分包：</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是  </w:t>
      </w:r>
      <w:r>
        <w:rPr>
          <w:rFonts w:hint="eastAsia" w:ascii="宋体" w:hAnsi="宋体" w:eastAsia="宋体"/>
          <w:iCs/>
          <w:szCs w:val="21"/>
          <w:highlight w:val="none"/>
        </w:rPr>
        <w:sym w:font="Wingdings" w:char="00FE"/>
      </w:r>
      <w:r>
        <w:rPr>
          <w:rFonts w:hint="eastAsia" w:ascii="宋体" w:hAnsi="宋体" w:eastAsia="宋体"/>
          <w:iCs/>
          <w:szCs w:val="21"/>
          <w:highlight w:val="none"/>
        </w:rPr>
        <w:t>否</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t>分包主要内容：</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分包供应商/制造商名称（如供应商和制造商不同，请分别填写）：</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分包供应商/制造商类型（如果供应商和制造商不同，只填写制造商类型）：</w:t>
      </w:r>
    </w:p>
    <w:p>
      <w:pPr>
        <w:adjustRightInd w:val="0"/>
        <w:snapToGrid w:val="0"/>
        <w:spacing w:line="400" w:lineRule="exact"/>
        <w:ind w:firstLine="945" w:firstLineChars="450"/>
        <w:jc w:val="left"/>
        <w:rPr>
          <w:rFonts w:ascii="宋体" w:hAnsi="宋体" w:eastAsia="宋体"/>
          <w:iCs/>
          <w:szCs w:val="21"/>
          <w:highlight w:val="none"/>
        </w:rPr>
      </w:pP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大型企业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中型企业  </w:t>
      </w:r>
      <w:r>
        <w:rPr>
          <w:rFonts w:hint="eastAsia" w:ascii="宋体" w:hAnsi="宋体" w:eastAsia="宋体"/>
          <w:iCs/>
          <w:szCs w:val="21"/>
          <w:highlight w:val="none"/>
        </w:rPr>
        <w:sym w:font="Wingdings" w:char="00A8"/>
      </w:r>
      <w:r>
        <w:rPr>
          <w:rFonts w:hint="eastAsia" w:ascii="宋体" w:hAnsi="宋体" w:eastAsia="宋体"/>
          <w:iCs/>
          <w:szCs w:val="21"/>
          <w:highlight w:val="none"/>
        </w:rPr>
        <w:t>小微型企业</w:t>
      </w:r>
    </w:p>
    <w:p>
      <w:pPr>
        <w:adjustRightInd w:val="0"/>
        <w:snapToGrid w:val="0"/>
        <w:spacing w:line="400" w:lineRule="exact"/>
        <w:ind w:firstLine="945" w:firstLineChars="450"/>
        <w:jc w:val="left"/>
        <w:rPr>
          <w:rFonts w:ascii="宋体" w:hAnsi="宋体" w:eastAsia="宋体"/>
          <w:highlight w:val="none"/>
        </w:rPr>
      </w:pP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残疾人福利性单位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监狱企业  </w:t>
      </w:r>
      <w:r>
        <w:rPr>
          <w:rFonts w:hint="eastAsia" w:ascii="宋体" w:hAnsi="宋体" w:eastAsia="宋体"/>
          <w:iCs/>
          <w:szCs w:val="21"/>
          <w:highlight w:val="none"/>
        </w:rPr>
        <w:sym w:font="Wingdings" w:char="00A8"/>
      </w:r>
      <w:r>
        <w:rPr>
          <w:rFonts w:hint="eastAsia" w:ascii="宋体" w:hAnsi="宋体" w:eastAsia="宋体"/>
          <w:iCs/>
          <w:szCs w:val="21"/>
          <w:highlight w:val="none"/>
        </w:rPr>
        <w:t>其他</w:t>
      </w:r>
    </w:p>
    <w:p>
      <w:pPr>
        <w:numPr>
          <w:ilvl w:val="255"/>
          <w:numId w:val="0"/>
        </w:numPr>
        <w:adjustRightInd w:val="0"/>
        <w:snapToGrid w:val="0"/>
        <w:spacing w:line="400" w:lineRule="exact"/>
        <w:ind w:firstLine="420" w:firstLineChars="200"/>
        <w:jc w:val="left"/>
        <w:rPr>
          <w:rFonts w:ascii="宋体" w:hAnsi="宋体" w:eastAsia="宋体" w:cs="宋体"/>
          <w:iCs/>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8</w:t>
      </w:r>
      <w:r>
        <w:rPr>
          <w:rFonts w:hint="eastAsia" w:ascii="宋体" w:hAnsi="宋体" w:eastAsia="宋体" w:cs="宋体"/>
          <w:szCs w:val="21"/>
          <w:highlight w:val="none"/>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否</w:t>
      </w:r>
    </w:p>
    <w:p>
      <w:pPr>
        <w:pStyle w:val="35"/>
        <w:tabs>
          <w:tab w:val="left" w:pos="1340"/>
        </w:tabs>
        <w:ind w:firstLine="945" w:firstLineChars="450"/>
        <w:rPr>
          <w:rFonts w:ascii="宋体" w:hAnsi="宋体" w:eastAsia="宋体" w:cs="宋体"/>
          <w:sz w:val="21"/>
          <w:highlight w:val="none"/>
          <w:u w:val="single"/>
        </w:rPr>
      </w:pPr>
      <w:r>
        <w:rPr>
          <w:rFonts w:hint="eastAsia" w:ascii="宋体" w:hAnsi="宋体" w:eastAsia="宋体" w:cs="宋体"/>
          <w:sz w:val="21"/>
          <w:highlight w:val="none"/>
        </w:rPr>
        <w:t>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pPr>
        <w:numPr>
          <w:ilvl w:val="255"/>
          <w:numId w:val="0"/>
        </w:numPr>
        <w:adjustRightInd w:val="0"/>
        <w:snapToGrid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w:t>
      </w:r>
      <w:r>
        <w:rPr>
          <w:rFonts w:ascii="宋体" w:hAnsi="宋体" w:eastAsia="宋体" w:cs="宋体"/>
          <w:szCs w:val="21"/>
          <w:highlight w:val="none"/>
        </w:rPr>
        <w:t>9</w:t>
      </w:r>
      <w:r>
        <w:rPr>
          <w:rFonts w:hint="eastAsia" w:ascii="宋体" w:hAnsi="宋体" w:eastAsia="宋体" w:cs="宋体"/>
          <w:szCs w:val="21"/>
          <w:highlight w:val="none"/>
        </w:rPr>
        <w:t>）是否涉及进口产品：</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是，《政府采购品目分类目录》底级品目名称：金额：</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国别：    品牌：    规格型号：</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FE"/>
      </w:r>
      <w:r>
        <w:rPr>
          <w:rFonts w:hint="eastAsia" w:ascii="宋体" w:hAnsi="宋体" w:eastAsia="宋体"/>
          <w:szCs w:val="21"/>
          <w:highlight w:val="none"/>
        </w:rPr>
        <w:t>否</w:t>
      </w:r>
    </w:p>
    <w:p>
      <w:pPr>
        <w:numPr>
          <w:ilvl w:val="255"/>
          <w:numId w:val="0"/>
        </w:numPr>
        <w:tabs>
          <w:tab w:val="left" w:pos="740"/>
        </w:tabs>
        <w:adjustRightInd w:val="0"/>
        <w:snapToGrid w:val="0"/>
        <w:spacing w:line="400" w:lineRule="exact"/>
        <w:jc w:val="left"/>
        <w:rPr>
          <w:rFonts w:ascii="宋体" w:hAnsi="宋体" w:eastAsia="宋体"/>
          <w:szCs w:val="21"/>
          <w:highlight w:val="none"/>
        </w:rPr>
      </w:pPr>
      <w:r>
        <w:rPr>
          <w:rFonts w:hint="eastAsia" w:ascii="宋体" w:hAnsi="宋体" w:eastAsia="宋体"/>
          <w:szCs w:val="21"/>
          <w:highlight w:val="none"/>
        </w:rPr>
        <w:t xml:space="preserve">    （1</w:t>
      </w:r>
      <w:r>
        <w:rPr>
          <w:rFonts w:ascii="宋体" w:hAnsi="宋体" w:eastAsia="宋体"/>
          <w:szCs w:val="21"/>
          <w:highlight w:val="none"/>
        </w:rPr>
        <w:t>0</w:t>
      </w:r>
      <w:r>
        <w:rPr>
          <w:rFonts w:hint="eastAsia" w:ascii="宋体" w:hAnsi="宋体" w:eastAsia="宋体"/>
          <w:szCs w:val="21"/>
          <w:highlight w:val="none"/>
        </w:rPr>
        <w:t>）是否涉及节能产品：</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是，《节能产品政府采购品目清单》的底级品目名称：</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 xml:space="preserve">强制采购  </w:t>
      </w:r>
      <w:r>
        <w:rPr>
          <w:rFonts w:hint="eastAsia" w:ascii="宋体" w:hAnsi="宋体" w:eastAsia="宋体"/>
          <w:szCs w:val="21"/>
          <w:highlight w:val="none"/>
        </w:rPr>
        <w:sym w:font="Wingdings" w:char="00A8"/>
      </w:r>
      <w:r>
        <w:rPr>
          <w:rFonts w:hint="eastAsia" w:ascii="宋体" w:hAnsi="宋体" w:eastAsia="宋体"/>
          <w:szCs w:val="21"/>
          <w:highlight w:val="none"/>
        </w:rPr>
        <w:t>优先采购</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否</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是否涉及环境标志产品：</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是，《环境标志产品政府采购品目清单》的底级品目名称：</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 xml:space="preserve">强制采购  </w:t>
      </w:r>
      <w:r>
        <w:rPr>
          <w:rFonts w:hint="eastAsia" w:ascii="宋体" w:hAnsi="宋体" w:eastAsia="宋体"/>
          <w:szCs w:val="21"/>
          <w:highlight w:val="none"/>
        </w:rPr>
        <w:sym w:font="Wingdings" w:char="00A8"/>
      </w:r>
      <w:r>
        <w:rPr>
          <w:rFonts w:hint="eastAsia" w:ascii="宋体" w:hAnsi="宋体" w:eastAsia="宋体"/>
          <w:szCs w:val="21"/>
          <w:highlight w:val="none"/>
        </w:rPr>
        <w:t>优先采购</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否</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是否涉及绿色产品：</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是，绿色产品政府采购相关政策确定的底级品目名称：</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 xml:space="preserve">强制采购  </w:t>
      </w:r>
      <w:r>
        <w:rPr>
          <w:rFonts w:hint="eastAsia" w:ascii="宋体" w:hAnsi="宋体" w:eastAsia="宋体"/>
          <w:szCs w:val="21"/>
          <w:highlight w:val="none"/>
        </w:rPr>
        <w:sym w:font="Wingdings" w:char="00A8"/>
      </w:r>
      <w:r>
        <w:rPr>
          <w:rFonts w:hint="eastAsia" w:ascii="宋体" w:hAnsi="宋体" w:eastAsia="宋体"/>
          <w:szCs w:val="21"/>
          <w:highlight w:val="none"/>
        </w:rPr>
        <w:t>优先采购</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cs="Times New Roman"/>
          <w:highlight w:val="none"/>
        </w:rPr>
        <w:sym w:font="Wingdings" w:char="00A8"/>
      </w:r>
      <w:r>
        <w:rPr>
          <w:rFonts w:hint="eastAsia" w:ascii="宋体" w:hAnsi="宋体" w:eastAsia="宋体" w:cs="Times New Roman"/>
          <w:highlight w:val="none"/>
        </w:rPr>
        <w:t>否</w:t>
      </w:r>
    </w:p>
    <w:p>
      <w:pPr>
        <w:numPr>
          <w:ilvl w:val="255"/>
          <w:numId w:val="0"/>
        </w:num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（1</w:t>
      </w:r>
      <w:r>
        <w:rPr>
          <w:rFonts w:ascii="宋体" w:hAnsi="宋体" w:eastAsia="宋体"/>
          <w:szCs w:val="21"/>
          <w:highlight w:val="none"/>
        </w:rPr>
        <w:t>1</w:t>
      </w:r>
      <w:r>
        <w:rPr>
          <w:rFonts w:hint="eastAsia" w:ascii="宋体" w:hAnsi="宋体" w:eastAsia="宋体"/>
          <w:szCs w:val="21"/>
          <w:highlight w:val="none"/>
        </w:rPr>
        <w:t>）涉及商品包装和快递包装的，是否参考《商品包装政府采购需求标准（试行）》、《快递包装政府采购需求标准（试行）》明确产品及相关快递服务的具体包装要求：</w:t>
      </w:r>
    </w:p>
    <w:p>
      <w:pPr>
        <w:numPr>
          <w:ilvl w:val="255"/>
          <w:numId w:val="0"/>
        </w:num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FE"/>
      </w:r>
      <w:r>
        <w:rPr>
          <w:rFonts w:hint="eastAsia" w:ascii="宋体" w:hAnsi="宋体" w:eastAsia="宋体"/>
          <w:szCs w:val="21"/>
          <w:highlight w:val="none"/>
        </w:rPr>
        <w:t xml:space="preserve">是  </w:t>
      </w:r>
      <w:r>
        <w:rPr>
          <w:rFonts w:hint="eastAsia" w:ascii="宋体" w:hAnsi="宋体" w:eastAsia="宋体"/>
          <w:szCs w:val="21"/>
          <w:highlight w:val="none"/>
        </w:rPr>
        <w:sym w:font="Wingdings" w:char="00A8"/>
      </w:r>
      <w:r>
        <w:rPr>
          <w:rFonts w:hint="eastAsia" w:ascii="宋体" w:hAnsi="宋体" w:eastAsia="宋体"/>
          <w:szCs w:val="21"/>
          <w:highlight w:val="none"/>
        </w:rPr>
        <w:t xml:space="preserve">否  </w:t>
      </w:r>
      <w:r>
        <w:rPr>
          <w:rFonts w:hint="eastAsia" w:ascii="宋体" w:hAnsi="宋体" w:eastAsia="宋体"/>
          <w:szCs w:val="21"/>
          <w:highlight w:val="none"/>
        </w:rPr>
        <w:sym w:font="Wingdings" w:char="00A8"/>
      </w:r>
      <w:r>
        <w:rPr>
          <w:rFonts w:hint="eastAsia" w:ascii="宋体" w:hAnsi="宋体" w:eastAsia="宋体"/>
          <w:szCs w:val="21"/>
          <w:highlight w:val="none"/>
        </w:rPr>
        <w:t>不涉及</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合同金额</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（1）合同金额小写：</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t>大写：</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分包金额（如有）小写：</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t>大写：</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t>（注：固定单价合同应填写单价和最高限价）</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（2）合同定价方式（采用组合定价方式的，可以勾选多项）：</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iCs/>
          <w:szCs w:val="21"/>
          <w:highlight w:val="none"/>
        </w:rPr>
        <w:sym w:font="Wingdings" w:char="00FE"/>
      </w:r>
      <w:r>
        <w:rPr>
          <w:rFonts w:hint="eastAsia" w:ascii="宋体" w:hAnsi="宋体" w:eastAsia="宋体"/>
          <w:iCs/>
          <w:szCs w:val="21"/>
          <w:highlight w:val="none"/>
        </w:rPr>
        <w:t xml:space="preserve">固定总价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固定单价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固定费率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成本补偿  </w:t>
      </w:r>
      <w:r>
        <w:rPr>
          <w:rFonts w:hint="eastAsia" w:ascii="宋体" w:hAnsi="宋体" w:eastAsia="宋体"/>
          <w:iCs/>
          <w:szCs w:val="21"/>
          <w:highlight w:val="none"/>
        </w:rPr>
        <w:sym w:font="Wingdings" w:char="00A8"/>
      </w:r>
      <w:r>
        <w:rPr>
          <w:rFonts w:hint="eastAsia" w:ascii="宋体" w:hAnsi="宋体" w:eastAsia="宋体"/>
          <w:iCs/>
          <w:szCs w:val="21"/>
          <w:highlight w:val="none"/>
        </w:rPr>
        <w:t xml:space="preserve">绩效激励  </w:t>
      </w:r>
      <w:r>
        <w:rPr>
          <w:rFonts w:hint="eastAsia" w:ascii="宋体" w:hAnsi="宋体" w:eastAsia="宋体"/>
          <w:iCs/>
          <w:szCs w:val="21"/>
          <w:highlight w:val="none"/>
        </w:rPr>
        <w:sym w:font="Wingdings" w:char="00A8"/>
      </w:r>
      <w:r>
        <w:rPr>
          <w:rFonts w:hint="eastAsia" w:ascii="宋体" w:hAnsi="宋体" w:eastAsia="宋体"/>
          <w:iCs/>
          <w:szCs w:val="21"/>
          <w:highlight w:val="none"/>
        </w:rPr>
        <w:t>其他</w:t>
      </w:r>
    </w:p>
    <w:p>
      <w:pPr>
        <w:pStyle w:val="38"/>
        <w:spacing w:line="400" w:lineRule="exact"/>
        <w:jc w:val="left"/>
        <w:rPr>
          <w:rFonts w:ascii="宋体" w:hAnsi="宋体"/>
          <w:highlight w:val="none"/>
        </w:rPr>
      </w:pPr>
      <w:r>
        <w:rPr>
          <w:rFonts w:hint="eastAsia" w:ascii="宋体" w:hAnsi="宋体"/>
          <w:highlight w:val="none"/>
        </w:rPr>
        <w:t>（3）付款方式（按项目实际勾选填写）：</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sym w:font="Wingdings" w:char="00A8"/>
      </w:r>
      <w:r>
        <w:rPr>
          <w:rFonts w:hint="eastAsia" w:ascii="宋体" w:hAnsi="宋体" w:eastAsia="宋体"/>
          <w:szCs w:val="21"/>
          <w:highlight w:val="none"/>
        </w:rPr>
        <w:t>全额付款：</w:t>
      </w:r>
      <w:r>
        <w:rPr>
          <w:rFonts w:hint="eastAsia" w:ascii="宋体" w:hAnsi="宋体" w:eastAsia="宋体"/>
          <w:szCs w:val="21"/>
          <w:highlight w:val="none"/>
          <w:u w:val="single"/>
        </w:rPr>
        <w:t xml:space="preserve">     （应明确一次性支付合同款项的条件）                </w:t>
      </w:r>
    </w:p>
    <w:p>
      <w:pPr>
        <w:widowControl/>
        <w:spacing w:line="360" w:lineRule="auto"/>
        <w:ind w:firstLine="480"/>
        <w:jc w:val="left"/>
        <w:rPr>
          <w:rFonts w:ascii="宋体" w:hAnsi="宋体" w:eastAsia="宋体" w:cs="宋体"/>
          <w:b w:val="0"/>
          <w:bCs w:val="0"/>
          <w:i w:val="0"/>
          <w:iCs w:val="0"/>
          <w:color w:val="000000"/>
          <w:sz w:val="24"/>
          <w:szCs w:val="24"/>
          <w:highlight w:val="none"/>
          <w:u w:val="single"/>
          <w:lang w:bidi="ar"/>
        </w:rPr>
      </w:pPr>
      <w:r>
        <w:rPr>
          <w:rFonts w:hint="eastAsia" w:ascii="宋体" w:hAnsi="宋体" w:eastAsia="宋体"/>
          <w:szCs w:val="21"/>
          <w:highlight w:val="none"/>
        </w:rPr>
        <w:sym w:font="Wingdings" w:char="00FE"/>
      </w:r>
      <w:r>
        <w:rPr>
          <w:rFonts w:hint="eastAsia" w:ascii="宋体" w:hAnsi="宋体" w:eastAsia="宋体"/>
          <w:szCs w:val="21"/>
          <w:highlight w:val="none"/>
        </w:rPr>
        <w:t>分期付款：</w:t>
      </w:r>
      <w:r>
        <w:rPr>
          <w:rFonts w:hint="eastAsia" w:ascii="宋体" w:hAnsi="宋体" w:eastAsia="宋体"/>
          <w:szCs w:val="21"/>
          <w:highlight w:val="none"/>
          <w:u w:val="single"/>
        </w:rPr>
        <w:t xml:space="preserve">  </w:t>
      </w:r>
      <w:r>
        <w:rPr>
          <w:rFonts w:hint="eastAsia" w:ascii="宋体" w:hAnsi="宋体" w:eastAsia="宋体" w:cs="宋体"/>
          <w:b w:val="0"/>
          <w:bCs w:val="0"/>
          <w:i w:val="0"/>
          <w:iCs w:val="0"/>
          <w:color w:val="000000"/>
          <w:sz w:val="24"/>
          <w:szCs w:val="24"/>
          <w:highlight w:val="none"/>
          <w:u w:val="single"/>
          <w:lang w:bidi="ar"/>
        </w:rPr>
        <w:t>第一台电梯安装调试完成，经采购人初验合格后15个工作日内，支付合同总价的50%</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val="en-US" w:eastAsia="zh-CN" w:bidi="ar"/>
        </w:rPr>
        <w:t>两台</w:t>
      </w:r>
      <w:r>
        <w:rPr>
          <w:rFonts w:hint="eastAsia" w:ascii="宋体" w:hAnsi="宋体" w:eastAsia="宋体" w:cs="宋体"/>
          <w:b w:val="0"/>
          <w:bCs w:val="0"/>
          <w:i w:val="0"/>
          <w:iCs w:val="0"/>
          <w:color w:val="000000"/>
          <w:sz w:val="24"/>
          <w:szCs w:val="24"/>
          <w:highlight w:val="none"/>
          <w:u w:val="single"/>
          <w:lang w:bidi="ar"/>
        </w:rPr>
        <w:t>全部安装完毕后</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bidi="ar"/>
        </w:rPr>
        <w:t>经特种设备检验检测机构监督检验合格，取得市场监督管理部门核发的《电梯使用登记标志》</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val="en-US" w:eastAsia="zh-CN" w:bidi="ar"/>
        </w:rPr>
        <w:t>2026年12月31日前支付剩余50%</w:t>
      </w:r>
      <w:r>
        <w:rPr>
          <w:rFonts w:hint="eastAsia" w:ascii="宋体" w:hAnsi="宋体" w:eastAsia="宋体" w:cs="宋体"/>
          <w:b w:val="0"/>
          <w:bCs w:val="0"/>
          <w:i w:val="0"/>
          <w:iCs w:val="0"/>
          <w:color w:val="000000"/>
          <w:sz w:val="24"/>
          <w:szCs w:val="24"/>
          <w:highlight w:val="none"/>
          <w:u w:val="single"/>
          <w:lang w:bidi="ar"/>
        </w:rPr>
        <w:t>。</w:t>
      </w:r>
    </w:p>
    <w:p>
      <w:pPr>
        <w:snapToGrid w:val="0"/>
        <w:spacing w:line="400" w:lineRule="exact"/>
        <w:ind w:firstLine="945" w:firstLineChars="450"/>
        <w:jc w:val="left"/>
        <w:rPr>
          <w:rFonts w:ascii="宋体" w:hAnsi="宋体" w:eastAsia="宋体"/>
          <w:highlight w:val="none"/>
        </w:rPr>
      </w:pPr>
      <w:r>
        <w:rPr>
          <w:rFonts w:hint="eastAsia" w:ascii="宋体" w:hAnsi="宋体" w:eastAsia="宋体"/>
          <w:szCs w:val="21"/>
          <w:highlight w:val="none"/>
          <w:u w:val="single"/>
        </w:rPr>
        <w:t xml:space="preserve"> </w:t>
      </w:r>
    </w:p>
    <w:p>
      <w:pPr>
        <w:adjustRightInd w:val="0"/>
        <w:snapToGrid w:val="0"/>
        <w:spacing w:line="400" w:lineRule="exact"/>
        <w:ind w:firstLine="945" w:firstLineChars="450"/>
        <w:jc w:val="left"/>
        <w:rPr>
          <w:rFonts w:ascii="宋体" w:hAnsi="宋体" w:eastAsia="宋体"/>
          <w:szCs w:val="21"/>
          <w:highlight w:val="none"/>
          <w:u w:val="single"/>
        </w:rPr>
      </w:pPr>
      <w:r>
        <w:rPr>
          <w:rFonts w:hint="eastAsia" w:ascii="宋体" w:hAnsi="宋体" w:eastAsia="宋体"/>
          <w:szCs w:val="21"/>
          <w:highlight w:val="none"/>
        </w:rPr>
        <w:sym w:font="Wingdings" w:char="00A8"/>
      </w:r>
      <w:r>
        <w:rPr>
          <w:rFonts w:hint="eastAsia" w:ascii="宋体" w:hAnsi="宋体" w:eastAsia="宋体"/>
          <w:szCs w:val="21"/>
          <w:highlight w:val="none"/>
        </w:rPr>
        <w:t>成本补偿：</w:t>
      </w:r>
      <w:r>
        <w:rPr>
          <w:rFonts w:hint="eastAsia" w:ascii="宋体" w:hAnsi="宋体" w:eastAsia="宋体"/>
          <w:szCs w:val="21"/>
          <w:highlight w:val="none"/>
          <w:u w:val="single"/>
        </w:rPr>
        <w:t xml:space="preserve">      （应明确按照成本补偿方式的支付方式和支付条件）   </w:t>
      </w:r>
    </w:p>
    <w:p>
      <w:pPr>
        <w:adjustRightInd w:val="0"/>
        <w:snapToGrid w:val="0"/>
        <w:spacing w:line="400" w:lineRule="exact"/>
        <w:ind w:firstLine="945" w:firstLineChars="450"/>
        <w:jc w:val="left"/>
        <w:rPr>
          <w:rFonts w:ascii="宋体" w:hAnsi="宋体" w:eastAsia="宋体"/>
          <w:szCs w:val="21"/>
          <w:highlight w:val="none"/>
        </w:rPr>
      </w:pPr>
      <w:r>
        <w:rPr>
          <w:rFonts w:hint="eastAsia" w:ascii="宋体" w:hAnsi="宋体" w:eastAsia="宋体"/>
          <w:szCs w:val="21"/>
          <w:highlight w:val="none"/>
        </w:rPr>
        <w:sym w:font="Wingdings" w:char="00A8"/>
      </w:r>
      <w:r>
        <w:rPr>
          <w:rFonts w:hint="eastAsia" w:ascii="宋体" w:hAnsi="宋体" w:eastAsia="宋体"/>
          <w:szCs w:val="21"/>
          <w:highlight w:val="none"/>
        </w:rPr>
        <w:t>绩效激励：</w:t>
      </w:r>
      <w:r>
        <w:rPr>
          <w:rFonts w:hint="eastAsia" w:ascii="宋体" w:hAnsi="宋体" w:eastAsia="宋体"/>
          <w:szCs w:val="21"/>
          <w:highlight w:val="none"/>
          <w:u w:val="single"/>
        </w:rPr>
        <w:t xml:space="preserve">      （应明确按照绩效激励方式的支付方式和支付条件）   </w:t>
      </w:r>
    </w:p>
    <w:p>
      <w:pPr>
        <w:numPr>
          <w:ilvl w:val="0"/>
          <w:numId w:val="1"/>
        </w:numPr>
        <w:adjustRightInd w:val="0"/>
        <w:snapToGrid w:val="0"/>
        <w:spacing w:line="400" w:lineRule="exact"/>
        <w:ind w:firstLine="422" w:firstLineChars="200"/>
        <w:jc w:val="left"/>
        <w:rPr>
          <w:rFonts w:ascii="宋体" w:hAnsi="宋体" w:eastAsia="宋体"/>
          <w:b/>
          <w:szCs w:val="21"/>
          <w:highlight w:val="none"/>
          <w:u w:val="single"/>
        </w:rPr>
      </w:pPr>
      <w:r>
        <w:rPr>
          <w:rFonts w:hint="eastAsia" w:ascii="宋体" w:hAnsi="宋体" w:eastAsia="宋体"/>
          <w:b/>
          <w:szCs w:val="21"/>
          <w:highlight w:val="none"/>
        </w:rPr>
        <w:t>合同履行</w:t>
      </w:r>
    </w:p>
    <w:p>
      <w:pPr>
        <w:adjustRightInd w:val="0"/>
        <w:snapToGrid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（1）起始日期：    年  月  日，完成日期：    年  月  日。</w:t>
      </w:r>
    </w:p>
    <w:p>
      <w:pPr>
        <w:adjustRightInd w:val="0"/>
        <w:snapToGrid w:val="0"/>
        <w:spacing w:line="400" w:lineRule="exact"/>
        <w:ind w:firstLine="420" w:firstLineChars="200"/>
        <w:jc w:val="left"/>
        <w:rPr>
          <w:rFonts w:hint="default" w:ascii="宋体" w:hAnsi="宋体" w:eastAsia="宋体" w:cs="宋体"/>
          <w:szCs w:val="21"/>
          <w:highlight w:val="none"/>
          <w:u w:val="single"/>
          <w:lang w:val="en-US" w:eastAsia="zh-CN"/>
        </w:rPr>
      </w:pPr>
      <w:r>
        <w:rPr>
          <w:rFonts w:hint="eastAsia" w:ascii="宋体" w:hAnsi="宋体" w:eastAsia="宋体" w:cs="宋体"/>
          <w:szCs w:val="21"/>
          <w:highlight w:val="none"/>
        </w:rPr>
        <w:t>（2）履约地点</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东海县牛山北路206号东海县自然资源和规划局</w:t>
      </w:r>
    </w:p>
    <w:p>
      <w:pPr>
        <w:adjustRightInd w:val="0"/>
        <w:snapToGrid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bCs/>
          <w:szCs w:val="21"/>
          <w:highlight w:val="none"/>
        </w:rPr>
        <w:t>（3）履约担保：</w:t>
      </w:r>
      <w:r>
        <w:rPr>
          <w:rFonts w:hint="eastAsia" w:ascii="宋体" w:hAnsi="宋体" w:eastAsia="宋体" w:cs="宋体"/>
          <w:highlight w:val="none"/>
        </w:rPr>
        <w:t>是否收取履约保证金：</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cs="宋体"/>
          <w:szCs w:val="21"/>
          <w:highlight w:val="none"/>
        </w:rPr>
        <w:t>否</w:t>
      </w:r>
    </w:p>
    <w:p>
      <w:pPr>
        <w:pStyle w:val="35"/>
        <w:ind w:firstLine="945" w:firstLineChars="450"/>
        <w:rPr>
          <w:rFonts w:ascii="宋体" w:hAnsi="宋体" w:eastAsia="宋体" w:cs="宋体"/>
          <w:sz w:val="21"/>
          <w:highlight w:val="none"/>
        </w:rPr>
      </w:pPr>
      <w:r>
        <w:rPr>
          <w:rFonts w:hint="eastAsia" w:ascii="宋体" w:hAnsi="宋体" w:eastAsia="宋体" w:cs="宋体"/>
          <w:sz w:val="21"/>
          <w:highlight w:val="none"/>
        </w:rPr>
        <w:t>收取履约保证金形式：</w:t>
      </w:r>
    </w:p>
    <w:p>
      <w:pPr>
        <w:pStyle w:val="35"/>
        <w:ind w:firstLine="945" w:firstLineChars="450"/>
        <w:rPr>
          <w:rFonts w:ascii="宋体" w:hAnsi="宋体" w:eastAsia="宋体" w:cs="宋体"/>
          <w:sz w:val="21"/>
          <w:highlight w:val="none"/>
        </w:rPr>
      </w:pPr>
      <w:r>
        <w:rPr>
          <w:rFonts w:hint="eastAsia" w:ascii="宋体" w:hAnsi="宋体" w:eastAsia="宋体" w:cs="宋体"/>
          <w:sz w:val="21"/>
          <w:highlight w:val="none"/>
        </w:rPr>
        <w:t>收取履约保证金金额：</w:t>
      </w:r>
    </w:p>
    <w:p>
      <w:pPr>
        <w:snapToGrid w:val="0"/>
        <w:spacing w:line="400" w:lineRule="exact"/>
        <w:ind w:firstLine="945" w:firstLineChars="450"/>
        <w:jc w:val="left"/>
        <w:rPr>
          <w:rFonts w:ascii="宋体" w:hAnsi="宋体" w:eastAsia="宋体" w:cs="宋体"/>
          <w:highlight w:val="none"/>
        </w:rPr>
      </w:pPr>
      <w:r>
        <w:rPr>
          <w:rFonts w:hint="eastAsia" w:ascii="宋体" w:hAnsi="宋体" w:eastAsia="宋体" w:cs="宋体"/>
          <w:bCs/>
          <w:szCs w:val="21"/>
          <w:highlight w:val="none"/>
        </w:rPr>
        <w:t>履约担保期限：</w:t>
      </w:r>
    </w:p>
    <w:p>
      <w:pPr>
        <w:adjustRightInd w:val="0"/>
        <w:snapToGrid w:val="0"/>
        <w:spacing w:line="400" w:lineRule="exact"/>
        <w:ind w:firstLine="420" w:firstLineChars="200"/>
        <w:jc w:val="left"/>
        <w:rPr>
          <w:rFonts w:ascii="宋体" w:hAnsi="宋体" w:eastAsia="宋体" w:cs="宋体"/>
          <w:bCs/>
          <w:szCs w:val="21"/>
          <w:highlight w:val="none"/>
        </w:rPr>
      </w:pPr>
      <w:r>
        <w:rPr>
          <w:rFonts w:hint="eastAsia" w:ascii="宋体" w:hAnsi="宋体" w:eastAsia="宋体" w:cs="宋体"/>
          <w:bCs/>
          <w:szCs w:val="21"/>
          <w:highlight w:val="none"/>
        </w:rPr>
        <w:t>（4）分期履行要求：</w:t>
      </w:r>
    </w:p>
    <w:p>
      <w:pPr>
        <w:adjustRightInd w:val="0"/>
        <w:snapToGrid w:val="0"/>
        <w:spacing w:line="400" w:lineRule="exact"/>
        <w:ind w:firstLine="420" w:firstLineChars="200"/>
        <w:jc w:val="left"/>
        <w:rPr>
          <w:rFonts w:ascii="宋体" w:hAnsi="宋体" w:eastAsia="宋体" w:cs="宋体"/>
          <w:szCs w:val="21"/>
          <w:highlight w:val="none"/>
          <w:u w:val="single"/>
        </w:rPr>
      </w:pPr>
      <w:r>
        <w:rPr>
          <w:rFonts w:hint="eastAsia" w:ascii="宋体" w:hAnsi="宋体" w:eastAsia="宋体" w:cs="宋体"/>
          <w:bCs/>
          <w:szCs w:val="21"/>
          <w:highlight w:val="none"/>
        </w:rPr>
        <w:t>（5）风险处置措施和替代方案：</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合同验收</w:t>
      </w:r>
    </w:p>
    <w:p>
      <w:pPr>
        <w:adjustRightInd w:val="0"/>
        <w:snapToGrid w:val="0"/>
        <w:spacing w:line="400" w:lineRule="exact"/>
        <w:ind w:firstLine="420" w:firstLineChars="200"/>
        <w:jc w:val="left"/>
        <w:rPr>
          <w:rFonts w:ascii="宋体" w:hAnsi="宋体" w:eastAsia="宋体"/>
          <w:bCs/>
          <w:szCs w:val="21"/>
          <w:highlight w:val="none"/>
        </w:rPr>
      </w:pPr>
      <w:r>
        <w:rPr>
          <w:rFonts w:hint="eastAsia" w:ascii="宋体" w:hAnsi="宋体" w:eastAsia="宋体"/>
          <w:bCs/>
          <w:szCs w:val="21"/>
          <w:highlight w:val="none"/>
        </w:rPr>
        <w:t>（1）验收组织方式：</w:t>
      </w:r>
      <w:r>
        <w:rPr>
          <w:rFonts w:hint="eastAsia" w:ascii="宋体" w:hAnsi="宋体" w:eastAsia="宋体" w:cs="宋体"/>
          <w:szCs w:val="21"/>
          <w:highlight w:val="none"/>
        </w:rPr>
        <w:sym w:font="Wingdings" w:char="00FE"/>
      </w:r>
      <w:r>
        <w:rPr>
          <w:rFonts w:hint="eastAsia" w:ascii="宋体" w:hAnsi="宋体" w:eastAsia="宋体"/>
          <w:bCs/>
          <w:szCs w:val="21"/>
          <w:highlight w:val="none"/>
        </w:rPr>
        <w:t xml:space="preserve">自行组织  </w:t>
      </w:r>
      <w:r>
        <w:rPr>
          <w:rFonts w:hint="eastAsia" w:ascii="宋体" w:hAnsi="宋体" w:eastAsia="宋体" w:cs="宋体"/>
          <w:szCs w:val="21"/>
          <w:highlight w:val="none"/>
        </w:rPr>
        <w:sym w:font="Wingdings" w:char="00A8"/>
      </w:r>
      <w:r>
        <w:rPr>
          <w:rFonts w:hint="eastAsia" w:ascii="宋体" w:hAnsi="宋体" w:eastAsia="宋体"/>
          <w:bCs/>
          <w:szCs w:val="21"/>
          <w:highlight w:val="none"/>
        </w:rPr>
        <w:t>委托第三方组织</w:t>
      </w:r>
    </w:p>
    <w:p>
      <w:pPr>
        <w:adjustRightInd w:val="0"/>
        <w:snapToGrid w:val="0"/>
        <w:spacing w:line="400" w:lineRule="exact"/>
        <w:ind w:firstLine="945" w:firstLineChars="450"/>
        <w:jc w:val="left"/>
        <w:rPr>
          <w:rFonts w:hint="default" w:ascii="宋体" w:hAnsi="宋体" w:eastAsia="宋体"/>
          <w:bCs/>
          <w:szCs w:val="21"/>
          <w:highlight w:val="none"/>
          <w:lang w:val="en-US" w:eastAsia="zh-CN"/>
        </w:rPr>
      </w:pPr>
      <w:r>
        <w:rPr>
          <w:rFonts w:hint="eastAsia" w:ascii="宋体" w:hAnsi="宋体" w:eastAsia="宋体"/>
          <w:bCs/>
          <w:szCs w:val="21"/>
          <w:highlight w:val="none"/>
        </w:rPr>
        <w:t>验收主体：</w:t>
      </w:r>
      <w:r>
        <w:rPr>
          <w:rFonts w:hint="eastAsia" w:ascii="宋体" w:hAnsi="宋体" w:eastAsia="宋体"/>
          <w:bCs/>
          <w:szCs w:val="21"/>
          <w:highlight w:val="none"/>
          <w:lang w:val="en-US" w:eastAsia="zh-CN"/>
        </w:rPr>
        <w:t>东海县自然资源和规划局</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是否邀请本项目的其他供应商参加验收：</w:t>
      </w:r>
      <w:r>
        <w:rPr>
          <w:rFonts w:hint="eastAsia" w:ascii="宋体" w:hAnsi="宋体" w:eastAsia="宋体" w:cs="宋体"/>
          <w:szCs w:val="21"/>
          <w:highlight w:val="none"/>
        </w:rPr>
        <w:sym w:font="Wingdings" w:char="00A8"/>
      </w:r>
      <w:r>
        <w:rPr>
          <w:rFonts w:hint="eastAsia" w:ascii="宋体" w:hAnsi="宋体" w:eastAsia="宋体"/>
          <w:bCs/>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是否邀请专家参加验收：</w:t>
      </w:r>
      <w:r>
        <w:rPr>
          <w:rFonts w:hint="eastAsia" w:ascii="宋体" w:hAnsi="宋体" w:eastAsia="宋体" w:cs="宋体"/>
          <w:szCs w:val="21"/>
          <w:highlight w:val="none"/>
        </w:rPr>
        <w:sym w:font="Wingdings" w:char="00A8"/>
      </w:r>
      <w:r>
        <w:rPr>
          <w:rFonts w:hint="eastAsia" w:ascii="宋体" w:hAnsi="宋体" w:eastAsia="宋体"/>
          <w:bCs/>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是否邀请服务对象参加验收：</w:t>
      </w:r>
      <w:r>
        <w:rPr>
          <w:rFonts w:hint="eastAsia" w:ascii="宋体" w:hAnsi="宋体" w:eastAsia="宋体" w:cs="宋体"/>
          <w:szCs w:val="21"/>
          <w:highlight w:val="none"/>
        </w:rPr>
        <w:sym w:font="Wingdings" w:char="00A8"/>
      </w:r>
      <w:r>
        <w:rPr>
          <w:rFonts w:hint="eastAsia" w:ascii="宋体" w:hAnsi="宋体" w:eastAsia="宋体"/>
          <w:bCs/>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是否邀请第三方检测机构参加验收：</w:t>
      </w:r>
      <w:r>
        <w:rPr>
          <w:rFonts w:hint="eastAsia" w:ascii="宋体" w:hAnsi="宋体" w:eastAsia="宋体" w:cs="宋体"/>
          <w:szCs w:val="21"/>
          <w:highlight w:val="none"/>
        </w:rPr>
        <w:sym w:font="Wingdings" w:char="00FE"/>
      </w:r>
      <w:r>
        <w:rPr>
          <w:rFonts w:hint="eastAsia" w:ascii="宋体" w:hAnsi="宋体" w:eastAsia="宋体"/>
          <w:bCs/>
          <w:szCs w:val="21"/>
          <w:highlight w:val="none"/>
        </w:rPr>
        <w:t xml:space="preserve">是  </w:t>
      </w:r>
      <w:r>
        <w:rPr>
          <w:rFonts w:hint="eastAsia" w:ascii="宋体" w:hAnsi="宋体" w:eastAsia="宋体" w:cs="宋体"/>
          <w:szCs w:val="21"/>
          <w:highlight w:val="none"/>
        </w:rPr>
        <w:sym w:font="Wingdings" w:char="00A8"/>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是否进行抽查检测：</w:t>
      </w:r>
      <w:r>
        <w:rPr>
          <w:rFonts w:hint="eastAsia" w:ascii="宋体" w:hAnsi="宋体" w:eastAsia="宋体" w:cs="宋体"/>
          <w:szCs w:val="21"/>
          <w:highlight w:val="none"/>
        </w:rPr>
        <w:sym w:font="Wingdings" w:char="00A8"/>
      </w:r>
      <w:r>
        <w:rPr>
          <w:rFonts w:hint="eastAsia" w:ascii="宋体" w:hAnsi="宋体" w:eastAsia="宋体"/>
          <w:bCs/>
          <w:szCs w:val="21"/>
          <w:highlight w:val="none"/>
        </w:rPr>
        <w:t xml:space="preserve">是，抽查比例：    </w:t>
      </w:r>
      <w:r>
        <w:rPr>
          <w:rFonts w:hint="eastAsia" w:ascii="宋体" w:hAnsi="宋体" w:eastAsia="宋体" w:cs="宋体"/>
          <w:szCs w:val="21"/>
          <w:highlight w:val="none"/>
        </w:rPr>
        <w:sym w:font="Wingdings" w:char="00FE"/>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rPr>
      </w:pPr>
      <w:r>
        <w:rPr>
          <w:rFonts w:hint="eastAsia" w:ascii="宋体" w:hAnsi="宋体" w:eastAsia="宋体"/>
          <w:bCs/>
          <w:szCs w:val="21"/>
          <w:highlight w:val="none"/>
        </w:rPr>
        <w:t>是否存在破坏性检测：</w:t>
      </w:r>
      <w:r>
        <w:rPr>
          <w:rFonts w:hint="eastAsia" w:ascii="宋体" w:hAnsi="宋体" w:eastAsia="宋体" w:cs="宋体"/>
          <w:szCs w:val="21"/>
          <w:highlight w:val="none"/>
        </w:rPr>
        <w:sym w:font="Wingdings" w:char="00A8"/>
      </w:r>
      <w:r>
        <w:rPr>
          <w:rFonts w:hint="eastAsia" w:ascii="宋体" w:hAnsi="宋体" w:eastAsia="宋体"/>
          <w:bCs/>
          <w:szCs w:val="21"/>
          <w:highlight w:val="none"/>
        </w:rPr>
        <w:t>是，</w:t>
      </w:r>
      <w:r>
        <w:rPr>
          <w:rFonts w:hint="eastAsia" w:ascii="宋体" w:hAnsi="宋体" w:eastAsia="宋体"/>
          <w:bCs/>
          <w:szCs w:val="21"/>
          <w:highlight w:val="none"/>
          <w:u w:val="single"/>
        </w:rPr>
        <w:t>（应明确对被破坏的检测产品的处理方式）</w:t>
      </w:r>
      <w:r>
        <w:rPr>
          <w:rFonts w:hint="eastAsia" w:ascii="宋体" w:hAnsi="宋体" w:eastAsia="宋体"/>
          <w:bCs/>
          <w:szCs w:val="21"/>
          <w:highlight w:val="none"/>
        </w:rPr>
        <w:t xml:space="preserve">  </w:t>
      </w:r>
      <w:r>
        <w:rPr>
          <w:rFonts w:hint="eastAsia" w:ascii="宋体" w:hAnsi="宋体" w:eastAsia="宋体" w:cs="宋体"/>
          <w:szCs w:val="21"/>
          <w:highlight w:val="none"/>
        </w:rPr>
        <w:sym w:font="Wingdings" w:char="00FE"/>
      </w:r>
      <w:r>
        <w:rPr>
          <w:rFonts w:hint="eastAsia" w:ascii="宋体" w:hAnsi="宋体" w:eastAsia="宋体"/>
          <w:bCs/>
          <w:szCs w:val="21"/>
          <w:highlight w:val="none"/>
        </w:rPr>
        <w:t>否</w:t>
      </w:r>
    </w:p>
    <w:p>
      <w:pPr>
        <w:adjustRightInd w:val="0"/>
        <w:snapToGrid w:val="0"/>
        <w:spacing w:line="400" w:lineRule="exact"/>
        <w:ind w:firstLine="945" w:firstLineChars="450"/>
        <w:jc w:val="left"/>
        <w:rPr>
          <w:rFonts w:ascii="宋体" w:hAnsi="宋体" w:eastAsia="宋体"/>
          <w:bCs/>
          <w:szCs w:val="21"/>
          <w:highlight w:val="none"/>
          <w:u w:val="single"/>
        </w:rPr>
      </w:pPr>
      <w:r>
        <w:rPr>
          <w:rFonts w:hint="eastAsia" w:ascii="宋体" w:hAnsi="宋体" w:eastAsia="宋体"/>
          <w:bCs/>
          <w:szCs w:val="21"/>
          <w:highlight w:val="none"/>
        </w:rPr>
        <w:t>验收组织的其他事项：</w:t>
      </w:r>
    </w:p>
    <w:p>
      <w:pPr>
        <w:adjustRightInd w:val="0"/>
        <w:snapToGrid w:val="0"/>
        <w:spacing w:line="400" w:lineRule="exact"/>
        <w:ind w:firstLine="420" w:firstLineChars="200"/>
        <w:jc w:val="left"/>
        <w:rPr>
          <w:rFonts w:ascii="宋体" w:hAnsi="宋体" w:eastAsia="宋体"/>
          <w:bCs/>
          <w:szCs w:val="21"/>
          <w:highlight w:val="none"/>
          <w:u w:val="single"/>
        </w:rPr>
      </w:pPr>
      <w:r>
        <w:rPr>
          <w:rFonts w:hint="eastAsia" w:ascii="宋体" w:hAnsi="宋体" w:eastAsia="宋体"/>
          <w:bCs/>
          <w:szCs w:val="21"/>
          <w:highlight w:val="none"/>
        </w:rPr>
        <w:t>（2）履约验收时间：</w:t>
      </w:r>
      <w:r>
        <w:rPr>
          <w:rFonts w:hint="eastAsia" w:ascii="宋体" w:hAnsi="宋体" w:eastAsia="宋体"/>
          <w:bCs/>
          <w:szCs w:val="21"/>
          <w:highlight w:val="none"/>
          <w:u w:val="single"/>
        </w:rPr>
        <w:t>（计划于何时验收/供应商提出验收申请之日起   日内组织验收）</w:t>
      </w:r>
    </w:p>
    <w:p>
      <w:pPr>
        <w:adjustRightInd w:val="0"/>
        <w:snapToGrid w:val="0"/>
        <w:spacing w:line="400" w:lineRule="exact"/>
        <w:ind w:firstLine="420" w:firstLineChars="200"/>
        <w:jc w:val="left"/>
        <w:rPr>
          <w:rFonts w:ascii="宋体" w:hAnsi="宋体" w:eastAsia="宋体"/>
          <w:bCs/>
          <w:szCs w:val="21"/>
          <w:highlight w:val="none"/>
        </w:rPr>
      </w:pPr>
      <w:r>
        <w:rPr>
          <w:rFonts w:hint="eastAsia" w:ascii="宋体" w:hAnsi="宋体" w:eastAsia="宋体"/>
          <w:bCs/>
          <w:szCs w:val="21"/>
          <w:highlight w:val="none"/>
        </w:rPr>
        <w:t>（3）履约验收方式：</w:t>
      </w:r>
    </w:p>
    <w:p>
      <w:pPr>
        <w:spacing w:before="0" w:line="400" w:lineRule="exact"/>
        <w:ind w:firstLine="0"/>
        <w:rPr>
          <w:rFonts w:hint="eastAsia" w:ascii="宋体" w:hAnsi="宋体" w:eastAsia="宋体" w:cs="Times New Roman"/>
          <w:bCs/>
          <w:szCs w:val="21"/>
          <w:highlight w:val="none"/>
          <w:lang w:val="en-US" w:eastAsia="zh-CN"/>
        </w:rPr>
      </w:pPr>
      <w:r>
        <w:rPr>
          <w:rFonts w:hint="eastAsia" w:ascii="宋体" w:hAnsi="宋体" w:eastAsia="宋体" w:cs="宋体"/>
          <w:szCs w:val="21"/>
          <w:highlight w:val="none"/>
        </w:rPr>
        <w:sym w:font="Wingdings" w:char="00A8"/>
      </w:r>
      <w:r>
        <w:rPr>
          <w:rFonts w:hint="eastAsia" w:ascii="宋体" w:hAnsi="宋体" w:eastAsia="宋体"/>
          <w:bCs/>
          <w:szCs w:val="21"/>
          <w:highlight w:val="none"/>
        </w:rPr>
        <w:t xml:space="preserve">一次性验收  </w:t>
      </w:r>
      <w:r>
        <w:rPr>
          <w:rFonts w:hint="eastAsia" w:ascii="宋体" w:hAnsi="宋体" w:eastAsia="宋体" w:cs="宋体"/>
          <w:szCs w:val="21"/>
          <w:highlight w:val="none"/>
        </w:rPr>
        <w:sym w:font="Wingdings" w:char="00FE"/>
      </w:r>
      <w:r>
        <w:rPr>
          <w:rFonts w:hint="eastAsia" w:ascii="宋体" w:hAnsi="宋体" w:eastAsia="宋体"/>
          <w:bCs/>
          <w:szCs w:val="21"/>
          <w:highlight w:val="none"/>
        </w:rPr>
        <w:t>分期/分项验收：</w:t>
      </w:r>
      <w:r>
        <w:rPr>
          <w:rFonts w:hint="eastAsia" w:ascii="宋体" w:hAnsi="宋体" w:eastAsia="宋体" w:cs="Times New Roman"/>
          <w:bCs/>
          <w:szCs w:val="21"/>
          <w:highlight w:val="none"/>
          <w:u w:val="single"/>
          <w:lang w:val="en-US" w:eastAsia="zh-CN"/>
        </w:rPr>
        <w:t>每安装完成一台，组织验收一台不影响投入使用。</w:t>
      </w:r>
      <w:r>
        <w:rPr>
          <w:rFonts w:hint="eastAsia" w:ascii="宋体" w:hAnsi="宋体" w:eastAsia="Arial" w:cs="Times New Roman"/>
          <w:bCs/>
          <w:szCs w:val="21"/>
          <w:highlight w:val="none"/>
          <w:u w:val="single"/>
        </w:rPr>
        <w:t xml:space="preserve"> </w:t>
      </w:r>
      <w:r>
        <w:rPr>
          <w:rFonts w:hint="eastAsia" w:ascii="宋体" w:hAnsi="宋体" w:eastAsia="Arial" w:cs="Times New Roman"/>
          <w:bCs/>
          <w:szCs w:val="21"/>
          <w:highlight w:val="none"/>
          <w:u w:val="single"/>
          <w:lang w:val="en-US" w:eastAsia="zh-CN"/>
        </w:rPr>
        <w:t xml:space="preserve"> </w:t>
      </w:r>
    </w:p>
    <w:p>
      <w:pPr>
        <w:adjustRightInd w:val="0"/>
        <w:snapToGrid w:val="0"/>
        <w:spacing w:line="400" w:lineRule="exact"/>
        <w:ind w:firstLine="420" w:firstLineChars="200"/>
        <w:jc w:val="left"/>
        <w:rPr>
          <w:rFonts w:ascii="宋体" w:hAnsi="宋体" w:eastAsia="宋体"/>
          <w:bCs/>
          <w:szCs w:val="21"/>
          <w:highlight w:val="none"/>
        </w:rPr>
      </w:pPr>
      <w:r>
        <w:rPr>
          <w:rFonts w:hint="eastAsia" w:ascii="宋体" w:hAnsi="宋体" w:eastAsia="宋体"/>
          <w:bCs/>
          <w:szCs w:val="21"/>
          <w:highlight w:val="none"/>
        </w:rPr>
        <w:t>（4）履约验收程序：</w:t>
      </w:r>
      <w:r>
        <w:rPr>
          <w:rFonts w:hint="eastAsia" w:ascii="宋体" w:hAnsi="宋体" w:eastAsia="宋体" w:cs="Times New Roman"/>
          <w:bCs/>
          <w:szCs w:val="21"/>
          <w:highlight w:val="none"/>
          <w:u w:val="single"/>
          <w:lang w:val="en-US" w:eastAsia="zh-CN"/>
        </w:rPr>
        <w:t>详见采购文件</w:t>
      </w:r>
    </w:p>
    <w:p>
      <w:pPr>
        <w:adjustRightInd w:val="0"/>
        <w:snapToGrid w:val="0"/>
        <w:spacing w:line="400" w:lineRule="exact"/>
        <w:ind w:firstLine="420" w:firstLineChars="200"/>
        <w:jc w:val="left"/>
        <w:rPr>
          <w:rFonts w:ascii="宋体" w:hAnsi="宋体" w:eastAsia="宋体"/>
          <w:bCs/>
          <w:szCs w:val="21"/>
          <w:highlight w:val="none"/>
          <w:u w:val="single"/>
        </w:rPr>
      </w:pPr>
      <w:r>
        <w:rPr>
          <w:rFonts w:hint="eastAsia" w:ascii="宋体" w:hAnsi="宋体" w:eastAsia="宋体"/>
          <w:bCs/>
          <w:szCs w:val="21"/>
          <w:highlight w:val="none"/>
        </w:rPr>
        <w:t>（5）履约验收的内容：</w:t>
      </w:r>
      <w:r>
        <w:rPr>
          <w:rFonts w:hint="eastAsia" w:ascii="宋体" w:hAnsi="宋体" w:eastAsia="宋体" w:cs="Times New Roman"/>
          <w:bCs/>
          <w:szCs w:val="21"/>
          <w:highlight w:val="none"/>
          <w:u w:val="single"/>
          <w:lang w:val="en-US" w:eastAsia="zh-CN"/>
        </w:rPr>
        <w:t>详见采购文件</w:t>
      </w:r>
    </w:p>
    <w:p>
      <w:pPr>
        <w:adjustRightInd w:val="0"/>
        <w:snapToGrid w:val="0"/>
        <w:spacing w:line="400" w:lineRule="exact"/>
        <w:ind w:firstLine="420" w:firstLineChars="200"/>
        <w:jc w:val="left"/>
        <w:rPr>
          <w:rFonts w:ascii="宋体" w:hAnsi="宋体" w:eastAsia="宋体"/>
          <w:bCs/>
          <w:szCs w:val="21"/>
          <w:highlight w:val="none"/>
          <w:u w:val="single"/>
        </w:rPr>
      </w:pPr>
      <w:r>
        <w:rPr>
          <w:rFonts w:hint="eastAsia" w:ascii="宋体" w:hAnsi="宋体" w:eastAsia="宋体"/>
          <w:bCs/>
          <w:szCs w:val="21"/>
          <w:highlight w:val="none"/>
        </w:rPr>
        <w:t>（6）履约验收标准：</w:t>
      </w:r>
      <w:r>
        <w:rPr>
          <w:rFonts w:hint="eastAsia" w:ascii="宋体" w:hAnsi="宋体" w:eastAsia="宋体" w:cs="Times New Roman"/>
          <w:bCs/>
          <w:szCs w:val="21"/>
          <w:highlight w:val="none"/>
          <w:u w:val="single"/>
          <w:lang w:val="en-US" w:eastAsia="zh-CN"/>
        </w:rPr>
        <w:t>详见采购文件</w:t>
      </w:r>
    </w:p>
    <w:p>
      <w:pPr>
        <w:pStyle w:val="35"/>
        <w:ind w:firstLine="420"/>
        <w:rPr>
          <w:rFonts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 xml:space="preserve">是  </w:t>
      </w:r>
      <w:r>
        <w:rPr>
          <w:rFonts w:hint="eastAsia" w:ascii="宋体" w:hAnsi="宋体" w:eastAsia="宋体" w:cs="宋体"/>
          <w:sz w:val="21"/>
          <w:highlight w:val="none"/>
        </w:rPr>
        <w:sym w:font="Wingdings" w:char="00FE"/>
      </w:r>
      <w:r>
        <w:rPr>
          <w:rFonts w:hint="eastAsia" w:ascii="宋体" w:hAnsi="宋体" w:eastAsia="宋体" w:cs="宋体"/>
          <w:bCs/>
          <w:sz w:val="21"/>
          <w:highlight w:val="none"/>
        </w:rPr>
        <w:t>否</w:t>
      </w:r>
    </w:p>
    <w:p>
      <w:pPr>
        <w:adjustRightInd w:val="0"/>
        <w:snapToGrid w:val="0"/>
        <w:spacing w:line="400" w:lineRule="exact"/>
        <w:ind w:firstLine="420" w:firstLineChars="200"/>
        <w:jc w:val="left"/>
        <w:rPr>
          <w:rFonts w:ascii="宋体" w:hAnsi="宋体" w:eastAsia="宋体" w:cs="宋体"/>
          <w:bCs/>
          <w:szCs w:val="21"/>
          <w:highlight w:val="none"/>
          <w:u w:val="single"/>
        </w:rPr>
      </w:pPr>
      <w:r>
        <w:rPr>
          <w:rFonts w:hint="eastAsia" w:ascii="宋体" w:hAnsi="宋体" w:eastAsia="宋体" w:cs="宋体"/>
          <w:bCs/>
          <w:szCs w:val="21"/>
          <w:highlight w:val="none"/>
        </w:rPr>
        <w:t>（8）履约验收其他事项：</w:t>
      </w:r>
      <w:r>
        <w:rPr>
          <w:rFonts w:hint="eastAsia" w:ascii="宋体" w:hAnsi="宋体" w:eastAsia="Arial" w:cs="宋体"/>
          <w:bCs/>
          <w:i w:val="0"/>
          <w:iCs w:val="0"/>
          <w:szCs w:val="21"/>
          <w:highlight w:val="none"/>
          <w:u w:val="single"/>
          <w:lang w:val="en-US" w:eastAsia="zh-CN"/>
        </w:rPr>
        <w:t>验收费用由中标人支付</w:t>
      </w:r>
      <w:r>
        <w:rPr>
          <w:rFonts w:hint="eastAsia" w:ascii="宋体" w:hAnsi="宋体" w:eastAsia="Arial" w:cs="宋体"/>
          <w:bCs/>
          <w:szCs w:val="21"/>
          <w:highlight w:val="none"/>
          <w:u w:val="single"/>
        </w:rPr>
        <w:t xml:space="preserve">  </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组成合同的文件</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（1）政府采购合同协议书及其变更、补充协议</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（2）政府采购合同专用条款</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（3）政府采购合同通用条款</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（4）中标（成交）通知书</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（5）投标（响应）文件</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（6）采购文件</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（7）有关技术文件，图纸</w:t>
      </w:r>
    </w:p>
    <w:p>
      <w:pPr>
        <w:pStyle w:val="35"/>
        <w:ind w:firstLine="420"/>
        <w:rPr>
          <w:rFonts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color w:val="000000" w:themeColor="text1"/>
          <w:kern w:val="2"/>
          <w:sz w:val="21"/>
          <w:highlight w:val="none"/>
          <w14:textFill>
            <w14:solidFill>
              <w14:schemeClr w14:val="tx1"/>
            </w14:solidFill>
          </w14:textFill>
        </w:rPr>
        <w:t>国家法律、行政法规和规章制度规定或合同约定的作为合同组成部分的其他文件</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合同生效</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本合同自        生效。</w:t>
      </w:r>
    </w:p>
    <w:p>
      <w:pPr>
        <w:numPr>
          <w:ilvl w:val="0"/>
          <w:numId w:val="1"/>
        </w:numPr>
        <w:adjustRightInd w:val="0"/>
        <w:snapToGrid w:val="0"/>
        <w:spacing w:line="400" w:lineRule="exact"/>
        <w:ind w:firstLine="422" w:firstLineChars="200"/>
        <w:jc w:val="left"/>
        <w:rPr>
          <w:rFonts w:ascii="宋体" w:hAnsi="宋体" w:eastAsia="宋体"/>
          <w:b/>
          <w:szCs w:val="21"/>
          <w:highlight w:val="none"/>
        </w:rPr>
      </w:pPr>
      <w:r>
        <w:rPr>
          <w:rFonts w:hint="eastAsia" w:ascii="宋体" w:hAnsi="宋体" w:eastAsia="宋体"/>
          <w:b/>
          <w:szCs w:val="21"/>
          <w:highlight w:val="none"/>
        </w:rPr>
        <w:t>合同份数</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本合同一式    份，甲方执    份，乙方执    份，均具有同等法律效力。</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合同订立时间：     年  月  日</w:t>
      </w:r>
    </w:p>
    <w:p>
      <w:pPr>
        <w:adjustRightInd w:val="0"/>
        <w:snapToGrid w:val="0"/>
        <w:spacing w:line="400" w:lineRule="exact"/>
        <w:ind w:firstLine="420" w:firstLineChars="200"/>
        <w:jc w:val="left"/>
        <w:rPr>
          <w:rFonts w:ascii="宋体" w:hAnsi="宋体" w:eastAsia="宋体"/>
          <w:szCs w:val="21"/>
          <w:highlight w:val="none"/>
        </w:rPr>
      </w:pPr>
      <w:r>
        <w:rPr>
          <w:rFonts w:hint="eastAsia" w:ascii="宋体" w:hAnsi="宋体" w:eastAsia="宋体"/>
          <w:szCs w:val="21"/>
          <w:highlight w:val="none"/>
        </w:rPr>
        <w:t>合同订立地点：</w:t>
      </w:r>
    </w:p>
    <w:p>
      <w:pPr>
        <w:adjustRightInd w:val="0"/>
        <w:snapToGrid w:val="0"/>
        <w:spacing w:line="400" w:lineRule="exact"/>
        <w:ind w:firstLine="420" w:firstLineChars="200"/>
        <w:jc w:val="left"/>
        <w:rPr>
          <w:rFonts w:ascii="宋体" w:hAnsi="宋体" w:eastAsia="宋体"/>
          <w:highlight w:val="none"/>
        </w:rPr>
      </w:pPr>
      <w:r>
        <w:rPr>
          <w:rFonts w:hint="eastAsia" w:ascii="宋体" w:hAnsi="宋体" w:eastAsia="宋体"/>
          <w:szCs w:val="21"/>
          <w:highlight w:val="none"/>
        </w:rPr>
        <w:t>附件：具体标的及其技术要求和商务要求、联合协议、分包意向协议等。</w:t>
      </w:r>
    </w:p>
    <w:p>
      <w:pPr>
        <w:rPr>
          <w:highlight w:val="none"/>
        </w:rPr>
      </w:pPr>
      <w:r>
        <w:rPr>
          <w:rFonts w:hint="eastAsia"/>
          <w:highlight w:val="none"/>
        </w:rPr>
        <w:br w:type="page"/>
      </w:r>
    </w:p>
    <w:p>
      <w:pPr>
        <w:pStyle w:val="38"/>
        <w:rPr>
          <w:highlight w:val="none"/>
        </w:rPr>
      </w:pPr>
    </w:p>
    <w:tbl>
      <w:tblPr>
        <w:tblStyle w:val="17"/>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4303" w:type="dxa"/>
            <w:gridSpan w:val="2"/>
            <w:tcBorders>
              <w:bottom w:val="single" w:color="auto" w:sz="2" w:space="0"/>
              <w:right w:val="single" w:color="auto" w:sz="2" w:space="0"/>
            </w:tcBorders>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4095" w:type="dxa"/>
            <w:gridSpan w:val="2"/>
            <w:tcBorders>
              <w:left w:val="single" w:color="auto" w:sz="2" w:space="0"/>
              <w:bottom w:val="single" w:color="auto" w:sz="2" w:space="0"/>
            </w:tcBorders>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891" w:type="dxa"/>
            <w:vMerge w:val="restart"/>
            <w:tcBorders>
              <w:top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412" w:type="dxa"/>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vMerge w:val="continue"/>
            <w:tcBorders>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住所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住所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 系 人</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联系电话</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邮政编码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restart"/>
            <w:tcBorders>
              <w:top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开户名称</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continue"/>
            <w:tcBorders>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开户银行</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303" w:type="dxa"/>
            <w:gridSpan w:val="2"/>
            <w:vMerge w:val="continue"/>
            <w:tcBorders>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银行账号</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8398" w:type="dxa"/>
            <w:gridSpan w:val="4"/>
            <w:tcBorders>
              <w:top w:val="single" w:color="auto" w:sz="2" w:space="0"/>
            </w:tcBorders>
            <w:vAlign w:val="center"/>
          </w:tcPr>
          <w:p>
            <w:pPr>
              <w:pStyle w:val="9"/>
              <w:adjustRightInd w:val="0"/>
              <w:snapToGrid w:val="0"/>
              <w:spacing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pPr>
        <w:pStyle w:val="3"/>
        <w:adjustRightInd w:val="0"/>
        <w:snapToGrid w:val="0"/>
        <w:spacing w:line="400" w:lineRule="exact"/>
        <w:jc w:val="center"/>
        <w:rPr>
          <w:rFonts w:ascii="黑体" w:hAnsi="黑体" w:eastAsia="黑体"/>
          <w:sz w:val="28"/>
          <w:szCs w:val="28"/>
          <w:highlight w:val="none"/>
        </w:rPr>
      </w:pPr>
      <w:r>
        <w:rPr>
          <w:rFonts w:ascii="宋体" w:hAnsi="宋体"/>
          <w:sz w:val="21"/>
          <w:szCs w:val="21"/>
          <w:highlight w:val="none"/>
          <w:u w:val="single"/>
        </w:rPr>
        <w:br w:type="page"/>
      </w:r>
      <w:bookmarkStart w:id="6" w:name="_Toc27624"/>
      <w:r>
        <w:rPr>
          <w:rFonts w:hint="eastAsia" w:ascii="黑体" w:hAnsi="黑体" w:eastAsia="黑体"/>
          <w:b w:val="0"/>
          <w:bCs w:val="0"/>
          <w:sz w:val="28"/>
          <w:szCs w:val="28"/>
          <w:highlight w:val="none"/>
        </w:rPr>
        <w:t>第二节 政府采购合同通用条款</w:t>
      </w:r>
      <w:bookmarkEnd w:id="6"/>
    </w:p>
    <w:p>
      <w:pPr>
        <w:tabs>
          <w:tab w:val="left" w:pos="8820"/>
          <w:tab w:val="left" w:pos="9345"/>
          <w:tab w:val="left" w:pos="9765"/>
        </w:tabs>
        <w:adjustRightInd w:val="0"/>
        <w:snapToGrid w:val="0"/>
        <w:spacing w:line="400" w:lineRule="exact"/>
        <w:jc w:val="left"/>
        <w:rPr>
          <w:rFonts w:ascii="宋体" w:hAnsi="宋体"/>
          <w:b/>
          <w:bCs/>
          <w:sz w:val="24"/>
          <w:highlight w:val="none"/>
        </w:rPr>
      </w:pPr>
      <w:r>
        <w:rPr>
          <w:rFonts w:hint="eastAsia" w:ascii="宋体" w:hAnsi="宋体"/>
          <w:b/>
          <w:sz w:val="24"/>
          <w:highlight w:val="none"/>
        </w:rPr>
        <w:t>1.</w:t>
      </w:r>
      <w:r>
        <w:rPr>
          <w:rFonts w:hint="eastAsia" w:ascii="宋体" w:hAnsi="宋体"/>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 本合同下列术语应解释为：</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numPr>
          <w:ilvl w:val="0"/>
          <w:numId w:val="2"/>
        </w:num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pPr>
        <w:adjustRightInd w:val="0"/>
        <w:snapToGrid w:val="0"/>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 甲方的权利和义务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themeColor="text1"/>
          <w:szCs w:val="21"/>
          <w14:textFill>
            <w14:solidFill>
              <w14:schemeClr w14:val="tx1"/>
            </w14:solidFill>
          </w14:textFill>
        </w:rPr>
        <w:t>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 国家法律法规规定及</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约定应由甲方承担的其他义务和责任。</w:t>
      </w:r>
    </w:p>
    <w:p>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5. 乙方的权利和义务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pPr>
        <w:pStyle w:val="8"/>
        <w:spacing w:after="0" w:line="400" w:lineRule="exact"/>
        <w:ind w:firstLine="369" w:firstLineChars="176"/>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根据合同约定向甲方收取合同价款。</w:t>
      </w:r>
    </w:p>
    <w:p>
      <w:pPr>
        <w:pStyle w:val="8"/>
        <w:spacing w:after="0" w:line="400" w:lineRule="exact"/>
        <w:ind w:firstLine="369" w:firstLineChars="176"/>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themeColor="text1"/>
          <w:szCs w:val="21"/>
          <w14:textFill>
            <w14:solidFill>
              <w14:schemeClr w14:val="tx1"/>
            </w14:solidFill>
          </w14:textFill>
        </w:rPr>
        <w:t>由乙方承担的其他义务和责任。</w:t>
      </w:r>
    </w:p>
    <w:p>
      <w:pPr>
        <w:numPr>
          <w:ilvl w:val="0"/>
          <w:numId w:val="3"/>
        </w:num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合同履行</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pPr>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pPr>
        <w:pStyle w:val="35"/>
        <w:ind w:firstLine="420"/>
        <w:rPr>
          <w:sz w:val="21"/>
        </w:rPr>
      </w:pPr>
      <w:r>
        <w:rPr>
          <w:rFonts w:hint="eastAsia" w:ascii="宋体" w:hAnsi="宋体" w:eastAsia="宋体" w:cs="Times New Roman"/>
          <w:color w:val="000000" w:themeColor="text1"/>
          <w:kern w:val="2"/>
          <w:sz w:val="21"/>
          <w14:textFill>
            <w14:solidFill>
              <w14:schemeClr w14:val="tx1"/>
            </w14:solidFill>
          </w14:textFill>
        </w:rPr>
        <w:t xml:space="preserve">7.6 </w:t>
      </w:r>
      <w:r>
        <w:rPr>
          <w:rFonts w:hint="eastAsia" w:ascii="宋体" w:hAnsi="宋体" w:eastAsia="宋体" w:cs="Times New Roman"/>
          <w:color w:val="000000"/>
          <w:kern w:val="2"/>
          <w:sz w:val="21"/>
        </w:rPr>
        <w:t>如因包装、运输问题导致货物</w:t>
      </w:r>
      <w:r>
        <w:rPr>
          <w:rFonts w:hint="eastAsia" w:ascii="宋体" w:hAnsi="宋体" w:eastAsia="宋体" w:cs="Times New Roman"/>
          <w:color w:val="000000" w:themeColor="text1"/>
          <w:kern w:val="2"/>
          <w:sz w:val="21"/>
          <w14:textFill>
            <w14:solidFill>
              <w14:schemeClr w14:val="tx1"/>
            </w14:solidFill>
          </w14:textFill>
        </w:rPr>
        <w:t>损毁、丢失</w:t>
      </w:r>
      <w:r>
        <w:rPr>
          <w:rFonts w:hint="eastAsia" w:ascii="宋体" w:hAnsi="宋体" w:eastAsia="宋体" w:cs="Times New Roman"/>
          <w:color w:val="000000"/>
          <w:kern w:val="2"/>
          <w:sz w:val="21"/>
        </w:rPr>
        <w:t>或者品质下降，甲方有权要求降价、换货、拒收部分或整批货物，由此产生的费用和损失，均由乙方承担。</w:t>
      </w:r>
    </w:p>
    <w:p>
      <w:pPr>
        <w:adjustRightInd w:val="0"/>
        <w:snapToGrid w:val="0"/>
        <w:spacing w:line="400" w:lineRule="exact"/>
        <w:jc w:val="lef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质量标准和保证</w:t>
      </w:r>
    </w:p>
    <w:p>
      <w:pPr>
        <w:pStyle w:val="10"/>
        <w:adjustRightInd w:val="0"/>
        <w:snapToGrid w:val="0"/>
        <w:spacing w:line="400" w:lineRule="exact"/>
        <w:ind w:firstLine="420" w:firstLineChars="200"/>
        <w:jc w:val="left"/>
        <w:rPr>
          <w:rFonts w:hAnsi="宋体"/>
          <w:b/>
        </w:rPr>
      </w:pPr>
      <w:r>
        <w:rPr>
          <w:rFonts w:hint="eastAsia" w:hAnsi="宋体"/>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0"/>
        <w:adjustRightInd w:val="0"/>
        <w:snapToGrid w:val="0"/>
        <w:spacing w:line="400" w:lineRule="exact"/>
        <w:ind w:firstLine="420" w:firstLineChars="200"/>
        <w:jc w:val="left"/>
        <w:rPr>
          <w:rFonts w:hAnsi="宋体"/>
        </w:rPr>
      </w:pPr>
      <w:r>
        <w:rPr>
          <w:rFonts w:hint="eastAsia" w:hAnsi="宋体"/>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sz w:val="24"/>
        </w:rPr>
      </w:pPr>
      <w:r>
        <w:rPr>
          <w:rFonts w:hint="eastAsia" w:ascii="宋体" w:hAnsi="宋体"/>
          <w:b/>
          <w:bCs/>
          <w:color w:val="000000" w:themeColor="text1"/>
          <w:sz w:val="24"/>
          <w14:textFill>
            <w14:solidFill>
              <w14:schemeClr w14:val="tx1"/>
            </w14:solidFill>
          </w14:textFill>
        </w:rPr>
        <w:t>9</w:t>
      </w:r>
      <w:r>
        <w:rPr>
          <w:rFonts w:hint="eastAsia" w:ascii="宋体" w:hAnsi="宋体"/>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10.知识产权保护</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7"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w:t>
      </w:r>
    </w:p>
    <w:p>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12.合同价款支付</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8"/>
        <w:spacing w:after="0" w:line="400" w:lineRule="exact"/>
        <w:rPr>
          <w:rFonts w:ascii="宋体" w:hAnsi="宋体"/>
          <w:b/>
          <w:bCs/>
          <w:sz w:val="24"/>
          <w:szCs w:val="24"/>
        </w:rPr>
      </w:pPr>
      <w:r>
        <w:rPr>
          <w:rFonts w:hint="eastAsia" w:ascii="宋体" w:hAnsi="宋体"/>
          <w:b/>
          <w:bCs/>
          <w:sz w:val="24"/>
          <w:szCs w:val="24"/>
        </w:rPr>
        <w:t>13.履约保证金</w:t>
      </w:r>
    </w:p>
    <w:p>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pPr>
        <w:autoSpaceDE w:val="0"/>
        <w:autoSpaceDN w:val="0"/>
        <w:adjustRightInd w:val="0"/>
        <w:snapToGrid w:val="0"/>
        <w:spacing w:line="400" w:lineRule="exact"/>
        <w:jc w:val="left"/>
        <w:rPr>
          <w:rFonts w:ascii="宋体" w:hAnsi="宋体"/>
          <w:b/>
          <w:sz w:val="24"/>
        </w:rPr>
      </w:pPr>
      <w:r>
        <w:rPr>
          <w:rFonts w:hint="eastAsia" w:ascii="宋体" w:hAnsi="宋体"/>
          <w:b/>
          <w:bCs/>
          <w:sz w:val="24"/>
        </w:rPr>
        <w:t>14.</w:t>
      </w:r>
      <w:r>
        <w:rPr>
          <w:rFonts w:hint="eastAsia"/>
          <w:b/>
          <w:sz w:val="24"/>
        </w:rPr>
        <w:t>售后</w:t>
      </w:r>
      <w:r>
        <w:rPr>
          <w:rFonts w:hint="eastAsia" w:ascii="宋体" w:hAnsi="宋体"/>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pPr>
        <w:pStyle w:val="35"/>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pPr>
        <w:adjustRightInd w:val="0"/>
        <w:snapToGrid w:val="0"/>
        <w:spacing w:line="400" w:lineRule="exact"/>
        <w:jc w:val="left"/>
        <w:rPr>
          <w:rFonts w:ascii="宋体" w:hAnsi="宋体"/>
          <w:b/>
          <w:bCs/>
          <w:sz w:val="24"/>
        </w:rPr>
      </w:pPr>
      <w:r>
        <w:rPr>
          <w:rFonts w:hint="eastAsia" w:ascii="宋体" w:hAnsi="宋体"/>
          <w:b/>
          <w:bCs/>
          <w:sz w:val="24"/>
        </w:rPr>
        <w:t>15.违约责任</w:t>
      </w:r>
    </w:p>
    <w:p>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 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pPr>
        <w:adjustRightInd w:val="0"/>
        <w:snapToGrid w:val="0"/>
        <w:spacing w:line="400" w:lineRule="exact"/>
        <w:ind w:firstLine="420" w:firstLineChars="200"/>
        <w:jc w:val="left"/>
        <w:rPr>
          <w:rFonts w:ascii="宋体" w:hAnsi="宋体"/>
          <w:szCs w:val="21"/>
        </w:rPr>
      </w:pPr>
      <w:r>
        <w:rPr>
          <w:rFonts w:hint="eastAsia" w:ascii="宋体" w:hAnsi="宋体"/>
          <w:bCs/>
          <w:szCs w:val="21"/>
        </w:rPr>
        <w:t>15.4 其他违约责任根据项目实际需要按</w:t>
      </w:r>
      <w:r>
        <w:rPr>
          <w:rFonts w:hint="eastAsia" w:ascii="宋体" w:hAnsi="宋体"/>
          <w:b/>
          <w:bCs/>
          <w:szCs w:val="21"/>
        </w:rPr>
        <w:t>【政府采购合同专用条款】</w:t>
      </w:r>
      <w:r>
        <w:rPr>
          <w:rFonts w:hint="eastAsia" w:ascii="宋体" w:hAnsi="宋体"/>
          <w:szCs w:val="21"/>
        </w:rPr>
        <w:t>规定执行。</w:t>
      </w:r>
    </w:p>
    <w:p>
      <w:pPr>
        <w:numPr>
          <w:ilvl w:val="0"/>
          <w:numId w:val="4"/>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pPr>
        <w:adjustRightInd w:val="0"/>
        <w:snapToGrid w:val="0"/>
        <w:spacing w:line="400" w:lineRule="exact"/>
        <w:ind w:firstLine="420" w:firstLineChars="200"/>
        <w:jc w:val="left"/>
        <w:rPr>
          <w:rFonts w:ascii="宋体" w:hAnsi="宋体"/>
          <w:bCs/>
          <w:szCs w:val="21"/>
        </w:rPr>
      </w:pPr>
      <w:r>
        <w:rPr>
          <w:rFonts w:hint="eastAsia" w:ascii="宋体" w:hAnsi="宋体"/>
          <w:bCs/>
          <w:szCs w:val="21"/>
        </w:rPr>
        <w:t>16.1 合同的变更</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16.2 合同的中止</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35"/>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16.3 合同的终止</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pPr>
        <w:pStyle w:val="35"/>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pPr>
        <w:pStyle w:val="35"/>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17.合同分包</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18.不可抗力</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19.解决争议的方法</w:t>
      </w:r>
    </w:p>
    <w:p>
      <w:pPr>
        <w:pStyle w:val="35"/>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35"/>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pPr>
        <w:pStyle w:val="35"/>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sz w:val="24"/>
        </w:rPr>
      </w:pPr>
      <w:r>
        <w:rPr>
          <w:rFonts w:hint="eastAsia" w:ascii="宋体" w:hAnsi="宋体"/>
          <w:b/>
          <w:sz w:val="24"/>
        </w:rPr>
        <w:t>20.政府采购政策</w:t>
      </w:r>
    </w:p>
    <w:p>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pPr>
        <w:pStyle w:val="8"/>
        <w:spacing w:after="0" w:line="400" w:lineRule="exact"/>
        <w:ind w:firstLine="42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sz w:val="24"/>
        </w:rPr>
      </w:pPr>
      <w:r>
        <w:rPr>
          <w:rFonts w:hint="eastAsia" w:ascii="宋体" w:hAnsi="宋体"/>
          <w:b/>
          <w:sz w:val="24"/>
        </w:rPr>
        <w:t>21.法律适用</w:t>
      </w:r>
    </w:p>
    <w:p>
      <w:pPr>
        <w:pStyle w:val="35"/>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pPr>
        <w:pStyle w:val="35"/>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pPr>
        <w:numPr>
          <w:ilvl w:val="255"/>
          <w:numId w:val="0"/>
        </w:num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pPr>
        <w:pStyle w:val="35"/>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pPr>
        <w:pStyle w:val="35"/>
        <w:ind w:firstLine="420"/>
        <w:jc w:val="both"/>
        <w:rPr>
          <w:rFonts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22.3 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22.4 通知以送达之日或通知书中规定的生效之日起生效，两者中以较迟之日为准。</w:t>
      </w:r>
    </w:p>
    <w:p>
      <w:pPr>
        <w:numPr>
          <w:ilvl w:val="0"/>
          <w:numId w:val="5"/>
        </w:numPr>
        <w:adjustRightInd w:val="0"/>
        <w:snapToGrid w:val="0"/>
        <w:spacing w:line="400" w:lineRule="exact"/>
        <w:jc w:val="left"/>
        <w:rPr>
          <w:rFonts w:ascii="宋体" w:hAnsi="宋体"/>
          <w:b/>
          <w:bCs/>
          <w:sz w:val="24"/>
        </w:rPr>
      </w:pPr>
      <w:r>
        <w:rPr>
          <w:rFonts w:hint="eastAsia" w:ascii="宋体" w:hAnsi="宋体"/>
          <w:b/>
          <w:bCs/>
          <w:sz w:val="24"/>
        </w:rPr>
        <w:t>合同未尽事项</w:t>
      </w:r>
    </w:p>
    <w:p>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 合同未尽事项见</w:t>
      </w:r>
      <w:r>
        <w:rPr>
          <w:rFonts w:hint="eastAsia" w:ascii="宋体" w:hAnsi="宋体"/>
          <w:b/>
          <w:szCs w:val="21"/>
        </w:rPr>
        <w:t>【政府采购合同专用条款】</w:t>
      </w:r>
      <w:r>
        <w:rPr>
          <w:rFonts w:hint="eastAsia" w:ascii="宋体" w:hAnsi="宋体"/>
          <w:bCs/>
          <w:szCs w:val="21"/>
        </w:rPr>
        <w:t>。</w:t>
      </w:r>
    </w:p>
    <w:p>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8" w:name="_Toc20313"/>
    </w:p>
    <w:p>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pPr>
        <w:pStyle w:val="3"/>
        <w:adjustRightInd w:val="0"/>
        <w:snapToGrid w:val="0"/>
        <w:spacing w:line="400" w:lineRule="exact"/>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8"/>
    </w:p>
    <w:tbl>
      <w:tblPr>
        <w:tblStyle w:val="17"/>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pPr>
              <w:adjustRightInd w:val="0"/>
              <w:snapToGrid w:val="0"/>
              <w:jc w:val="center"/>
              <w:rPr>
                <w:rFonts w:ascii="宋体" w:hAnsi="宋体"/>
                <w:szCs w:val="21"/>
              </w:rPr>
            </w:pPr>
            <w:r>
              <w:rPr>
                <w:rFonts w:hint="eastAsia" w:ascii="宋体" w:hAnsi="宋体"/>
                <w:szCs w:val="21"/>
              </w:rPr>
              <w:t>联合体具体要求</w:t>
            </w:r>
          </w:p>
        </w:tc>
        <w:tc>
          <w:tcPr>
            <w:tcW w:w="5170" w:type="dxa"/>
            <w:shd w:val="clear" w:color="auto" w:fill="auto"/>
            <w:vAlign w:val="center"/>
          </w:tcPr>
          <w:p>
            <w:pPr>
              <w:jc w:val="left"/>
              <w:rPr>
                <w:rFonts w:hint="default" w:ascii="宋体" w:hAnsi="宋体" w:eastAsia="Arial" w:cs="Times New Roman"/>
                <w:kern w:val="2"/>
                <w:sz w:val="21"/>
                <w:szCs w:val="21"/>
                <w:lang w:val="en-US" w:eastAsia="zh-CN" w:bidi="ar-SA"/>
              </w:rPr>
            </w:pPr>
            <w:r>
              <w:rPr>
                <w:rFonts w:hint="eastAsia" w:ascii="宋体" w:hAnsi="宋体" w:eastAsia="宋体" w:cs="Times New Roman"/>
                <w:szCs w:val="21"/>
                <w:lang w:val="en-US" w:eastAsia="zh-CN"/>
              </w:rPr>
              <w:t>不接受联合体</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第1.2（7）项</w:t>
            </w:r>
          </w:p>
        </w:tc>
        <w:tc>
          <w:tcPr>
            <w:tcW w:w="1742" w:type="dxa"/>
            <w:vAlign w:val="center"/>
          </w:tcPr>
          <w:p>
            <w:pPr>
              <w:adjustRightInd w:val="0"/>
              <w:snapToGrid w:val="0"/>
              <w:jc w:val="center"/>
              <w:rPr>
                <w:rFonts w:ascii="宋体" w:hAnsi="宋体"/>
                <w:szCs w:val="21"/>
              </w:rPr>
            </w:pPr>
            <w:r>
              <w:rPr>
                <w:rFonts w:hint="eastAsia" w:ascii="宋体" w:hAnsi="宋体"/>
                <w:szCs w:val="21"/>
              </w:rPr>
              <w:t>其他术语解释</w:t>
            </w:r>
          </w:p>
        </w:tc>
        <w:tc>
          <w:tcPr>
            <w:tcW w:w="5170" w:type="dxa"/>
            <w:shd w:val="clear" w:color="auto" w:fill="auto"/>
            <w:vAlign w:val="center"/>
          </w:tcPr>
          <w:p>
            <w:pPr>
              <w:jc w:val="left"/>
              <w:rPr>
                <w:rFonts w:hint="default" w:ascii="宋体" w:hAnsi="宋体" w:eastAsia="宋体" w:cs="Times New Roman"/>
                <w:kern w:val="2"/>
                <w:sz w:val="21"/>
                <w:szCs w:val="21"/>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第4.4款</w:t>
            </w:r>
          </w:p>
        </w:tc>
        <w:tc>
          <w:tcPr>
            <w:tcW w:w="1742" w:type="dxa"/>
            <w:vAlign w:val="center"/>
          </w:tcPr>
          <w:p>
            <w:pPr>
              <w:adjustRightInd w:val="0"/>
              <w:snapToGrid w:val="0"/>
              <w:jc w:val="center"/>
              <w:rPr>
                <w:rFonts w:ascii="宋体" w:hAnsi="宋体"/>
                <w:szCs w:val="21"/>
              </w:rPr>
            </w:pPr>
            <w:r>
              <w:rPr>
                <w:rFonts w:hint="eastAsia" w:ascii="宋体" w:hAnsi="宋体"/>
                <w:szCs w:val="21"/>
              </w:rPr>
              <w:t>履约验收中甲方提出异议或作出说明的期限</w:t>
            </w:r>
          </w:p>
        </w:tc>
        <w:tc>
          <w:tcPr>
            <w:tcW w:w="5170" w:type="dxa"/>
            <w:shd w:val="clear" w:color="auto" w:fill="auto"/>
            <w:vAlign w:val="center"/>
          </w:tcPr>
          <w:p>
            <w:pPr>
              <w:jc w:val="left"/>
              <w:rPr>
                <w:rFonts w:hint="default" w:ascii="宋体" w:hAnsi="宋体" w:eastAsia="宋体" w:cs="Times New Roman"/>
                <w:kern w:val="2"/>
                <w:sz w:val="21"/>
                <w:szCs w:val="21"/>
                <w:highlight w:val="none"/>
                <w:lang w:val="en-US" w:eastAsia="zh-CN" w:bidi="ar-SA"/>
              </w:rPr>
            </w:pPr>
            <w:r>
              <w:rPr>
                <w:rFonts w:hint="eastAsia" w:ascii="宋体" w:hAnsi="宋体" w:eastAsia="宋体" w:cs="Times New Roman"/>
                <w:sz w:val="21"/>
                <w:szCs w:val="21"/>
                <w:highlight w:val="none"/>
                <w:lang w:val="en-US" w:eastAsia="zh-CN" w:bidi="ar-SA"/>
              </w:rPr>
              <w:t>5个工作日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pPr>
              <w:adjustRightInd w:val="0"/>
              <w:snapToGrid w:val="0"/>
              <w:jc w:val="center"/>
              <w:rPr>
                <w:rFonts w:ascii="宋体" w:hAnsi="宋体"/>
                <w:szCs w:val="21"/>
              </w:rPr>
            </w:pPr>
            <w:r>
              <w:rPr>
                <w:rFonts w:hint="eastAsia" w:ascii="宋体" w:hAnsi="宋体"/>
                <w:szCs w:val="21"/>
              </w:rPr>
              <w:t>约定甲方承担的其他义务和责任</w:t>
            </w:r>
          </w:p>
        </w:tc>
        <w:tc>
          <w:tcPr>
            <w:tcW w:w="5170" w:type="dxa"/>
            <w:shd w:val="clear" w:color="auto" w:fill="auto"/>
            <w:vAlign w:val="center"/>
          </w:tcPr>
          <w:p>
            <w:pPr>
              <w:jc w:val="left"/>
              <w:rPr>
                <w:rFonts w:hint="default" w:ascii="宋体" w:hAnsi="宋体" w:eastAsia="宋体" w:cs="Times New Roman"/>
                <w:kern w:val="2"/>
                <w:sz w:val="21"/>
                <w:szCs w:val="21"/>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snapToGrid w:val="0"/>
              <w:jc w:val="center"/>
            </w:pPr>
            <w:r>
              <w:rPr>
                <w:rFonts w:hint="eastAsia" w:ascii="宋体" w:hAnsi="宋体"/>
                <w:szCs w:val="21"/>
              </w:rPr>
              <w:t>第5.4款</w:t>
            </w:r>
          </w:p>
        </w:tc>
        <w:tc>
          <w:tcPr>
            <w:tcW w:w="1742" w:type="dxa"/>
            <w:vAlign w:val="center"/>
          </w:tcPr>
          <w:p>
            <w:pPr>
              <w:adjustRightInd w:val="0"/>
              <w:snapToGrid w:val="0"/>
              <w:jc w:val="center"/>
              <w:rPr>
                <w:rFonts w:ascii="宋体" w:hAnsi="宋体"/>
                <w:szCs w:val="21"/>
              </w:rPr>
            </w:pPr>
            <w:r>
              <w:rPr>
                <w:rFonts w:hint="eastAsia" w:ascii="宋体" w:hAnsi="宋体"/>
                <w:szCs w:val="21"/>
              </w:rPr>
              <w:t>约定乙方承担的其他义务和责任</w:t>
            </w:r>
          </w:p>
        </w:tc>
        <w:tc>
          <w:tcPr>
            <w:tcW w:w="5170" w:type="dxa"/>
            <w:shd w:val="clear" w:color="auto" w:fill="auto"/>
            <w:vAlign w:val="center"/>
          </w:tcPr>
          <w:p>
            <w:pPr>
              <w:jc w:val="left"/>
              <w:rPr>
                <w:rFonts w:hint="default" w:ascii="宋体" w:hAnsi="宋体" w:eastAsia="宋体" w:cs="Times New Roman"/>
                <w:kern w:val="2"/>
                <w:sz w:val="21"/>
                <w:szCs w:val="21"/>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snapToGrid w:val="0"/>
              <w:jc w:val="center"/>
              <w:rPr>
                <w:rFonts w:ascii="宋体" w:hAnsi="宋体"/>
                <w:szCs w:val="21"/>
              </w:rPr>
            </w:pPr>
            <w:r>
              <w:rPr>
                <w:rFonts w:hint="eastAsia" w:ascii="宋体" w:hAnsi="宋体"/>
                <w:szCs w:val="21"/>
              </w:rPr>
              <w:t>第6.1款</w:t>
            </w:r>
          </w:p>
        </w:tc>
        <w:tc>
          <w:tcPr>
            <w:tcW w:w="1742" w:type="dxa"/>
            <w:vAlign w:val="center"/>
          </w:tcPr>
          <w:p>
            <w:pPr>
              <w:adjustRightInd w:val="0"/>
              <w:snapToGrid w:val="0"/>
              <w:jc w:val="center"/>
              <w:rPr>
                <w:rFonts w:ascii="宋体" w:hAnsi="宋体"/>
                <w:szCs w:val="21"/>
              </w:rPr>
            </w:pPr>
            <w:r>
              <w:rPr>
                <w:rFonts w:hint="eastAsia" w:ascii="宋体" w:hAnsi="宋体"/>
                <w:szCs w:val="21"/>
              </w:rPr>
              <w:t>履行合同义务的顺序</w:t>
            </w:r>
          </w:p>
        </w:tc>
        <w:tc>
          <w:tcPr>
            <w:tcW w:w="5170" w:type="dxa"/>
            <w:shd w:val="clear" w:color="auto" w:fill="auto"/>
            <w:vAlign w:val="center"/>
          </w:tcPr>
          <w:p>
            <w:pPr>
              <w:jc w:val="left"/>
              <w:rPr>
                <w:rFonts w:hint="default" w:ascii="宋体" w:hAnsi="宋体" w:eastAsia="宋体" w:cs="Times New Roman"/>
                <w:kern w:val="2"/>
                <w:sz w:val="21"/>
                <w:szCs w:val="21"/>
                <w:lang w:val="en-US" w:eastAsia="zh-CN" w:bidi="ar-SA"/>
              </w:rPr>
            </w:pPr>
            <w:r>
              <w:rPr>
                <w:rFonts w:hint="eastAsia" w:ascii="宋体" w:hAnsi="宋体" w:eastAsia="宋体" w:cs="Times New Roman"/>
                <w:sz w:val="21"/>
                <w:szCs w:val="21"/>
                <w:lang w:val="en-US" w:eastAsia="zh-CN" w:bidi="ar-SA"/>
              </w:rPr>
              <w:t>乙方送达指定地点，经安装调试后申请验收，验收合格后甲方支付合同款项。</w:t>
            </w:r>
          </w:p>
        </w:tc>
      </w:tr>
      <w:tr>
        <w:tblPrEx>
          <w:tblCellMar>
            <w:top w:w="0" w:type="dxa"/>
            <w:left w:w="108" w:type="dxa"/>
            <w:bottom w:w="0" w:type="dxa"/>
            <w:right w:w="108" w:type="dxa"/>
          </w:tblCellMar>
        </w:tblPrEx>
        <w:trPr>
          <w:trHeight w:val="667" w:hRule="atLeast"/>
          <w:jc w:val="center"/>
        </w:trPr>
        <w:tc>
          <w:tcPr>
            <w:tcW w:w="1607" w:type="dxa"/>
            <w:vMerge w:val="restart"/>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pPr>
              <w:adjustRightInd w:val="0"/>
              <w:snapToGrid w:val="0"/>
              <w:jc w:val="center"/>
              <w:rPr>
                <w:rFonts w:ascii="宋体" w:hAnsi="宋体"/>
                <w:szCs w:val="21"/>
              </w:rPr>
            </w:pPr>
            <w:r>
              <w:rPr>
                <w:rFonts w:hint="eastAsia" w:ascii="宋体" w:hAnsi="宋体"/>
                <w:szCs w:val="21"/>
              </w:rPr>
              <w:t>包装特殊要求</w:t>
            </w:r>
          </w:p>
        </w:tc>
        <w:tc>
          <w:tcPr>
            <w:tcW w:w="5170" w:type="dxa"/>
            <w:shd w:val="clear" w:color="auto" w:fill="auto"/>
            <w:vAlign w:val="center"/>
          </w:tcPr>
          <w:p>
            <w:pPr>
              <w:rPr>
                <w:rFonts w:hint="default" w:eastAsia="Arial" w:cs="Times New Roman" w:asciiTheme="minorHAnsi" w:hAnsiTheme="minorHAnsi"/>
                <w:kern w:val="2"/>
                <w:sz w:val="21"/>
                <w:szCs w:val="22"/>
                <w:lang w:val="en-US" w:eastAsia="zh-CN" w:bidi="ar-SA"/>
              </w:rPr>
            </w:pPr>
            <w:r>
              <w:rPr>
                <w:rFonts w:hint="eastAsia" w:eastAsia="Arial" w:cs="Times New Roman"/>
                <w:lang w:val="en-US" w:eastAsia="zh-CN"/>
              </w:rPr>
              <w:t>绿色环保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pPr>
              <w:adjustRightInd w:val="0"/>
              <w:snapToGrid w:val="0"/>
              <w:jc w:val="center"/>
              <w:rPr>
                <w:rFonts w:ascii="宋体" w:hAnsi="宋体"/>
                <w:szCs w:val="21"/>
              </w:rPr>
            </w:pPr>
          </w:p>
        </w:tc>
        <w:tc>
          <w:tcPr>
            <w:tcW w:w="1742" w:type="dxa"/>
            <w:vAlign w:val="center"/>
          </w:tcPr>
          <w:p>
            <w:pPr>
              <w:adjustRightInd w:val="0"/>
              <w:snapToGrid w:val="0"/>
              <w:jc w:val="center"/>
              <w:rPr>
                <w:rFonts w:ascii="宋体" w:hAnsi="宋体"/>
                <w:szCs w:val="21"/>
              </w:rPr>
            </w:pPr>
            <w:r>
              <w:rPr>
                <w:rFonts w:hint="eastAsia" w:ascii="宋体" w:hAnsi="宋体"/>
                <w:szCs w:val="21"/>
              </w:rPr>
              <w:t>指定现场</w:t>
            </w:r>
          </w:p>
        </w:tc>
        <w:tc>
          <w:tcPr>
            <w:tcW w:w="5170" w:type="dxa"/>
            <w:shd w:val="clear" w:color="auto" w:fill="auto"/>
            <w:vAlign w:val="center"/>
          </w:tcPr>
          <w:p>
            <w:pPr>
              <w:rPr>
                <w:rFonts w:hint="default" w:eastAsia="Arial" w:cs="Times New Roman" w:asciiTheme="minorHAnsi" w:hAnsiTheme="minorHAnsi"/>
                <w:kern w:val="2"/>
                <w:sz w:val="21"/>
                <w:szCs w:val="22"/>
                <w:lang w:val="en-US" w:eastAsia="zh-CN" w:bidi="ar-SA"/>
              </w:rPr>
            </w:pPr>
            <w:r>
              <w:rPr>
                <w:rFonts w:hint="eastAsia" w:eastAsia="宋体" w:cs="Times New Roman"/>
                <w:lang w:val="en-US" w:eastAsia="zh-CN"/>
              </w:rPr>
              <w:t>东海县自然资源和规划局办公楼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pPr>
              <w:adjustRightInd w:val="0"/>
              <w:snapToGrid w:val="0"/>
              <w:jc w:val="center"/>
              <w:rPr>
                <w:rFonts w:ascii="宋体" w:hAnsi="宋体"/>
                <w:szCs w:val="21"/>
              </w:rPr>
            </w:pPr>
            <w:r>
              <w:rPr>
                <w:rFonts w:hint="eastAsia" w:ascii="宋体" w:hAnsi="宋体"/>
                <w:szCs w:val="21"/>
              </w:rPr>
              <w:t>运输特殊要求</w:t>
            </w:r>
          </w:p>
        </w:tc>
        <w:tc>
          <w:tcPr>
            <w:tcW w:w="5170" w:type="dxa"/>
            <w:shd w:val="clear" w:color="auto" w:fill="auto"/>
            <w:vAlign w:val="center"/>
          </w:tcPr>
          <w:p>
            <w:pPr>
              <w:rPr>
                <w:rFonts w:hint="eastAsia" w:eastAsia="Arial" w:cs="Times New Roman" w:asciiTheme="minorHAnsi" w:hAnsiTheme="minorHAnsi"/>
                <w:kern w:val="2"/>
                <w:sz w:val="21"/>
                <w:szCs w:val="22"/>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pPr>
              <w:adjustRightInd w:val="0"/>
              <w:snapToGrid w:val="0"/>
              <w:jc w:val="center"/>
              <w:rPr>
                <w:rFonts w:ascii="宋体" w:hAnsi="宋体"/>
                <w:szCs w:val="21"/>
              </w:rPr>
            </w:pPr>
            <w:r>
              <w:rPr>
                <w:rFonts w:hint="eastAsia" w:ascii="宋体" w:hAnsi="宋体"/>
                <w:szCs w:val="21"/>
              </w:rPr>
              <w:t>保险要求</w:t>
            </w:r>
          </w:p>
        </w:tc>
        <w:tc>
          <w:tcPr>
            <w:tcW w:w="5170" w:type="dxa"/>
            <w:shd w:val="clear" w:color="auto" w:fill="auto"/>
            <w:vAlign w:val="center"/>
          </w:tcPr>
          <w:p>
            <w:pPr>
              <w:rPr>
                <w:rFonts w:hint="eastAsia" w:eastAsia="Arial" w:cs="Times New Roman" w:asciiTheme="minorHAnsi" w:hAnsiTheme="minorHAnsi"/>
                <w:kern w:val="2"/>
                <w:sz w:val="21"/>
                <w:szCs w:val="22"/>
                <w:highlight w:val="none"/>
                <w:lang w:val="en-US" w:eastAsia="zh-CN" w:bidi="ar-SA"/>
              </w:rPr>
            </w:pPr>
            <w:r>
              <w:rPr>
                <w:rFonts w:hint="eastAsia" w:eastAsia="宋体" w:cs="Times New Roman"/>
                <w:highlight w:val="none"/>
                <w:lang w:eastAsia="zh-CN"/>
              </w:rPr>
              <w:t>供应商自行承担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pPr>
              <w:adjustRightInd w:val="0"/>
              <w:snapToGrid w:val="0"/>
              <w:jc w:val="center"/>
              <w:rPr>
                <w:rFonts w:ascii="宋体" w:hAnsi="宋体"/>
                <w:szCs w:val="21"/>
              </w:rPr>
            </w:pPr>
            <w:r>
              <w:rPr>
                <w:rFonts w:hint="eastAsia" w:ascii="宋体" w:hAnsi="宋体"/>
                <w:szCs w:val="21"/>
              </w:rPr>
              <w:t>质量保证期</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pPr>
              <w:adjustRightInd w:val="0"/>
              <w:snapToGrid w:val="0"/>
              <w:jc w:val="center"/>
              <w:rPr>
                <w:rFonts w:ascii="宋体" w:hAnsi="宋体"/>
                <w:szCs w:val="21"/>
              </w:rPr>
            </w:pPr>
            <w:r>
              <w:rPr>
                <w:rFonts w:hint="eastAsia" w:ascii="宋体" w:hAnsi="宋体"/>
                <w:szCs w:val="21"/>
              </w:rPr>
              <w:t>货物质量缺陷</w:t>
            </w:r>
          </w:p>
          <w:p>
            <w:pPr>
              <w:adjustRightInd w:val="0"/>
              <w:snapToGrid w:val="0"/>
              <w:jc w:val="center"/>
              <w:rPr>
                <w:rFonts w:ascii="宋体" w:hAnsi="宋体"/>
                <w:szCs w:val="21"/>
              </w:rPr>
            </w:pPr>
            <w:r>
              <w:rPr>
                <w:rFonts w:hint="eastAsia" w:ascii="宋体" w:hAnsi="宋体"/>
                <w:szCs w:val="21"/>
              </w:rPr>
              <w:t>响应时间</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eastAsia" w:ascii="宋体" w:hAnsi="宋体" w:eastAsia="Arial" w:cs="Times New Roman"/>
                <w:szCs w:val="21"/>
                <w:highlight w:val="none"/>
                <w:lang w:val="en-US" w:eastAsia="zh-CN"/>
              </w:rPr>
              <w:t>2小时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snapToGrid w:val="0"/>
              <w:jc w:val="center"/>
              <w:rPr>
                <w:rFonts w:ascii="宋体" w:hAnsi="宋体" w:cs="宋体"/>
                <w:szCs w:val="21"/>
              </w:rPr>
            </w:pPr>
            <w:r>
              <w:rPr>
                <w:rFonts w:hint="eastAsia" w:ascii="宋体" w:hAnsi="宋体" w:cs="宋体"/>
                <w:szCs w:val="21"/>
              </w:rPr>
              <w:t>第二节</w:t>
            </w:r>
          </w:p>
          <w:p>
            <w:pPr>
              <w:pStyle w:val="35"/>
              <w:ind w:firstLine="0" w:firstLineChars="0"/>
              <w:jc w:val="center"/>
            </w:pPr>
            <w:r>
              <w:rPr>
                <w:rFonts w:hint="eastAsia" w:ascii="宋体" w:hAnsi="宋体" w:eastAsia="宋体" w:cs="宋体"/>
              </w:rPr>
              <w:t>第11.1款</w:t>
            </w:r>
          </w:p>
        </w:tc>
        <w:tc>
          <w:tcPr>
            <w:tcW w:w="1742" w:type="dxa"/>
            <w:vAlign w:val="center"/>
          </w:tcPr>
          <w:p>
            <w:pPr>
              <w:adjustRightInd w:val="0"/>
              <w:snapToGrid w:val="0"/>
              <w:jc w:val="center"/>
              <w:rPr>
                <w:rFonts w:ascii="宋体" w:hAnsi="宋体"/>
                <w:szCs w:val="21"/>
              </w:rPr>
            </w:pPr>
            <w:r>
              <w:rPr>
                <w:rFonts w:hint="eastAsia" w:ascii="宋体" w:hAnsi="宋体"/>
                <w:szCs w:val="21"/>
              </w:rPr>
              <w:t>其他应当保密的信息</w:t>
            </w:r>
          </w:p>
        </w:tc>
        <w:tc>
          <w:tcPr>
            <w:tcW w:w="5170" w:type="dxa"/>
            <w:shd w:val="clear" w:color="auto" w:fill="auto"/>
            <w:vAlign w:val="center"/>
          </w:tcPr>
          <w:p>
            <w:pPr>
              <w:jc w:val="left"/>
              <w:rPr>
                <w:rFonts w:hint="default" w:ascii="宋体" w:hAnsi="宋体" w:eastAsia="Arial" w:cs="Times New Roman"/>
                <w:kern w:val="2"/>
                <w:sz w:val="21"/>
                <w:szCs w:val="21"/>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pPr>
              <w:adjustRightInd w:val="0"/>
              <w:snapToGrid w:val="0"/>
              <w:jc w:val="center"/>
              <w:rPr>
                <w:rFonts w:ascii="宋体" w:hAnsi="宋体"/>
                <w:szCs w:val="21"/>
              </w:rPr>
            </w:pPr>
            <w:r>
              <w:rPr>
                <w:rFonts w:hint="eastAsia" w:ascii="宋体" w:hAnsi="宋体"/>
                <w:szCs w:val="21"/>
              </w:rPr>
              <w:t>合同价款支付时间</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eastAsia" w:ascii="宋体" w:hAnsi="宋体" w:eastAsia="宋体" w:cs="Times New Roman"/>
                <w:szCs w:val="21"/>
                <w:highlight w:val="none"/>
                <w:lang w:val="en-US" w:eastAsia="zh-CN"/>
              </w:rPr>
              <w:t>所需2部电梯分批安装，第一台电梯安装调试完成，经采购人初验合格后15个工作日内，支付合同总价的50%。两台全部安装完毕后，经特种设备检验检测机构监督检验合格，取得市场监督管理部门核发的《电梯使用登记标志》，2026年12月31日前支付剩余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第13.2款</w:t>
            </w:r>
          </w:p>
        </w:tc>
        <w:tc>
          <w:tcPr>
            <w:tcW w:w="1742" w:type="dxa"/>
            <w:vAlign w:val="center"/>
          </w:tcPr>
          <w:p>
            <w:pPr>
              <w:adjustRightInd w:val="0"/>
              <w:snapToGrid w:val="0"/>
              <w:jc w:val="center"/>
              <w:rPr>
                <w:rFonts w:ascii="宋体" w:hAnsi="宋体"/>
                <w:szCs w:val="21"/>
              </w:rPr>
            </w:pPr>
            <w:r>
              <w:rPr>
                <w:rFonts w:hint="eastAsia" w:ascii="宋体" w:hAnsi="宋体"/>
                <w:szCs w:val="21"/>
              </w:rPr>
              <w:t>履约保证金不予退还的情形</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第13.3款</w:t>
            </w:r>
          </w:p>
        </w:tc>
        <w:tc>
          <w:tcPr>
            <w:tcW w:w="1742" w:type="dxa"/>
            <w:vAlign w:val="center"/>
          </w:tcPr>
          <w:p>
            <w:pPr>
              <w:adjustRightInd w:val="0"/>
              <w:snapToGrid w:val="0"/>
              <w:jc w:val="center"/>
              <w:rPr>
                <w:rFonts w:ascii="宋体" w:hAnsi="宋体"/>
                <w:szCs w:val="21"/>
              </w:rPr>
            </w:pPr>
            <w:r>
              <w:rPr>
                <w:rFonts w:hint="eastAsia" w:ascii="宋体" w:hAnsi="宋体"/>
                <w:szCs w:val="21"/>
              </w:rPr>
              <w:t>履约保证金退还时间及逾期退还的违约金</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第14.1（3）项</w:t>
            </w:r>
          </w:p>
        </w:tc>
        <w:tc>
          <w:tcPr>
            <w:tcW w:w="1742" w:type="dxa"/>
            <w:vAlign w:val="center"/>
          </w:tcPr>
          <w:p>
            <w:pPr>
              <w:adjustRightInd w:val="0"/>
              <w:snapToGrid w:val="0"/>
              <w:jc w:val="center"/>
              <w:rPr>
                <w:rFonts w:ascii="宋体" w:hAnsi="宋体"/>
                <w:szCs w:val="21"/>
              </w:rPr>
            </w:pPr>
            <w:r>
              <w:rPr>
                <w:rFonts w:hint="eastAsia" w:ascii="宋体" w:hAnsi="宋体"/>
                <w:szCs w:val="21"/>
              </w:rPr>
              <w:t>运行监督、维修期限</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eastAsia" w:ascii="宋体" w:hAnsi="宋体" w:eastAsia="Arial" w:cs="Times New Roman"/>
                <w:szCs w:val="21"/>
                <w:highlight w:val="none"/>
                <w:lang w:val="en-US" w:eastAsia="zh-CN"/>
              </w:rPr>
              <w:t>质保期内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第14.1（5）项</w:t>
            </w:r>
          </w:p>
        </w:tc>
        <w:tc>
          <w:tcPr>
            <w:tcW w:w="1742" w:type="dxa"/>
            <w:vAlign w:val="center"/>
          </w:tcPr>
          <w:p>
            <w:pPr>
              <w:adjustRightInd w:val="0"/>
              <w:snapToGrid w:val="0"/>
              <w:jc w:val="center"/>
              <w:rPr>
                <w:rFonts w:ascii="宋体" w:hAnsi="宋体"/>
                <w:szCs w:val="21"/>
              </w:rPr>
            </w:pPr>
            <w:r>
              <w:rPr>
                <w:rFonts w:hint="eastAsia" w:ascii="宋体" w:hAnsi="宋体"/>
                <w:szCs w:val="21"/>
              </w:rPr>
              <w:t>货物回收的约定</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default" w:ascii="宋体" w:hAnsi="宋体" w:eastAsia="宋体" w:cs="Times New Roman"/>
                <w:sz w:val="21"/>
                <w:szCs w:val="21"/>
                <w:highlight w:val="none"/>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pPr>
              <w:adjustRightInd w:val="0"/>
              <w:snapToGrid w:val="0"/>
              <w:jc w:val="center"/>
              <w:rPr>
                <w:rFonts w:ascii="宋体" w:hAnsi="宋体"/>
                <w:szCs w:val="21"/>
              </w:rPr>
            </w:pPr>
            <w:r>
              <w:rPr>
                <w:rFonts w:hint="eastAsia" w:ascii="宋体" w:hAnsi="宋体"/>
                <w:szCs w:val="21"/>
              </w:rPr>
              <w:t>乙方提供的其他服务</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eastAsia" w:ascii="宋体" w:hAnsi="宋体" w:eastAsia="Arial" w:cs="Times New Roman"/>
                <w:szCs w:val="21"/>
                <w:highlight w:val="none"/>
                <w:lang w:val="en-US" w:eastAsia="zh-CN"/>
              </w:rPr>
              <w:t>出现因货物产品质量原因，致使</w:t>
            </w:r>
            <w:r>
              <w:rPr>
                <w:rFonts w:hint="eastAsia" w:ascii="宋体" w:hAnsi="宋体" w:eastAsia="Arial" w:cs="Times New Roman"/>
                <w:color w:val="auto"/>
                <w:szCs w:val="21"/>
                <w:highlight w:val="none"/>
                <w:lang w:eastAsia="zh-CN"/>
              </w:rPr>
              <w:t>修理、重作、更换，</w:t>
            </w:r>
            <w:r>
              <w:rPr>
                <w:rFonts w:hint="eastAsia" w:ascii="宋体" w:hAnsi="宋体" w:eastAsia="Arial" w:cs="Times New Roman"/>
                <w:color w:val="auto"/>
                <w:szCs w:val="21"/>
                <w:highlight w:val="none"/>
                <w:lang w:val="en-US" w:eastAsia="zh-CN"/>
              </w:rPr>
              <w:t>需要在2小时内响应并作出承诺完成时间。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第15.1款</w:t>
            </w:r>
          </w:p>
        </w:tc>
        <w:tc>
          <w:tcPr>
            <w:tcW w:w="1742" w:type="dxa"/>
            <w:vAlign w:val="center"/>
          </w:tcPr>
          <w:p>
            <w:pPr>
              <w:adjustRightInd w:val="0"/>
              <w:snapToGrid w:val="0"/>
              <w:jc w:val="center"/>
              <w:rPr>
                <w:rFonts w:ascii="宋体" w:hAnsi="宋体"/>
                <w:szCs w:val="21"/>
              </w:rPr>
            </w:pPr>
            <w:r>
              <w:rPr>
                <w:rFonts w:hint="eastAsia" w:ascii="宋体" w:hAnsi="宋体"/>
                <w:szCs w:val="21"/>
              </w:rPr>
              <w:t>修理、重作、更换相关具体规定</w:t>
            </w:r>
          </w:p>
        </w:tc>
        <w:tc>
          <w:tcPr>
            <w:tcW w:w="5170" w:type="dxa"/>
            <w:shd w:val="clear" w:color="auto" w:fill="auto"/>
            <w:vAlign w:val="center"/>
          </w:tcPr>
          <w:p>
            <w:pPr>
              <w:jc w:val="left"/>
              <w:rPr>
                <w:rFonts w:hint="default" w:ascii="宋体" w:hAnsi="宋体" w:eastAsia="Arial" w:cs="Times New Roman"/>
                <w:kern w:val="2"/>
                <w:sz w:val="21"/>
                <w:szCs w:val="21"/>
                <w:highlight w:val="none"/>
                <w:lang w:val="en-US" w:eastAsia="zh-CN" w:bidi="ar-SA"/>
              </w:rPr>
            </w:pPr>
            <w:r>
              <w:rPr>
                <w:rFonts w:hint="default" w:ascii="宋体" w:hAnsi="宋体" w:eastAsia="宋体" w:cs="Times New Roman"/>
                <w:sz w:val="21"/>
                <w:szCs w:val="21"/>
                <w:highlight w:val="none"/>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pPr>
              <w:adjustRightInd w:val="0"/>
              <w:snapToGrid w:val="0"/>
              <w:jc w:val="center"/>
              <w:rPr>
                <w:rFonts w:ascii="宋体" w:hAnsi="宋体"/>
                <w:szCs w:val="21"/>
              </w:rPr>
            </w:pPr>
            <w:r>
              <w:rPr>
                <w:rFonts w:hint="eastAsia" w:ascii="宋体" w:hAnsi="宋体"/>
                <w:szCs w:val="21"/>
              </w:rPr>
              <w:t>迟延交货赔偿费</w:t>
            </w:r>
          </w:p>
        </w:tc>
        <w:tc>
          <w:tcPr>
            <w:tcW w:w="5170" w:type="dxa"/>
            <w:shd w:val="clear" w:color="auto" w:fill="auto"/>
            <w:vAlign w:val="center"/>
          </w:tcPr>
          <w:p>
            <w:pPr>
              <w:jc w:val="left"/>
              <w:rPr>
                <w:rFonts w:hint="default" w:ascii="宋体" w:hAnsi="宋体" w:eastAsia="Arial" w:cs="Times New Roman"/>
                <w:kern w:val="2"/>
                <w:sz w:val="21"/>
                <w:szCs w:val="21"/>
                <w:highlight w:val="none"/>
                <w:u w:val="single"/>
                <w:lang w:val="en-US" w:eastAsia="zh-CN" w:bidi="ar-SA"/>
              </w:rPr>
            </w:pPr>
            <w:r>
              <w:rPr>
                <w:rFonts w:hint="default" w:ascii="宋体" w:hAnsi="宋体" w:eastAsia="宋体" w:cs="Times New Roman"/>
                <w:szCs w:val="21"/>
                <w:highlight w:val="none"/>
                <w:u w:val="none"/>
                <w:lang w:val="en-US" w:eastAsia="zh-CN"/>
              </w:rPr>
              <w:t>乙方逾期交付合同标的的，乙方应按逾期交付总额每日</w:t>
            </w:r>
            <w:r>
              <w:rPr>
                <w:rFonts w:hint="eastAsia" w:ascii="宋体" w:hAnsi="宋体" w:eastAsia="宋体" w:cs="Times New Roman"/>
                <w:szCs w:val="21"/>
                <w:highlight w:val="none"/>
                <w:u w:val="none"/>
                <w:lang w:val="en-US" w:eastAsia="zh-CN"/>
              </w:rPr>
              <w:t>0.05</w:t>
            </w:r>
            <w:r>
              <w:rPr>
                <w:rFonts w:hint="default" w:ascii="宋体" w:hAnsi="宋体" w:eastAsia="宋体" w:cs="Times New Roman"/>
                <w:szCs w:val="21"/>
                <w:highlight w:val="none"/>
                <w:u w:val="none"/>
                <w:lang w:val="en-US" w:eastAsia="zh-CN"/>
              </w:rPr>
              <w:t>%向甲方支付违约金，由甲方从待付合同款中扣除，最高限额为本合同总额的</w:t>
            </w:r>
            <w:r>
              <w:rPr>
                <w:rFonts w:hint="eastAsia" w:ascii="宋体" w:hAnsi="宋体" w:eastAsia="宋体" w:cs="Times New Roman"/>
                <w:szCs w:val="21"/>
                <w:highlight w:val="none"/>
                <w:u w:val="none"/>
                <w:lang w:val="en-US" w:eastAsia="zh-CN"/>
              </w:rPr>
              <w:t>5</w:t>
            </w:r>
            <w:r>
              <w:rPr>
                <w:rFonts w:hint="default" w:ascii="宋体" w:hAnsi="宋体" w:eastAsia="宋体" w:cs="Times New Roman"/>
                <w:szCs w:val="21"/>
                <w:highlight w:val="none"/>
                <w:u w:val="none"/>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第15.3款</w:t>
            </w:r>
          </w:p>
        </w:tc>
        <w:tc>
          <w:tcPr>
            <w:tcW w:w="1742" w:type="dxa"/>
            <w:vAlign w:val="center"/>
          </w:tcPr>
          <w:p>
            <w:pPr>
              <w:adjustRightInd w:val="0"/>
              <w:snapToGrid w:val="0"/>
              <w:jc w:val="center"/>
              <w:rPr>
                <w:rFonts w:ascii="宋体" w:hAnsi="宋体"/>
                <w:szCs w:val="21"/>
              </w:rPr>
            </w:pPr>
            <w:r>
              <w:rPr>
                <w:rFonts w:hint="eastAsia" w:ascii="宋体" w:hAnsi="宋体"/>
                <w:szCs w:val="21"/>
              </w:rPr>
              <w:t>逾期付款利息</w:t>
            </w:r>
          </w:p>
        </w:tc>
        <w:tc>
          <w:tcPr>
            <w:tcW w:w="5170" w:type="dxa"/>
            <w:shd w:val="clear" w:color="auto" w:fill="auto"/>
            <w:vAlign w:val="center"/>
          </w:tcPr>
          <w:p>
            <w:pPr>
              <w:jc w:val="left"/>
              <w:rPr>
                <w:rFonts w:hint="default" w:ascii="宋体" w:hAnsi="宋体" w:eastAsia="Arial" w:cs="Times New Roman"/>
                <w:kern w:val="2"/>
                <w:sz w:val="21"/>
                <w:szCs w:val="21"/>
                <w:u w:val="single"/>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第15.4款</w:t>
            </w:r>
          </w:p>
        </w:tc>
        <w:tc>
          <w:tcPr>
            <w:tcW w:w="1742" w:type="dxa"/>
            <w:vAlign w:val="center"/>
          </w:tcPr>
          <w:p>
            <w:pPr>
              <w:adjustRightInd w:val="0"/>
              <w:snapToGrid w:val="0"/>
              <w:jc w:val="center"/>
              <w:rPr>
                <w:rFonts w:ascii="宋体" w:hAnsi="宋体"/>
                <w:szCs w:val="21"/>
              </w:rPr>
            </w:pPr>
            <w:r>
              <w:rPr>
                <w:rFonts w:hint="eastAsia" w:ascii="宋体" w:hAnsi="宋体"/>
                <w:szCs w:val="21"/>
              </w:rPr>
              <w:t>其他违约责任</w:t>
            </w:r>
          </w:p>
        </w:tc>
        <w:tc>
          <w:tcPr>
            <w:tcW w:w="5170" w:type="dxa"/>
            <w:shd w:val="clear" w:color="auto" w:fill="auto"/>
            <w:vAlign w:val="center"/>
          </w:tcPr>
          <w:p>
            <w:pPr>
              <w:jc w:val="left"/>
              <w:rPr>
                <w:rFonts w:hint="default" w:ascii="宋体" w:hAnsi="宋体" w:eastAsia="Arial" w:cs="Times New Roman"/>
                <w:kern w:val="2"/>
                <w:sz w:val="21"/>
                <w:szCs w:val="21"/>
                <w:u w:val="single"/>
                <w:lang w:val="en-US" w:eastAsia="zh-CN" w:bidi="ar-SA"/>
              </w:rPr>
            </w:pPr>
            <w:r>
              <w:rPr>
                <w:rFonts w:hint="default" w:ascii="宋体" w:hAnsi="宋体" w:eastAsia="宋体" w:cs="Times New Roman"/>
                <w:sz w:val="21"/>
                <w:szCs w:val="21"/>
                <w:lang w:val="en-US" w:eastAsia="zh-CN" w:bidi="ar-SA"/>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第19.2款</w:t>
            </w:r>
          </w:p>
        </w:tc>
        <w:tc>
          <w:tcPr>
            <w:tcW w:w="1742" w:type="dxa"/>
            <w:vAlign w:val="center"/>
          </w:tcPr>
          <w:p>
            <w:pPr>
              <w:adjustRightInd w:val="0"/>
              <w:snapToGrid w:val="0"/>
              <w:jc w:val="center"/>
              <w:rPr>
                <w:rFonts w:ascii="宋体" w:hAnsi="宋体"/>
                <w:szCs w:val="21"/>
              </w:rPr>
            </w:pPr>
            <w:r>
              <w:rPr>
                <w:rFonts w:hint="eastAsia" w:ascii="宋体" w:hAnsi="宋体"/>
                <w:szCs w:val="21"/>
              </w:rPr>
              <w:t>解决争议的方法</w:t>
            </w:r>
          </w:p>
        </w:tc>
        <w:tc>
          <w:tcPr>
            <w:tcW w:w="5170" w:type="dxa"/>
            <w:vAlign w:val="center"/>
          </w:tcPr>
          <w:p>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 xml:space="preserve">因本合同及合同有关事项发生的争议，按下列第（ </w:t>
            </w:r>
            <w:r>
              <w:rPr>
                <w:rFonts w:hint="eastAsia" w:ascii="宋体" w:hAnsi="宋体" w:cs="宋体"/>
                <w:iCs/>
                <w:szCs w:val="21"/>
                <w:lang w:val="en-US" w:eastAsia="zh-CN"/>
              </w:rPr>
              <w:t>2</w:t>
            </w:r>
            <w:r>
              <w:rPr>
                <w:rFonts w:hint="eastAsia" w:ascii="宋体" w:hAnsi="宋体" w:cs="宋体"/>
                <w:iCs/>
                <w:szCs w:val="21"/>
              </w:rPr>
              <w:t>）种方式解决：</w:t>
            </w:r>
          </w:p>
          <w:p>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（1）向仲裁委员会申请仲裁，仲裁地点为        ；</w:t>
            </w:r>
          </w:p>
          <w:p>
            <w:pPr>
              <w:adjustRightInd w:val="0"/>
              <w:snapToGrid w:val="0"/>
              <w:jc w:val="left"/>
              <w:rPr>
                <w:rFonts w:ascii="宋体" w:hAnsi="宋体"/>
                <w:szCs w:val="21"/>
                <w:u w:val="single"/>
              </w:rPr>
            </w:pPr>
            <w:r>
              <w:rPr>
                <w:rFonts w:hint="eastAsia" w:ascii="宋体" w:hAnsi="宋体" w:cs="宋体"/>
                <w:iCs/>
                <w:szCs w:val="21"/>
              </w:rPr>
              <w:t>（2</w:t>
            </w:r>
            <w:r>
              <w:rPr>
                <w:rFonts w:hint="eastAsia" w:ascii="宋体" w:hAnsi="宋体" w:cs="宋体"/>
                <w:iCs/>
                <w:szCs w:val="21"/>
                <w:highlight w:val="none"/>
              </w:rPr>
              <w:t>）向</w:t>
            </w:r>
            <w:r>
              <w:rPr>
                <w:rFonts w:hint="eastAsia" w:ascii="宋体" w:hAnsi="宋体" w:cs="宋体"/>
                <w:iCs/>
                <w:szCs w:val="21"/>
                <w:highlight w:val="none"/>
                <w:lang w:val="en-US" w:eastAsia="zh-CN"/>
              </w:rPr>
              <w:t>东海县</w:t>
            </w:r>
            <w:r>
              <w:rPr>
                <w:rFonts w:hint="eastAsia" w:ascii="宋体" w:hAnsi="宋体" w:cs="宋体"/>
                <w:iCs/>
                <w:szCs w:val="21"/>
                <w:highlight w:val="none"/>
              </w:rPr>
              <w:t>人民法</w:t>
            </w:r>
            <w:r>
              <w:rPr>
                <w:rFonts w:hint="eastAsia" w:ascii="宋体" w:hAnsi="宋体" w:cs="宋体"/>
                <w:iCs/>
                <w:szCs w:val="21"/>
              </w:rPr>
              <w:t>院起诉。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pPr>
              <w:adjustRightInd w:val="0"/>
              <w:snapToGrid w:val="0"/>
              <w:jc w:val="center"/>
              <w:rPr>
                <w:rFonts w:ascii="宋体" w:hAnsi="宋体"/>
                <w:szCs w:val="21"/>
              </w:rPr>
            </w:pPr>
            <w:r>
              <w:rPr>
                <w:rFonts w:hint="eastAsia" w:ascii="宋体" w:hAnsi="宋体"/>
                <w:szCs w:val="21"/>
              </w:rPr>
              <w:t>第二节</w:t>
            </w:r>
          </w:p>
          <w:p>
            <w:pPr>
              <w:adjustRightInd w:val="0"/>
              <w:snapToGrid w:val="0"/>
              <w:jc w:val="center"/>
              <w:rPr>
                <w:rFonts w:ascii="宋体" w:hAnsi="宋体"/>
                <w:szCs w:val="21"/>
              </w:rPr>
            </w:pPr>
            <w:r>
              <w:rPr>
                <w:rFonts w:hint="eastAsia" w:ascii="宋体" w:hAnsi="宋体"/>
                <w:szCs w:val="21"/>
              </w:rPr>
              <w:t>第23.1款</w:t>
            </w:r>
          </w:p>
        </w:tc>
        <w:tc>
          <w:tcPr>
            <w:tcW w:w="1742" w:type="dxa"/>
            <w:vAlign w:val="center"/>
          </w:tcPr>
          <w:p>
            <w:pPr>
              <w:adjustRightInd w:val="0"/>
              <w:snapToGrid w:val="0"/>
              <w:jc w:val="center"/>
              <w:rPr>
                <w:rFonts w:ascii="宋体" w:hAnsi="宋体"/>
                <w:szCs w:val="21"/>
              </w:rPr>
            </w:pPr>
            <w:r>
              <w:rPr>
                <w:rFonts w:hint="eastAsia" w:ascii="宋体" w:hAnsi="宋体"/>
                <w:bCs/>
                <w:szCs w:val="21"/>
              </w:rPr>
              <w:t>其他专用条款</w:t>
            </w:r>
          </w:p>
        </w:tc>
        <w:tc>
          <w:tcPr>
            <w:tcW w:w="5170" w:type="dxa"/>
            <w:vAlign w:val="center"/>
          </w:tcPr>
          <w:p>
            <w:pPr>
              <w:adjustRightInd w:val="0"/>
              <w:snapToGrid w:val="0"/>
              <w:jc w:val="left"/>
              <w:rPr>
                <w:rFonts w:ascii="宋体" w:hAnsi="宋体"/>
                <w:szCs w:val="21"/>
              </w:rPr>
            </w:pPr>
            <w:r>
              <w:rPr>
                <w:rFonts w:hint="default" w:ascii="宋体" w:hAnsi="宋体" w:eastAsia="宋体" w:cs="Times New Roman"/>
                <w:sz w:val="21"/>
                <w:szCs w:val="21"/>
                <w:lang w:val="en-US" w:eastAsia="zh-CN" w:bidi="ar-SA"/>
              </w:rPr>
              <w:t>/</w:t>
            </w:r>
          </w:p>
        </w:tc>
      </w:tr>
    </w:tbl>
    <w:p>
      <w:pPr>
        <w:rPr>
          <w:kern w:val="44"/>
          <w:sz w:val="44"/>
          <w:szCs w:val="44"/>
        </w:rPr>
      </w:pPr>
      <w:r>
        <w:br w:type="page"/>
      </w:r>
    </w:p>
    <w:p>
      <w:pPr>
        <w:pStyle w:val="2"/>
        <w:spacing w:beforeLines="50" w:afterLines="50" w:line="360" w:lineRule="auto"/>
        <w:jc w:val="center"/>
        <w:rPr>
          <w:rFonts w:ascii="黑体" w:hAnsi="黑体" w:eastAsia="黑体"/>
          <w:b w:val="0"/>
        </w:rPr>
      </w:pPr>
      <w:bookmarkStart w:id="9" w:name="_Toc32139"/>
      <w:r>
        <w:rPr>
          <w:rFonts w:hint="eastAsia" w:ascii="黑体" w:hAnsi="黑体" w:eastAsia="黑体"/>
          <w:b w:val="0"/>
        </w:rPr>
        <w:t>第四章  采购需求</w:t>
      </w:r>
      <w:bookmarkEnd w:id="9"/>
    </w:p>
    <w:p>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pPr>
        <w:spacing w:line="500" w:lineRule="exact"/>
        <w:ind w:firstLine="480" w:firstLineChars="200"/>
        <w:jc w:val="left"/>
        <w:rPr>
          <w:rFonts w:hint="eastAsia"/>
          <w:sz w:val="24"/>
          <w:szCs w:val="24"/>
        </w:rPr>
      </w:pPr>
      <w:r>
        <w:rPr>
          <w:rFonts w:hint="eastAsia"/>
          <w:sz w:val="24"/>
          <w:szCs w:val="24"/>
        </w:rPr>
        <w:t>2、</w:t>
      </w:r>
      <w:r>
        <w:rPr>
          <w:rFonts w:hint="eastAsia"/>
          <w:b/>
          <w:sz w:val="24"/>
          <w:szCs w:val="24"/>
        </w:rPr>
        <w:t>本磋商文件中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，由采购人根据实际情况设置，供应商须逐条明确作出满足实质性要求和条件的响应，否则将按无效响应处理。</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pPr>
              <w:spacing w:line="500" w:lineRule="exact"/>
              <w:jc w:val="center"/>
              <w:rPr>
                <w:b/>
                <w:sz w:val="24"/>
                <w:szCs w:val="24"/>
              </w:rPr>
            </w:pPr>
            <w:r>
              <w:rPr>
                <w:b/>
                <w:sz w:val="24"/>
                <w:szCs w:val="24"/>
              </w:rPr>
              <w:t>序号</w:t>
            </w:r>
          </w:p>
        </w:tc>
        <w:tc>
          <w:tcPr>
            <w:tcW w:w="7689" w:type="dxa"/>
            <w:tcBorders>
              <w:top w:val="single" w:color="auto" w:sz="4" w:space="0"/>
            </w:tcBorders>
          </w:tcPr>
          <w:p>
            <w:pPr>
              <w:spacing w:line="500" w:lineRule="exact"/>
              <w:jc w:val="center"/>
              <w:rPr>
                <w:b/>
                <w:sz w:val="24"/>
                <w:szCs w:val="24"/>
              </w:rPr>
            </w:pPr>
            <w:r>
              <w:rPr>
                <w:b/>
                <w:sz w:val="24"/>
                <w:szCs w:val="24"/>
              </w:rPr>
              <w:t>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500" w:lineRule="exact"/>
              <w:jc w:val="center"/>
              <w:rPr>
                <w:sz w:val="24"/>
                <w:szCs w:val="24"/>
              </w:rPr>
            </w:pPr>
            <w:r>
              <w:rPr>
                <w:rFonts w:hint="eastAsia"/>
                <w:sz w:val="24"/>
                <w:szCs w:val="24"/>
              </w:rPr>
              <w:t>1</w:t>
            </w:r>
          </w:p>
        </w:tc>
        <w:tc>
          <w:tcPr>
            <w:tcW w:w="7689" w:type="dxa"/>
            <w:shd w:val="clear" w:color="auto" w:fill="auto"/>
            <w:vAlign w:val="center"/>
          </w:tcPr>
          <w:p>
            <w:pPr>
              <w:spacing w:line="500" w:lineRule="exact"/>
              <w:ind w:firstLine="480" w:firstLineChars="200"/>
              <w:jc w:val="left"/>
              <w:rPr>
                <w:rFonts w:ascii="宋体" w:hAnsi="宋体" w:eastAsia="宋体" w:cs="Helvetica"/>
                <w:b w:val="0"/>
                <w:bCs w:val="0"/>
                <w:i/>
                <w:iCs/>
                <w:kern w:val="2"/>
                <w:sz w:val="24"/>
                <w:szCs w:val="24"/>
                <w:highlight w:val="none"/>
                <w:u w:val="single"/>
                <w:lang w:val="en-US" w:eastAsia="zh-CN" w:bidi="ar-SA"/>
              </w:rPr>
            </w:pPr>
            <w:r>
              <w:rPr>
                <w:rFonts w:hint="eastAsia"/>
                <w:i/>
                <w:iCs/>
                <w:sz w:val="24"/>
                <w:szCs w:val="24"/>
                <w:highlight w:val="none"/>
                <w:u w:val="single"/>
              </w:rPr>
              <w:t>合同履行期限：</w:t>
            </w:r>
            <w:r>
              <w:rPr>
                <w:rFonts w:hint="eastAsia"/>
                <w:i/>
                <w:iCs/>
                <w:sz w:val="24"/>
                <w:szCs w:val="24"/>
                <w:highlight w:val="none"/>
                <w:u w:val="single"/>
                <w:lang w:val="en-US" w:eastAsia="zh-CN"/>
              </w:rPr>
              <w:t>合同签订后60天内完成旧梯拆除，新梯安装、调试、验收</w:t>
            </w:r>
            <w:r>
              <w:rPr>
                <w:rFonts w:hint="eastAsia" w:ascii="宋体" w:hAnsi="宋体" w:eastAsia="宋体" w:cs="Helvetica"/>
                <w:b w:val="0"/>
                <w:bCs w:val="0"/>
                <w:i/>
                <w:iCs/>
                <w:sz w:val="24"/>
                <w:szCs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500" w:lineRule="exact"/>
              <w:jc w:val="center"/>
              <w:rPr>
                <w:sz w:val="24"/>
                <w:szCs w:val="24"/>
              </w:rPr>
            </w:pPr>
            <w:r>
              <w:rPr>
                <w:rFonts w:hint="eastAsia"/>
                <w:sz w:val="24"/>
                <w:szCs w:val="24"/>
              </w:rPr>
              <w:t>2</w:t>
            </w:r>
          </w:p>
        </w:tc>
        <w:tc>
          <w:tcPr>
            <w:tcW w:w="7689" w:type="dxa"/>
            <w:shd w:val="clear" w:color="auto" w:fill="auto"/>
            <w:vAlign w:val="center"/>
          </w:tcPr>
          <w:p>
            <w:pPr>
              <w:widowControl/>
              <w:spacing w:line="360" w:lineRule="auto"/>
              <w:ind w:firstLine="480" w:firstLineChars="0"/>
              <w:rPr>
                <w:rFonts w:asciiTheme="minorHAnsi" w:hAnsiTheme="minorHAnsi" w:eastAsiaTheme="minorEastAsia" w:cstheme="minorBidi"/>
                <w:b w:val="0"/>
                <w:bCs w:val="0"/>
                <w:i/>
                <w:iCs/>
                <w:kern w:val="2"/>
                <w:sz w:val="24"/>
                <w:szCs w:val="24"/>
                <w:highlight w:val="none"/>
                <w:lang w:val="en-US" w:eastAsia="zh-CN" w:bidi="ar-SA"/>
              </w:rPr>
            </w:pPr>
            <w:r>
              <w:rPr>
                <w:rFonts w:hint="eastAsia" w:ascii="宋体" w:hAnsi="宋体" w:eastAsia="宋体" w:cs="宋体"/>
                <w:b w:val="0"/>
                <w:bCs w:val="0"/>
                <w:i/>
                <w:iCs/>
                <w:color w:val="000000"/>
                <w:sz w:val="24"/>
                <w:szCs w:val="24"/>
                <w:highlight w:val="none"/>
                <w:u w:val="single"/>
                <w:lang w:eastAsia="zh-CN"/>
              </w:rPr>
              <w:t>中标供应商</w:t>
            </w:r>
            <w:r>
              <w:rPr>
                <w:rFonts w:hint="eastAsia" w:ascii="宋体" w:hAnsi="宋体" w:eastAsia="宋体" w:cs="宋体"/>
                <w:b w:val="0"/>
                <w:bCs w:val="0"/>
                <w:i/>
                <w:iCs/>
                <w:color w:val="000000"/>
                <w:sz w:val="24"/>
                <w:szCs w:val="24"/>
                <w:highlight w:val="none"/>
                <w:u w:val="single"/>
              </w:rPr>
              <w:t>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val="0"/>
                <w:bCs w:val="0"/>
                <w:i/>
                <w:iCs/>
                <w:color w:val="FF0000"/>
                <w:sz w:val="24"/>
                <w:szCs w:val="24"/>
                <w:highlight w:val="none"/>
                <w:u w:val="single"/>
              </w:rPr>
              <w:t>（</w:t>
            </w:r>
            <w:r>
              <w:rPr>
                <w:rFonts w:hint="eastAsia" w:ascii="宋体" w:hAnsi="宋体" w:eastAsia="宋体" w:cs="宋体"/>
                <w:b w:val="0"/>
                <w:bCs w:val="0"/>
                <w:i/>
                <w:iCs/>
                <w:color w:val="FF0000"/>
                <w:sz w:val="24"/>
                <w:szCs w:val="24"/>
                <w:highlight w:val="none"/>
                <w:u w:val="single"/>
                <w:lang w:eastAsia="zh-CN"/>
              </w:rPr>
              <w:t>供应商</w:t>
            </w:r>
            <w:r>
              <w:rPr>
                <w:rFonts w:hint="eastAsia" w:ascii="宋体" w:hAnsi="宋体" w:eastAsia="宋体" w:cs="宋体"/>
                <w:b w:val="0"/>
                <w:bCs w:val="0"/>
                <w:i/>
                <w:iCs/>
                <w:color w:val="FF0000"/>
                <w:sz w:val="24"/>
                <w:szCs w:val="24"/>
                <w:highlight w:val="none"/>
                <w:u w:val="single"/>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500" w:lineRule="exact"/>
              <w:jc w:val="center"/>
              <w:rPr>
                <w:sz w:val="24"/>
                <w:szCs w:val="24"/>
              </w:rPr>
            </w:pPr>
            <w:r>
              <w:rPr>
                <w:rFonts w:hint="eastAsia"/>
                <w:sz w:val="24"/>
                <w:szCs w:val="24"/>
              </w:rPr>
              <w:t>3</w:t>
            </w:r>
          </w:p>
        </w:tc>
        <w:tc>
          <w:tcPr>
            <w:tcW w:w="7689" w:type="dxa"/>
            <w:shd w:val="clear" w:color="auto" w:fill="auto"/>
            <w:vAlign w:val="top"/>
          </w:tcPr>
          <w:p>
            <w:pPr>
              <w:widowControl/>
              <w:spacing w:line="360" w:lineRule="auto"/>
              <w:ind w:firstLine="480"/>
              <w:jc w:val="left"/>
              <w:rPr>
                <w:rFonts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质保期：严格按照国家规定的技术规范标准生产和安装及售后服务，设备实行“三包”，并明确注明“三包”内容，电梯整机质保2年，年检费等其他费用，由中标供应商全部承担。电梯6大核心部件（曳引机、控制柜、门机、限速器、安全钳、缓冲器）质保10年。</w:t>
            </w:r>
          </w:p>
          <w:p>
            <w:pPr>
              <w:widowControl/>
              <w:spacing w:line="360" w:lineRule="auto"/>
              <w:ind w:firstLine="480" w:firstLineChars="0"/>
              <w:jc w:val="left"/>
              <w:rPr>
                <w:rFonts w:ascii="宋体" w:hAnsi="宋体" w:eastAsia="宋体" w:cs="宋体"/>
                <w:b w:val="0"/>
                <w:bCs w:val="0"/>
                <w:i/>
                <w:iCs/>
                <w:color w:val="000000"/>
                <w:kern w:val="2"/>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bidi="ar"/>
              </w:rPr>
              <w:t>在质保期内，如发生维护费用，需要更换的主要零配件设备材料费用由中标供应商全部承担。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500" w:lineRule="exact"/>
              <w:jc w:val="center"/>
              <w:rPr>
                <w:rFonts w:hint="eastAsia" w:eastAsiaTheme="minorEastAsia"/>
                <w:sz w:val="24"/>
                <w:szCs w:val="24"/>
                <w:lang w:val="en-US" w:eastAsia="zh-CN"/>
              </w:rPr>
            </w:pPr>
            <w:r>
              <w:rPr>
                <w:rFonts w:hint="eastAsia"/>
                <w:sz w:val="24"/>
                <w:szCs w:val="24"/>
                <w:lang w:val="en-US" w:eastAsia="zh-CN"/>
              </w:rPr>
              <w:t>4</w:t>
            </w:r>
          </w:p>
        </w:tc>
        <w:tc>
          <w:tcPr>
            <w:tcW w:w="7689" w:type="dxa"/>
            <w:shd w:val="clear" w:color="auto" w:fill="auto"/>
            <w:vAlign w:val="top"/>
          </w:tcPr>
          <w:p>
            <w:pPr>
              <w:widowControl/>
              <w:spacing w:line="360" w:lineRule="auto"/>
              <w:ind w:firstLine="480"/>
              <w:jc w:val="left"/>
              <w:rPr>
                <w:rFonts w:hint="eastAsia" w:ascii="宋体" w:hAnsi="宋体" w:eastAsia="宋体" w:cs="宋体"/>
                <w:b w:val="0"/>
                <w:bCs w:val="0"/>
                <w:i/>
                <w:iCs/>
                <w:color w:val="000000"/>
                <w:sz w:val="24"/>
                <w:szCs w:val="24"/>
                <w:highlight w:val="none"/>
                <w:u w:val="single"/>
                <w:lang w:bidi="ar"/>
              </w:rPr>
            </w:pPr>
            <w:r>
              <w:rPr>
                <w:rFonts w:hint="eastAsia" w:ascii="宋体" w:hAnsi="宋体" w:eastAsia="宋体" w:cs="宋体"/>
                <w:b w:val="0"/>
                <w:bCs w:val="0"/>
                <w:i/>
                <w:iCs/>
                <w:color w:val="000000"/>
                <w:sz w:val="24"/>
                <w:szCs w:val="24"/>
                <w:highlight w:val="none"/>
                <w:u w:val="single"/>
                <w:lang w:bidi="ar"/>
              </w:rPr>
              <w:t>付款方式：第一台电梯安装调试完成，经采购人初验合格后15个工作日内，支付合同总价的50%</w:t>
            </w:r>
            <w:r>
              <w:rPr>
                <w:rFonts w:hint="eastAsia" w:ascii="宋体" w:hAnsi="宋体" w:eastAsia="宋体" w:cs="宋体"/>
                <w:b w:val="0"/>
                <w:bCs w:val="0"/>
                <w:i/>
                <w:iCs/>
                <w:color w:val="000000"/>
                <w:sz w:val="24"/>
                <w:szCs w:val="24"/>
                <w:highlight w:val="none"/>
                <w:u w:val="single"/>
                <w:lang w:eastAsia="zh-CN" w:bidi="ar"/>
              </w:rPr>
              <w:t>。</w:t>
            </w:r>
            <w:r>
              <w:rPr>
                <w:rFonts w:hint="eastAsia" w:ascii="宋体" w:hAnsi="宋体" w:eastAsia="宋体" w:cs="宋体"/>
                <w:b w:val="0"/>
                <w:bCs w:val="0"/>
                <w:i/>
                <w:iCs/>
                <w:color w:val="000000"/>
                <w:sz w:val="24"/>
                <w:szCs w:val="24"/>
                <w:highlight w:val="none"/>
                <w:u w:val="single"/>
                <w:lang w:val="en-US" w:eastAsia="zh-CN" w:bidi="ar"/>
              </w:rPr>
              <w:t>两台</w:t>
            </w:r>
            <w:r>
              <w:rPr>
                <w:rFonts w:hint="eastAsia" w:ascii="宋体" w:hAnsi="宋体" w:eastAsia="宋体" w:cs="宋体"/>
                <w:b w:val="0"/>
                <w:bCs w:val="0"/>
                <w:i/>
                <w:iCs/>
                <w:color w:val="000000"/>
                <w:sz w:val="24"/>
                <w:szCs w:val="24"/>
                <w:highlight w:val="none"/>
                <w:u w:val="single"/>
                <w:lang w:bidi="ar"/>
              </w:rPr>
              <w:t>全部安装完毕后</w:t>
            </w:r>
            <w:r>
              <w:rPr>
                <w:rFonts w:hint="eastAsia" w:ascii="宋体" w:hAnsi="宋体" w:eastAsia="宋体" w:cs="宋体"/>
                <w:b w:val="0"/>
                <w:bCs w:val="0"/>
                <w:i/>
                <w:iCs/>
                <w:color w:val="000000"/>
                <w:sz w:val="24"/>
                <w:szCs w:val="24"/>
                <w:highlight w:val="none"/>
                <w:u w:val="single"/>
                <w:lang w:eastAsia="zh-CN" w:bidi="ar"/>
              </w:rPr>
              <w:t>，</w:t>
            </w:r>
            <w:r>
              <w:rPr>
                <w:rFonts w:hint="eastAsia" w:ascii="宋体" w:hAnsi="宋体" w:eastAsia="宋体" w:cs="宋体"/>
                <w:b w:val="0"/>
                <w:bCs w:val="0"/>
                <w:i/>
                <w:iCs/>
                <w:color w:val="000000"/>
                <w:sz w:val="24"/>
                <w:szCs w:val="24"/>
                <w:highlight w:val="none"/>
                <w:u w:val="single"/>
                <w:lang w:bidi="ar"/>
              </w:rPr>
              <w:t>经特种设备检验检测机构监督检验合格，取得市场监督管理部门核发的《电梯使用登记标志》</w:t>
            </w:r>
            <w:r>
              <w:rPr>
                <w:rFonts w:hint="eastAsia" w:ascii="宋体" w:hAnsi="宋体" w:eastAsia="宋体" w:cs="宋体"/>
                <w:b w:val="0"/>
                <w:bCs w:val="0"/>
                <w:i/>
                <w:iCs/>
                <w:color w:val="000000"/>
                <w:sz w:val="24"/>
                <w:szCs w:val="24"/>
                <w:highlight w:val="none"/>
                <w:u w:val="single"/>
                <w:lang w:eastAsia="zh-CN" w:bidi="ar"/>
              </w:rPr>
              <w:t>，</w:t>
            </w:r>
            <w:r>
              <w:rPr>
                <w:rFonts w:hint="eastAsia" w:ascii="宋体" w:hAnsi="宋体" w:eastAsia="宋体" w:cs="宋体"/>
                <w:b w:val="0"/>
                <w:bCs w:val="0"/>
                <w:i/>
                <w:iCs/>
                <w:color w:val="000000"/>
                <w:sz w:val="24"/>
                <w:szCs w:val="24"/>
                <w:highlight w:val="none"/>
                <w:u w:val="single"/>
                <w:lang w:val="en-US" w:eastAsia="zh-CN" w:bidi="ar"/>
              </w:rPr>
              <w:t>2026年12月31日前支付剩余50%</w:t>
            </w:r>
            <w:r>
              <w:rPr>
                <w:rFonts w:hint="eastAsia" w:ascii="宋体" w:hAnsi="宋体" w:eastAsia="宋体" w:cs="宋体"/>
                <w:b w:val="0"/>
                <w:bCs w:val="0"/>
                <w:i/>
                <w:iCs/>
                <w:color w:val="000000"/>
                <w:sz w:val="24"/>
                <w:szCs w:val="24"/>
                <w:highlight w:val="none"/>
                <w:u w:val="single"/>
                <w:lang w:bidi="ar"/>
              </w:rPr>
              <w:t>。</w:t>
            </w:r>
          </w:p>
          <w:p>
            <w:pPr>
              <w:widowControl/>
              <w:spacing w:line="360" w:lineRule="auto"/>
              <w:ind w:firstLine="480" w:firstLineChars="0"/>
              <w:jc w:val="left"/>
              <w:rPr>
                <w:rFonts w:asciiTheme="minorHAnsi" w:hAnsiTheme="minorHAnsi" w:eastAsiaTheme="minorEastAsia" w:cstheme="minorBidi"/>
                <w:b w:val="0"/>
                <w:bCs w:val="0"/>
                <w:i/>
                <w:iCs/>
                <w:kern w:val="2"/>
                <w:sz w:val="24"/>
                <w:szCs w:val="24"/>
                <w:highlight w:val="none"/>
                <w:lang w:val="en-US" w:eastAsia="zh-CN" w:bidi="ar-SA"/>
              </w:rPr>
            </w:pPr>
            <w:r>
              <w:rPr>
                <w:rFonts w:hint="eastAsia" w:ascii="宋体" w:hAnsi="宋体" w:eastAsia="宋体" w:cs="宋体"/>
                <w:b w:val="0"/>
                <w:bCs w:val="0"/>
                <w:i/>
                <w:iCs/>
                <w:color w:val="000000"/>
                <w:sz w:val="24"/>
                <w:szCs w:val="24"/>
                <w:highlight w:val="none"/>
                <w:u w:val="single"/>
                <w:lang w:bidi="ar"/>
              </w:rPr>
              <w:t>采购人付款前，中标人应向采购人出具符合采购人要求的发票，否则中标人自行承担延迟付款的责任。</w:t>
            </w:r>
          </w:p>
        </w:tc>
      </w:tr>
    </w:tbl>
    <w:p>
      <w:pPr>
        <w:rPr>
          <w:sz w:val="24"/>
          <w:szCs w:val="24"/>
        </w:rPr>
      </w:pPr>
    </w:p>
    <w:p>
      <w:pPr>
        <w:spacing w:line="360" w:lineRule="auto"/>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一、项目概况（或背景或主要建设内容）</w:t>
      </w:r>
    </w:p>
    <w:p>
      <w:pPr>
        <w:widowControl w:val="0"/>
        <w:spacing w:line="360" w:lineRule="auto"/>
        <w:ind w:firstLine="480"/>
        <w:jc w:val="left"/>
        <w:rPr>
          <w:rFonts w:hint="eastAsia" w:ascii="宋体" w:hAnsi="宋体" w:eastAsia="宋体" w:cs="宋体"/>
          <w:sz w:val="24"/>
          <w:szCs w:val="24"/>
          <w:highlight w:val="none"/>
          <w:shd w:val="clear" w:color="auto" w:fill="auto"/>
          <w:lang w:val="en-US" w:eastAsia="zh-CN"/>
        </w:rPr>
      </w:pPr>
      <w:r>
        <w:rPr>
          <w:rFonts w:hint="eastAsia"/>
          <w:sz w:val="24"/>
          <w:szCs w:val="24"/>
          <w:highlight w:val="none"/>
          <w:lang w:val="en-US" w:eastAsia="zh-CN"/>
        </w:rPr>
        <w:t>东海县自然资源和规划局机关两部电梯使用年限较长，目前存在故障频发、部件老化停产、电梯不开门困人已影响正常办公通行，且存在安全隐患，为保障乘客安全、提升乘坐舒适度，拟进行整体更新。本项目原电梯井内常年潮湿，新设备需有较高防水防尘功能。又因场所人流量大，需高精度光幕识别细小肢体，光幕需高密光幕提升防夹安全。更新范围:拆除原有旧电梯设备，在原井道、机房内安装全新的乘客电梯系统；对原机房进行装修改造，包含但不限于原有电梯拆除、新安装电梯、五方对讲、CCTV接口、远程监控、物联网接入等工作，电梯机房内所有设备设施及装修按照现行标准改造到位，费用包含旧梯拆除费，货物费用、垃圾运杂费、安装施工费、集成费、税金和其他所有费用,采购人不再另行支付费用。</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二、货物（标的）采购清单</w:t>
      </w:r>
    </w:p>
    <w:tbl>
      <w:tblPr>
        <w:tblStyle w:val="1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621"/>
        <w:gridCol w:w="1725"/>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序号</w:t>
            </w:r>
          </w:p>
        </w:tc>
        <w:tc>
          <w:tcPr>
            <w:tcW w:w="2817"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货物（标的）名称</w:t>
            </w:r>
          </w:p>
        </w:tc>
        <w:tc>
          <w:tcPr>
            <w:tcW w:w="1621" w:type="dxa"/>
            <w:shd w:val="clear" w:color="auto" w:fill="auto"/>
            <w:vAlign w:val="center"/>
          </w:tcPr>
          <w:p>
            <w:pPr>
              <w:widowControl/>
              <w:spacing w:line="360" w:lineRule="auto"/>
              <w:jc w:val="center"/>
              <w:rPr>
                <w:rFonts w:ascii="宋体" w:hAnsi="Times New Roman" w:eastAsia="宋体" w:cs="Times New Roman"/>
                <w:sz w:val="18"/>
                <w:szCs w:val="15"/>
              </w:rPr>
            </w:pPr>
            <w:r>
              <w:rPr>
                <w:rFonts w:hint="eastAsia" w:ascii="Times New Roman" w:hAnsi="Times New Roman" w:eastAsia="宋体" w:cs="Times New Roman"/>
                <w:szCs w:val="24"/>
              </w:rPr>
              <w:t>数量</w:t>
            </w:r>
          </w:p>
        </w:tc>
        <w:tc>
          <w:tcPr>
            <w:tcW w:w="1725" w:type="dxa"/>
            <w:shd w:val="clear" w:color="auto" w:fill="auto"/>
            <w:vAlign w:val="center"/>
          </w:tcPr>
          <w:p>
            <w:pPr>
              <w:widowControl/>
              <w:spacing w:line="360" w:lineRule="auto"/>
              <w:jc w:val="center"/>
              <w:rPr>
                <w:rFonts w:ascii="Times New Roman" w:hAnsi="Times New Roman" w:eastAsia="宋体" w:cs="Times New Roman"/>
                <w:szCs w:val="24"/>
              </w:rPr>
            </w:pPr>
            <w:r>
              <w:rPr>
                <w:rFonts w:hint="eastAsia" w:ascii="Times New Roman" w:hAnsi="Times New Roman" w:eastAsia="宋体" w:cs="Times New Roman"/>
                <w:szCs w:val="24"/>
              </w:rPr>
              <w:t>单位</w:t>
            </w:r>
          </w:p>
        </w:tc>
        <w:tc>
          <w:tcPr>
            <w:tcW w:w="1446" w:type="dxa"/>
            <w:shd w:val="clear" w:color="auto" w:fill="auto"/>
          </w:tcPr>
          <w:p>
            <w:pPr>
              <w:widowControl/>
              <w:jc w:val="center"/>
              <w:rPr>
                <w:rFonts w:ascii="Times New Roman" w:hAnsi="Times New Roman" w:eastAsia="宋体" w:cs="Times New Roman"/>
                <w:szCs w:val="24"/>
              </w:rPr>
            </w:pPr>
            <w:r>
              <w:rPr>
                <w:rFonts w:hint="eastAsia" w:ascii="Times New Roman" w:hAnsi="Times New Roman" w:eastAsia="宋体" w:cs="Times New Roman"/>
                <w:szCs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1</w:t>
            </w:r>
          </w:p>
        </w:tc>
        <w:tc>
          <w:tcPr>
            <w:tcW w:w="2817"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办公楼电梯DT1</w:t>
            </w:r>
          </w:p>
        </w:tc>
        <w:tc>
          <w:tcPr>
            <w:tcW w:w="1621"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1</w:t>
            </w:r>
          </w:p>
        </w:tc>
        <w:tc>
          <w:tcPr>
            <w:tcW w:w="1725"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台</w:t>
            </w:r>
          </w:p>
        </w:tc>
        <w:tc>
          <w:tcPr>
            <w:tcW w:w="1446"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2</w:t>
            </w:r>
          </w:p>
        </w:tc>
        <w:tc>
          <w:tcPr>
            <w:tcW w:w="2817"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办公楼电梯DT2</w:t>
            </w:r>
            <w:r>
              <w:rPr>
                <w:rFonts w:ascii="新宋体" w:hAnsi="新宋体" w:eastAsia="新宋体" w:cs="新宋体"/>
                <w:sz w:val="24"/>
                <w:szCs w:val="32"/>
                <w:highlight w:val="none"/>
              </w:rPr>
              <w:t xml:space="preserve"> </w:t>
            </w:r>
          </w:p>
        </w:tc>
        <w:tc>
          <w:tcPr>
            <w:tcW w:w="1621"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1</w:t>
            </w:r>
          </w:p>
        </w:tc>
        <w:tc>
          <w:tcPr>
            <w:tcW w:w="1725"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台</w:t>
            </w:r>
          </w:p>
        </w:tc>
        <w:tc>
          <w:tcPr>
            <w:tcW w:w="1446" w:type="dxa"/>
            <w:shd w:val="clear" w:color="auto" w:fill="auto"/>
            <w:vAlign w:val="center"/>
          </w:tcPr>
          <w:p>
            <w:pPr>
              <w:widowControl/>
              <w:spacing w:line="360" w:lineRule="auto"/>
              <w:jc w:val="center"/>
              <w:rPr>
                <w:rFonts w:ascii="新宋体" w:hAnsi="新宋体" w:eastAsia="新宋体" w:cs="新宋体"/>
                <w:kern w:val="2"/>
                <w:sz w:val="24"/>
                <w:szCs w:val="32"/>
                <w:highlight w:val="none"/>
                <w:lang w:val="en-US" w:eastAsia="zh-CN" w:bidi="ar-SA"/>
              </w:rPr>
            </w:pPr>
            <w:r>
              <w:rPr>
                <w:rFonts w:hint="eastAsia" w:ascii="新宋体" w:hAnsi="新宋体" w:eastAsia="新宋体" w:cs="新宋体"/>
                <w:sz w:val="24"/>
                <w:szCs w:val="32"/>
                <w:highlight w:val="none"/>
              </w:rPr>
              <w:t>工业</w:t>
            </w:r>
          </w:p>
        </w:tc>
      </w:tr>
    </w:tbl>
    <w:p>
      <w:pPr>
        <w:autoSpaceDE w:val="0"/>
        <w:autoSpaceDN w:val="0"/>
        <w:adjustRightInd w:val="0"/>
        <w:spacing w:line="360" w:lineRule="auto"/>
        <w:ind w:firstLine="562" w:firstLineChars="200"/>
        <w:jc w:val="left"/>
        <w:rPr>
          <w:rFonts w:hint="eastAsia" w:ascii="Times New Roman" w:hAnsi="Times New Roman" w:eastAsia="宋体" w:cs="Times New Roman"/>
          <w:b/>
          <w:sz w:val="28"/>
          <w:szCs w:val="28"/>
          <w:highlight w:val="none"/>
        </w:rPr>
      </w:pPr>
      <w:bookmarkStart w:id="10" w:name="_Toc139967216"/>
      <w:bookmarkStart w:id="11" w:name="_Toc139966432"/>
      <w:r>
        <w:rPr>
          <w:rFonts w:hint="eastAsia" w:ascii="Times New Roman" w:hAnsi="Times New Roman" w:eastAsia="宋体" w:cs="Times New Roman"/>
          <w:b/>
          <w:sz w:val="28"/>
          <w:szCs w:val="28"/>
          <w:highlight w:val="none"/>
        </w:rPr>
        <w:t>三、货物（标的）技术参数及功能指标</w:t>
      </w:r>
    </w:p>
    <w:p>
      <w:pPr>
        <w:autoSpaceDE w:val="0"/>
        <w:autoSpaceDN w:val="0"/>
        <w:adjustRightInd w:val="0"/>
        <w:spacing w:line="360" w:lineRule="auto"/>
        <w:ind w:firstLine="562" w:firstLineChars="200"/>
        <w:jc w:val="left"/>
        <w:rPr>
          <w:rFonts w:hint="default"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 xml:space="preserve">3.1 </w:t>
      </w:r>
      <w:r>
        <w:rPr>
          <w:b/>
          <w:sz w:val="24"/>
          <w:szCs w:val="24"/>
          <w:highlight w:val="none"/>
        </w:rPr>
        <w:t>电梯规格尺寸及要求如下表</w:t>
      </w:r>
      <w:r>
        <w:rPr>
          <w:sz w:val="24"/>
          <w:szCs w:val="24"/>
          <w:highlight w:val="none"/>
        </w:rPr>
        <w:t>：</w:t>
      </w:r>
    </w:p>
    <w:tbl>
      <w:tblPr>
        <w:tblStyle w:val="17"/>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0"/>
        <w:gridCol w:w="2977"/>
        <w:gridCol w:w="1486"/>
        <w:gridCol w:w="34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1260" w:type="dxa"/>
            <w:vAlign w:val="center"/>
          </w:tcPr>
          <w:p>
            <w:pPr>
              <w:widowControl/>
              <w:spacing w:line="360" w:lineRule="auto"/>
              <w:jc w:val="center"/>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rPr>
              <w:t>序号</w:t>
            </w:r>
          </w:p>
        </w:tc>
        <w:tc>
          <w:tcPr>
            <w:tcW w:w="2977" w:type="dxa"/>
            <w:vAlign w:val="center"/>
          </w:tcPr>
          <w:p>
            <w:pPr>
              <w:widowControl/>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货物（标的）名称</w:t>
            </w:r>
          </w:p>
        </w:tc>
        <w:tc>
          <w:tcPr>
            <w:tcW w:w="4982" w:type="dxa"/>
            <w:gridSpan w:val="2"/>
            <w:vAlign w:val="center"/>
          </w:tcPr>
          <w:p>
            <w:pPr>
              <w:widowControl/>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技术参数及功能指标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1</w:t>
            </w:r>
          </w:p>
        </w:tc>
        <w:tc>
          <w:tcPr>
            <w:tcW w:w="2977" w:type="dxa"/>
          </w:tcPr>
          <w:p>
            <w:pPr>
              <w:pStyle w:val="42"/>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货物</w:t>
            </w:r>
            <w:r>
              <w:rPr>
                <w:rFonts w:hint="default" w:ascii="Times New Roman" w:hAnsi="Times New Roman" w:eastAsia="宋体" w:cs="Times New Roman"/>
                <w:b w:val="0"/>
                <w:bCs w:val="0"/>
                <w:sz w:val="24"/>
                <w:szCs w:val="24"/>
                <w:highlight w:val="none"/>
                <w:lang w:val="en-US" w:eastAsia="zh-CN"/>
              </w:rPr>
              <w:t>名称：</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办公楼商务乘客电梯DT1</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DT</w:t>
            </w:r>
            <w:r>
              <w:rPr>
                <w:rFonts w:hint="default" w:ascii="Times New Roman" w:hAnsi="Times New Roman" w:eastAsia="宋体" w:cs="Times New Roman"/>
                <w:b w:val="0"/>
                <w:bCs w:val="0"/>
                <w:sz w:val="24"/>
                <w:szCs w:val="24"/>
                <w:highlight w:val="none"/>
                <w:lang w:val="en-US" w:eastAsia="zh-CN"/>
              </w:rPr>
              <w:t>2</w:t>
            </w:r>
            <w:r>
              <w:rPr>
                <w:rFonts w:hint="default" w:ascii="Times New Roman" w:hAnsi="Times New Roman" w:eastAsia="宋体" w:cs="Times New Roman"/>
                <w:b w:val="0"/>
                <w:bCs w:val="0"/>
                <w:sz w:val="24"/>
                <w:szCs w:val="24"/>
                <w:highlight w:val="none"/>
              </w:rPr>
              <w:t xml:space="preserve"> （含无障碍功能）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产品规格：</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有机房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额定速度：</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w:t>
            </w:r>
            <w:r>
              <w:rPr>
                <w:rFonts w:hint="default" w:ascii="Times New Roman" w:hAnsi="Times New Roman" w:eastAsia="宋体" w:cs="Times New Roman"/>
                <w:b w:val="0"/>
                <w:bCs w:val="0"/>
                <w:sz w:val="24"/>
                <w:szCs w:val="24"/>
                <w:highlight w:val="none"/>
                <w:lang w:val="en-US" w:eastAsia="zh-CN"/>
              </w:rPr>
              <w:t>5</w:t>
            </w:r>
            <w:r>
              <w:rPr>
                <w:rFonts w:hint="default" w:ascii="Times New Roman" w:hAnsi="Times New Roman" w:eastAsia="宋体" w:cs="Times New Roman"/>
                <w:b w:val="0"/>
                <w:bCs w:val="0"/>
                <w:sz w:val="24"/>
                <w:szCs w:val="24"/>
                <w:highlight w:val="none"/>
              </w:rPr>
              <w:t>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4</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额定载重：</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≥1050kg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jc w:val="center"/>
        </w:trPr>
        <w:tc>
          <w:tcPr>
            <w:tcW w:w="1260" w:type="dxa"/>
          </w:tcPr>
          <w:p>
            <w:pPr>
              <w:pStyle w:val="42"/>
              <w:spacing w:before="153"/>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5</w:t>
            </w:r>
          </w:p>
        </w:tc>
        <w:tc>
          <w:tcPr>
            <w:tcW w:w="2977" w:type="dxa"/>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停站层数：</w:t>
            </w:r>
          </w:p>
        </w:tc>
        <w:tc>
          <w:tcPr>
            <w:tcW w:w="4982" w:type="dxa"/>
            <w:gridSpan w:val="2"/>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10层10站10门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0"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6</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基站：</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 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7</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楼层标记：</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1,2,3,4,5,6,7,8,9,10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8</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提升高度：</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 w:hRule="atLeast"/>
          <w:jc w:val="center"/>
        </w:trPr>
        <w:tc>
          <w:tcPr>
            <w:tcW w:w="1260" w:type="dxa"/>
          </w:tcPr>
          <w:p>
            <w:pPr>
              <w:pStyle w:val="42"/>
              <w:spacing w:before="152"/>
              <w:ind w:left="8"/>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9</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操作系统：</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全电脑集选方式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10</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运动控制系统：</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微机控制交流变压变频调速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11</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控制方式：</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并联（独立外呼）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12</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拖动系统：</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永磁同步无齿轮曳引机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13</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曳引媒介：</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钢带或钢丝绳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14</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传动轮系统：</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导向轮、抗绳轮、轿厢及对重返绳轮、层门装置导向轮、底坑涨紧轮均为耐磨耐用的金属材质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15</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轿厢及对重缓冲器：</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轿厢及对重缓冲器均为耐磨耐用的金属材质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16</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门机控制系统：</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微机控制VVVF 交流变压变频调速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17</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门机拖动系统：</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永磁同步门机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18</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轿厢尺寸：CW×CD×CH(净）</w:t>
            </w:r>
          </w:p>
        </w:tc>
        <w:tc>
          <w:tcPr>
            <w:tcW w:w="4982" w:type="dxa"/>
            <w:gridSpan w:val="2"/>
          </w:tcPr>
          <w:p>
            <w:pPr>
              <w:pStyle w:val="42"/>
              <w:spacing w:before="15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1600mm×1500mm×2600mm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vAlign w:val="center"/>
          </w:tcPr>
          <w:p>
            <w:pPr>
              <w:pStyle w:val="42"/>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19</w:t>
            </w:r>
          </w:p>
        </w:tc>
        <w:tc>
          <w:tcPr>
            <w:tcW w:w="2977" w:type="dxa"/>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轿厢内净高：</w:t>
            </w:r>
          </w:p>
        </w:tc>
        <w:tc>
          <w:tcPr>
            <w:tcW w:w="4982" w:type="dxa"/>
            <w:gridSpan w:val="2"/>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w:t>
            </w:r>
            <w:r>
              <w:rPr>
                <w:rFonts w:hint="default" w:ascii="Times New Roman" w:hAnsi="Times New Roman" w:eastAsia="宋体" w:cs="Times New Roman"/>
                <w:b w:val="0"/>
                <w:bCs w:val="0"/>
                <w:sz w:val="24"/>
                <w:szCs w:val="24"/>
                <w:highlight w:val="none"/>
                <w:lang w:val="en-US" w:eastAsia="zh-CN"/>
              </w:rPr>
              <w:t>4</w:t>
            </w:r>
            <w:r>
              <w:rPr>
                <w:rFonts w:hint="default" w:ascii="Times New Roman" w:hAnsi="Times New Roman" w:eastAsia="宋体" w:cs="Times New Roman"/>
                <w:b w:val="0"/>
                <w:bCs w:val="0"/>
                <w:sz w:val="24"/>
                <w:szCs w:val="24"/>
                <w:highlight w:val="none"/>
              </w:rPr>
              <w:t>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vAlign w:val="center"/>
          </w:tcPr>
          <w:p>
            <w:pPr>
              <w:pStyle w:val="42"/>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20</w:t>
            </w:r>
          </w:p>
        </w:tc>
        <w:tc>
          <w:tcPr>
            <w:tcW w:w="2977" w:type="dxa"/>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开门尺寸CW×CH(净）：</w:t>
            </w:r>
          </w:p>
        </w:tc>
        <w:tc>
          <w:tcPr>
            <w:tcW w:w="4982" w:type="dxa"/>
            <w:gridSpan w:val="2"/>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900×2100mm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vAlign w:val="center"/>
          </w:tcPr>
          <w:p>
            <w:pPr>
              <w:pStyle w:val="42"/>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21</w:t>
            </w:r>
          </w:p>
        </w:tc>
        <w:tc>
          <w:tcPr>
            <w:tcW w:w="2977" w:type="dxa"/>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开门方式：</w:t>
            </w:r>
          </w:p>
        </w:tc>
        <w:tc>
          <w:tcPr>
            <w:tcW w:w="4982" w:type="dxa"/>
            <w:gridSpan w:val="2"/>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双扇中分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jc w:val="center"/>
        </w:trPr>
        <w:tc>
          <w:tcPr>
            <w:tcW w:w="1260" w:type="dxa"/>
            <w:vAlign w:val="center"/>
          </w:tcPr>
          <w:p>
            <w:pPr>
              <w:pStyle w:val="42"/>
              <w:spacing w:before="153"/>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22</w:t>
            </w:r>
          </w:p>
        </w:tc>
        <w:tc>
          <w:tcPr>
            <w:tcW w:w="2977" w:type="dxa"/>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井道尺寸：HW×HD</w:t>
            </w:r>
          </w:p>
        </w:tc>
        <w:tc>
          <w:tcPr>
            <w:tcW w:w="4982" w:type="dxa"/>
            <w:gridSpan w:val="2"/>
          </w:tcPr>
          <w:p>
            <w:pPr>
              <w:pStyle w:val="42"/>
              <w:spacing w:before="143"/>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vAlign w:val="center"/>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23</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顶层高度：</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60" w:type="dxa"/>
            <w:vAlign w:val="center"/>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24</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底坑深度：</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投标人自行勘测，根据现场实际确定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1260" w:type="dxa"/>
            <w:vMerge w:val="restart"/>
            <w:vAlign w:val="center"/>
          </w:tcPr>
          <w:p>
            <w:pPr>
              <w:pStyle w:val="42"/>
              <w:spacing w:before="12"/>
              <w:rPr>
                <w:rFonts w:hint="default" w:ascii="Times New Roman" w:hAnsi="Times New Roman" w:eastAsia="宋体" w:cs="Times New Roman"/>
                <w:b w:val="0"/>
                <w:bCs w:val="0"/>
                <w:sz w:val="24"/>
                <w:szCs w:val="24"/>
                <w:highlight w:val="none"/>
              </w:rPr>
            </w:pPr>
          </w:p>
          <w:p>
            <w:pPr>
              <w:pStyle w:val="42"/>
              <w:ind w:left="420" w:right="414"/>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25</w:t>
            </w:r>
          </w:p>
        </w:tc>
        <w:tc>
          <w:tcPr>
            <w:tcW w:w="2977" w:type="dxa"/>
            <w:vMerge w:val="restart"/>
          </w:tcPr>
          <w:p>
            <w:pPr>
              <w:pStyle w:val="42"/>
              <w:rPr>
                <w:rFonts w:hint="default" w:ascii="Times New Roman" w:hAnsi="Times New Roman" w:eastAsia="宋体" w:cs="Times New Roman"/>
                <w:b w:val="0"/>
                <w:bCs w:val="0"/>
                <w:sz w:val="24"/>
                <w:szCs w:val="24"/>
                <w:highlight w:val="none"/>
              </w:rPr>
            </w:pPr>
          </w:p>
          <w:p>
            <w:pPr>
              <w:pStyle w:val="42"/>
              <w:rPr>
                <w:rFonts w:hint="default" w:ascii="Times New Roman" w:hAnsi="Times New Roman" w:eastAsia="宋体" w:cs="Times New Roman"/>
                <w:b w:val="0"/>
                <w:bCs w:val="0"/>
                <w:sz w:val="24"/>
                <w:szCs w:val="24"/>
                <w:highlight w:val="none"/>
              </w:rPr>
            </w:pPr>
          </w:p>
          <w:p>
            <w:pPr>
              <w:pStyle w:val="42"/>
              <w:rPr>
                <w:rFonts w:hint="default" w:ascii="Times New Roman" w:hAnsi="Times New Roman" w:eastAsia="宋体" w:cs="Times New Roman"/>
                <w:b w:val="0"/>
                <w:bCs w:val="0"/>
                <w:sz w:val="24"/>
                <w:szCs w:val="24"/>
                <w:highlight w:val="none"/>
              </w:rPr>
            </w:pPr>
          </w:p>
          <w:p>
            <w:pPr>
              <w:pStyle w:val="42"/>
              <w:spacing w:before="4"/>
              <w:rPr>
                <w:rFonts w:hint="default" w:ascii="Times New Roman" w:hAnsi="Times New Roman" w:eastAsia="宋体" w:cs="Times New Roman"/>
                <w:b w:val="0"/>
                <w:bCs w:val="0"/>
                <w:sz w:val="24"/>
                <w:szCs w:val="24"/>
                <w:highlight w:val="none"/>
              </w:rPr>
            </w:pPr>
          </w:p>
          <w:p>
            <w:pPr>
              <w:pStyle w:val="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轿厢内部装饰：</w:t>
            </w: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轿门</w:t>
            </w:r>
            <w:r>
              <w:rPr>
                <w:rFonts w:hint="eastAsia"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前壁</w:t>
            </w:r>
            <w:r>
              <w:rPr>
                <w:rFonts w:hint="eastAsia"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侧</w:t>
            </w:r>
            <w:r>
              <w:rPr>
                <w:rFonts w:hint="default" w:ascii="Times New Roman" w:hAnsi="Times New Roman" w:eastAsia="宋体" w:cs="Times New Roman"/>
                <w:b w:val="0"/>
                <w:bCs w:val="0"/>
                <w:sz w:val="24"/>
                <w:szCs w:val="24"/>
                <w:highlight w:val="none"/>
                <w:lang w:val="en-US" w:eastAsia="zh-CN"/>
              </w:rPr>
              <w:t>前</w:t>
            </w:r>
            <w:r>
              <w:rPr>
                <w:rFonts w:hint="default" w:ascii="Times New Roman" w:hAnsi="Times New Roman" w:eastAsia="宋体" w:cs="Times New Roman"/>
                <w:b w:val="0"/>
                <w:bCs w:val="0"/>
                <w:sz w:val="24"/>
                <w:szCs w:val="24"/>
                <w:highlight w:val="none"/>
              </w:rPr>
              <w:t>壁</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侧后壁</w:t>
            </w:r>
            <w:r>
              <w:rPr>
                <w:rFonts w:hint="eastAsia" w:ascii="Times New Roman" w:hAnsi="Times New Roman" w:eastAsia="宋体" w:cs="Times New Roman"/>
                <w:b w:val="0"/>
                <w:bCs w:val="0"/>
                <w:sz w:val="24"/>
                <w:szCs w:val="24"/>
                <w:highlight w:val="none"/>
                <w:lang w:val="en-US" w:eastAsia="zh-CN"/>
              </w:rPr>
              <w:t>、</w:t>
            </w:r>
            <w:r>
              <w:rPr>
                <w:rFonts w:hint="default" w:ascii="Times New Roman" w:hAnsi="Times New Roman" w:eastAsia="宋体" w:cs="Times New Roman"/>
                <w:b w:val="0"/>
                <w:bCs w:val="0"/>
                <w:sz w:val="24"/>
                <w:szCs w:val="24"/>
                <w:highlight w:val="none"/>
              </w:rPr>
              <w:t>后</w:t>
            </w:r>
            <w:r>
              <w:rPr>
                <w:rFonts w:hint="default" w:ascii="Times New Roman" w:hAnsi="Times New Roman" w:eastAsia="宋体" w:cs="Times New Roman"/>
                <w:b w:val="0"/>
                <w:bCs w:val="0"/>
                <w:sz w:val="24"/>
                <w:szCs w:val="24"/>
                <w:highlight w:val="none"/>
                <w:lang w:val="en-US" w:eastAsia="zh-CN"/>
              </w:rPr>
              <w:t>左</w:t>
            </w:r>
            <w:r>
              <w:rPr>
                <w:rFonts w:hint="default" w:ascii="Times New Roman" w:hAnsi="Times New Roman" w:eastAsia="宋体" w:cs="Times New Roman"/>
                <w:b w:val="0"/>
                <w:bCs w:val="0"/>
                <w:sz w:val="24"/>
                <w:szCs w:val="24"/>
                <w:highlight w:val="none"/>
              </w:rPr>
              <w:t>壁</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后右</w:t>
            </w:r>
            <w:r>
              <w:rPr>
                <w:rFonts w:hint="default" w:ascii="Times New Roman" w:hAnsi="Times New Roman" w:eastAsia="宋体" w:cs="Times New Roman"/>
                <w:b w:val="0"/>
                <w:bCs w:val="0"/>
                <w:sz w:val="24"/>
                <w:szCs w:val="24"/>
                <w:highlight w:val="none"/>
              </w:rPr>
              <w:t>壁</w:t>
            </w:r>
          </w:p>
        </w:tc>
        <w:tc>
          <w:tcPr>
            <w:tcW w:w="3496" w:type="dxa"/>
          </w:tcPr>
          <w:p>
            <w:pPr>
              <w:pStyle w:val="42"/>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304发纹不锈钢，厚度1.5mm（不锈钢板材为电梯制造商原厂标配部件，采用 304 不锈钢整体折弯成型，不得采用复合贴面板材）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1260" w:type="dxa"/>
            <w:vMerge w:val="continue"/>
            <w:vAlign w:val="center"/>
          </w:tcPr>
          <w:p>
            <w:pPr>
              <w:pStyle w:val="42"/>
              <w:spacing w:before="12"/>
              <w:rPr>
                <w:rFonts w:hint="default" w:ascii="Times New Roman" w:hAnsi="Times New Roman" w:eastAsia="宋体" w:cs="Times New Roman"/>
                <w:b w:val="0"/>
                <w:bCs w:val="0"/>
                <w:sz w:val="24"/>
                <w:szCs w:val="24"/>
                <w:highlight w:val="none"/>
              </w:rPr>
            </w:pPr>
          </w:p>
        </w:tc>
        <w:tc>
          <w:tcPr>
            <w:tcW w:w="2977" w:type="dxa"/>
            <w:vMerge w:val="continue"/>
          </w:tcPr>
          <w:p>
            <w:pPr>
              <w:pStyle w:val="42"/>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lang w:val="en-US" w:eastAsia="zh-CN"/>
              </w:rPr>
            </w:pPr>
            <w:r>
              <w:rPr>
                <w:rFonts w:hint="eastAsia"/>
                <w:lang w:val="zh-CN" w:eastAsia="zh-CN"/>
              </w:rPr>
              <w:t>▲</w:t>
            </w:r>
            <w:r>
              <w:rPr>
                <w:rFonts w:hint="default" w:ascii="Times New Roman" w:hAnsi="Times New Roman" w:eastAsia="宋体" w:cs="Times New Roman"/>
                <w:b w:val="0"/>
                <w:bCs w:val="0"/>
                <w:sz w:val="24"/>
                <w:szCs w:val="24"/>
                <w:highlight w:val="none"/>
                <w:lang w:val="en-US" w:eastAsia="zh-CN"/>
              </w:rPr>
              <w:t>侧中壁</w:t>
            </w:r>
            <w:r>
              <w:rPr>
                <w:rFonts w:hint="eastAsia" w:ascii="Times New Roman" w:hAnsi="Times New Roman" w:eastAsia="宋体" w:cs="Times New Roman"/>
                <w:b w:val="0"/>
                <w:bCs w:val="0"/>
                <w:sz w:val="24"/>
                <w:szCs w:val="24"/>
                <w:highlight w:val="none"/>
                <w:lang w:val="en-US" w:eastAsia="zh-CN"/>
              </w:rPr>
              <w:t>、</w:t>
            </w:r>
            <w:r>
              <w:rPr>
                <w:rFonts w:hint="default" w:ascii="Times New Roman" w:hAnsi="Times New Roman" w:eastAsia="宋体" w:cs="Times New Roman"/>
                <w:b w:val="0"/>
                <w:bCs w:val="0"/>
                <w:sz w:val="24"/>
                <w:szCs w:val="24"/>
                <w:highlight w:val="none"/>
                <w:lang w:val="en-US" w:eastAsia="zh-CN"/>
              </w:rPr>
              <w:t>后中壁</w:t>
            </w:r>
          </w:p>
        </w:tc>
        <w:tc>
          <w:tcPr>
            <w:tcW w:w="3496" w:type="dxa"/>
          </w:tcPr>
          <w:p>
            <w:pPr>
              <w:pStyle w:val="42"/>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304</w:t>
            </w:r>
            <w:r>
              <w:rPr>
                <w:rFonts w:hint="default" w:ascii="Times New Roman" w:hAnsi="Times New Roman" w:eastAsia="宋体" w:cs="Times New Roman"/>
                <w:b w:val="0"/>
                <w:bCs w:val="0"/>
                <w:sz w:val="24"/>
                <w:szCs w:val="24"/>
                <w:highlight w:val="none"/>
                <w:lang w:val="en-US" w:eastAsia="zh-CN"/>
              </w:rPr>
              <w:t>压</w:t>
            </w:r>
            <w:r>
              <w:rPr>
                <w:rFonts w:hint="default" w:ascii="Times New Roman" w:hAnsi="Times New Roman" w:eastAsia="宋体" w:cs="Times New Roman"/>
                <w:b w:val="0"/>
                <w:bCs w:val="0"/>
                <w:sz w:val="24"/>
                <w:szCs w:val="24"/>
                <w:highlight w:val="none"/>
              </w:rPr>
              <w:t>纹不锈钢，厚度1.5mm（不锈钢板材为电梯制造商原厂标配部件，采用 304 不锈钢整体折弯成型，不得采用复合贴面板材）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扶手</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两侧壁单排椭圆形_发纹不锈钢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轿厢操纵箱</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(一体化操纵箱)_发纹不锈钢_SUS304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轿厢位置指层</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lang w:val="en-US" w:eastAsia="zh-CN"/>
              </w:rPr>
              <w:t>15</w:t>
            </w:r>
            <w:r>
              <w:rPr>
                <w:rFonts w:hint="default" w:ascii="Times New Roman" w:hAnsi="Times New Roman" w:eastAsia="宋体" w:cs="Times New Roman"/>
                <w:b w:val="0"/>
                <w:bCs w:val="0"/>
                <w:sz w:val="24"/>
                <w:szCs w:val="24"/>
                <w:highlight w:val="none"/>
              </w:rPr>
              <w:t>寸多媒体液晶_设置于主操纵箱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残疾人操纵箱按钮</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带盲文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残疾人操纵箱</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(残疾人操纵箱)_发纹不锈钢_SUS304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轿顶：</w:t>
            </w:r>
          </w:p>
        </w:tc>
        <w:tc>
          <w:tcPr>
            <w:tcW w:w="3496" w:type="dxa"/>
          </w:tcPr>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轿厢照明：高效节能专用灯具，日光型照明。</w:t>
            </w:r>
          </w:p>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通风设施：低噪音风机通风，须＜50分贝。</w:t>
            </w:r>
          </w:p>
          <w:p>
            <w:pPr>
              <w:pStyle w:val="42"/>
              <w:spacing w:before="142"/>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（投标人提供三种轿顶装潢方案供招标人选定，原厂产品，造价包含在报价内。）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eastAsia"/>
                <w:lang w:val="zh-CN" w:eastAsia="zh-CN"/>
              </w:rPr>
              <w:t>▲</w:t>
            </w:r>
            <w:r>
              <w:rPr>
                <w:rFonts w:hint="default" w:ascii="Times New Roman" w:hAnsi="Times New Roman" w:eastAsia="宋体" w:cs="Times New Roman"/>
                <w:b w:val="0"/>
                <w:bCs w:val="0"/>
                <w:sz w:val="24"/>
                <w:szCs w:val="24"/>
                <w:highlight w:val="none"/>
              </w:rPr>
              <w:t>轿厢地板：</w:t>
            </w:r>
          </w:p>
        </w:tc>
        <w:tc>
          <w:tcPr>
            <w:tcW w:w="3496" w:type="dxa"/>
          </w:tcPr>
          <w:p>
            <w:pPr>
              <w:pStyle w:val="42"/>
              <w:spacing w:before="142"/>
              <w:rPr>
                <w:rFonts w:hint="eastAsia"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拼花大理石地板</w:t>
            </w:r>
            <w:r>
              <w:rPr>
                <w:rFonts w:hint="default" w:ascii="Times New Roman" w:hAnsi="Times New Roman" w:eastAsia="宋体" w:cs="Times New Roman"/>
                <w:b w:val="0"/>
                <w:bCs w:val="0"/>
                <w:sz w:val="24"/>
                <w:szCs w:val="24"/>
                <w:highlight w:val="none"/>
              </w:rPr>
              <w:t>（投标人提供三种样式供招标人选定，原厂产品，造价包含在报价内。）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 w:hRule="atLeast"/>
          <w:jc w:val="center"/>
        </w:trPr>
        <w:tc>
          <w:tcPr>
            <w:tcW w:w="1260" w:type="dxa"/>
            <w:vMerge w:val="continue"/>
            <w:tcBorders>
              <w:top w:val="nil"/>
            </w:tcBorders>
            <w:vAlign w:val="center"/>
          </w:tcPr>
          <w:p>
            <w:pPr>
              <w:rPr>
                <w:rFonts w:hint="default" w:ascii="Times New Roman" w:hAnsi="Times New Roman" w:eastAsia="宋体" w:cs="Times New Roman"/>
                <w:b w:val="0"/>
                <w:bCs w:val="0"/>
                <w:sz w:val="24"/>
                <w:szCs w:val="24"/>
                <w:highlight w:val="none"/>
              </w:rPr>
            </w:pPr>
          </w:p>
        </w:tc>
        <w:tc>
          <w:tcPr>
            <w:tcW w:w="2977" w:type="dxa"/>
            <w:vMerge w:val="continue"/>
            <w:tcBorders>
              <w:top w:val="nil"/>
            </w:tcBorders>
          </w:tcPr>
          <w:p>
            <w:pPr>
              <w:rPr>
                <w:rFonts w:hint="default" w:ascii="Times New Roman" w:hAnsi="Times New Roman" w:eastAsia="宋体" w:cs="Times New Roman"/>
                <w:b w:val="0"/>
                <w:bCs w:val="0"/>
                <w:sz w:val="24"/>
                <w:szCs w:val="24"/>
                <w:highlight w:val="none"/>
              </w:rPr>
            </w:pPr>
          </w:p>
        </w:tc>
        <w:tc>
          <w:tcPr>
            <w:tcW w:w="1486"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预留装潢重:</w:t>
            </w:r>
          </w:p>
        </w:tc>
        <w:tc>
          <w:tcPr>
            <w:tcW w:w="3496" w:type="dxa"/>
          </w:tcPr>
          <w:p>
            <w:pPr>
              <w:pStyle w:val="42"/>
              <w:spacing w:before="142"/>
              <w:ind w:left="10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200kg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jc w:val="center"/>
        </w:trPr>
        <w:tc>
          <w:tcPr>
            <w:tcW w:w="1260" w:type="dxa"/>
            <w:vAlign w:val="center"/>
          </w:tcPr>
          <w:p>
            <w:pPr>
              <w:pStyle w:val="42"/>
              <w:spacing w:before="1"/>
              <w:ind w:left="420" w:right="414"/>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26</w:t>
            </w:r>
          </w:p>
        </w:tc>
        <w:tc>
          <w:tcPr>
            <w:tcW w:w="2977" w:type="dxa"/>
          </w:tcPr>
          <w:p>
            <w:pPr>
              <w:pStyle w:val="42"/>
              <w:spacing w:before="145"/>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厅门/小门套装饰：</w:t>
            </w:r>
          </w:p>
        </w:tc>
        <w:tc>
          <w:tcPr>
            <w:tcW w:w="4982" w:type="dxa"/>
            <w:gridSpan w:val="2"/>
          </w:tcPr>
          <w:p>
            <w:pPr>
              <w:pStyle w:val="42"/>
              <w:spacing w:before="145"/>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厅门材质304发纹不锈钢，小门套材质304发纹不锈钢，厚度1.5mm。（不锈钢板材为电梯制造商原厂标配部件，采用304不锈钢整体折弯成型，不得采用复合贴面板材）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jc w:val="center"/>
        </w:trPr>
        <w:tc>
          <w:tcPr>
            <w:tcW w:w="1260" w:type="dxa"/>
            <w:vAlign w:val="center"/>
          </w:tcPr>
          <w:p>
            <w:pPr>
              <w:pStyle w:val="42"/>
              <w:spacing w:before="1"/>
              <w:ind w:left="420" w:right="414"/>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27</w:t>
            </w:r>
          </w:p>
        </w:tc>
        <w:tc>
          <w:tcPr>
            <w:tcW w:w="2977" w:type="dxa"/>
          </w:tcPr>
          <w:p>
            <w:pPr>
              <w:pStyle w:val="42"/>
              <w:spacing w:before="1"/>
              <w:ind w:right="414" w:firstLine="240" w:firstLineChars="100"/>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厅门地坎：</w:t>
            </w:r>
          </w:p>
        </w:tc>
        <w:tc>
          <w:tcPr>
            <w:tcW w:w="4982" w:type="dxa"/>
            <w:gridSpan w:val="2"/>
          </w:tcPr>
          <w:p>
            <w:pPr>
              <w:pStyle w:val="42"/>
              <w:spacing w:before="1"/>
              <w:ind w:right="414"/>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厅门地坎材质铝合金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jc w:val="center"/>
        </w:trPr>
        <w:tc>
          <w:tcPr>
            <w:tcW w:w="1260" w:type="dxa"/>
            <w:vAlign w:val="center"/>
          </w:tcPr>
          <w:p>
            <w:pPr>
              <w:pStyle w:val="42"/>
              <w:spacing w:before="1"/>
              <w:ind w:left="420" w:right="414"/>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28</w:t>
            </w:r>
          </w:p>
        </w:tc>
        <w:tc>
          <w:tcPr>
            <w:tcW w:w="2977" w:type="dxa"/>
          </w:tcPr>
          <w:p>
            <w:pPr>
              <w:pStyle w:val="42"/>
              <w:spacing w:before="4"/>
              <w:rPr>
                <w:rFonts w:hint="default" w:ascii="Times New Roman" w:hAnsi="Times New Roman" w:eastAsia="宋体" w:cs="Times New Roman"/>
                <w:b w:val="0"/>
                <w:bCs w:val="0"/>
                <w:sz w:val="24"/>
                <w:szCs w:val="24"/>
                <w:highlight w:val="none"/>
              </w:rPr>
            </w:pPr>
          </w:p>
          <w:p>
            <w:pPr>
              <w:pStyle w:val="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厅门讯号装置：</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所有层</w:t>
            </w:r>
            <w:r>
              <w:rPr>
                <w:rFonts w:hint="default" w:ascii="Times New Roman" w:hAnsi="Times New Roman" w:eastAsia="宋体" w:cs="Times New Roman"/>
                <w:b w:val="0"/>
                <w:bCs w:val="0"/>
                <w:sz w:val="24"/>
                <w:szCs w:val="24"/>
                <w:highlight w:val="none"/>
              </w:rPr>
              <w:t>独立外呼，盲文按钮，各层一体式呼梯面板，材质发纹不锈钢，LED 数码楼层显示及运行方向箭头(↑↓)显示</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lang w:val="en-US" w:eastAsia="zh-CN"/>
              </w:rPr>
              <w:t>卡扣固定。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260" w:type="dxa"/>
            <w:vAlign w:val="center"/>
          </w:tcPr>
          <w:p>
            <w:pPr>
              <w:pStyle w:val="42"/>
              <w:spacing w:before="152"/>
              <w:ind w:left="422" w:right="411"/>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29</w:t>
            </w:r>
          </w:p>
        </w:tc>
        <w:tc>
          <w:tcPr>
            <w:tcW w:w="2977" w:type="dxa"/>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门保护系统：</w:t>
            </w:r>
          </w:p>
        </w:tc>
        <w:tc>
          <w:tcPr>
            <w:tcW w:w="4982" w:type="dxa"/>
            <w:gridSpan w:val="2"/>
          </w:tcPr>
          <w:p>
            <w:pPr>
              <w:pStyle w:val="42"/>
              <w:spacing w:before="142"/>
              <w:ind w:left="107"/>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光幕门保护系统</w:t>
            </w:r>
          </w:p>
        </w:tc>
      </w:tr>
    </w:tbl>
    <w:p>
      <w:pPr>
        <w:autoSpaceDE w:val="0"/>
        <w:autoSpaceDN w:val="0"/>
        <w:adjustRightInd w:val="0"/>
        <w:spacing w:line="360" w:lineRule="auto"/>
        <w:ind w:firstLine="562" w:firstLineChars="200"/>
        <w:jc w:val="left"/>
        <w:rPr>
          <w:rFonts w:ascii="Times New Roman" w:hAnsi="Times New Roman" w:eastAsia="宋体" w:cs="Times New Roman"/>
          <w:b/>
          <w:sz w:val="28"/>
          <w:szCs w:val="28"/>
          <w:highlight w:val="none"/>
        </w:rPr>
      </w:pPr>
    </w:p>
    <w:p>
      <w:pPr>
        <w:spacing w:line="360" w:lineRule="auto"/>
        <w:ind w:firstLine="562"/>
        <w:jc w:val="left"/>
        <w:rPr>
          <w:b/>
          <w:sz w:val="28"/>
          <w:highlight w:val="none"/>
        </w:rPr>
      </w:pPr>
      <w:r>
        <w:rPr>
          <w:rFonts w:hint="eastAsia"/>
          <w:b/>
          <w:sz w:val="28"/>
          <w:highlight w:val="none"/>
        </w:rPr>
        <w:t>3.2</w:t>
      </w:r>
      <w:r>
        <w:rPr>
          <w:b/>
          <w:sz w:val="28"/>
          <w:highlight w:val="none"/>
        </w:rPr>
        <w:t>电梯基本功能要求：</w:t>
      </w:r>
    </w:p>
    <w:tbl>
      <w:tblPr>
        <w:tblStyle w:val="17"/>
        <w:tblpPr w:leftFromText="180" w:rightFromText="180" w:vertAnchor="text" w:horzAnchor="page" w:tblpX="1793" w:tblpY="363"/>
        <w:tblW w:w="8279" w:type="dxa"/>
        <w:tblInd w:w="0" w:type="dxa"/>
        <w:tblLayout w:type="fixed"/>
        <w:tblCellMar>
          <w:top w:w="0" w:type="dxa"/>
          <w:left w:w="108" w:type="dxa"/>
          <w:bottom w:w="0" w:type="dxa"/>
          <w:right w:w="108" w:type="dxa"/>
        </w:tblCellMar>
      </w:tblPr>
      <w:tblGrid>
        <w:gridCol w:w="734"/>
        <w:gridCol w:w="2207"/>
        <w:gridCol w:w="5338"/>
      </w:tblGrid>
      <w:tr>
        <w:tblPrEx>
          <w:tblCellMar>
            <w:top w:w="0" w:type="dxa"/>
            <w:left w:w="108" w:type="dxa"/>
            <w:bottom w:w="0" w:type="dxa"/>
            <w:right w:w="108" w:type="dxa"/>
          </w:tblCellMar>
        </w:tblPrEx>
        <w:trPr>
          <w:trHeight w:val="624" w:hRule="atLeast"/>
        </w:trPr>
        <w:tc>
          <w:tcPr>
            <w:tcW w:w="8279" w:type="dxa"/>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jc w:val="center"/>
              <w:rPr>
                <w:rFonts w:hint="eastAsia" w:ascii="Arial" w:hAnsi="Arial" w:eastAsia="宋体" w:cs="Arial"/>
                <w:b/>
                <w:bCs/>
                <w:color w:val="000000"/>
                <w:sz w:val="18"/>
                <w:szCs w:val="18"/>
                <w:highlight w:val="none"/>
                <w:lang w:eastAsia="zh-CN"/>
              </w:rPr>
            </w:pPr>
            <w:r>
              <w:rPr>
                <w:rFonts w:hint="eastAsia" w:ascii="Arial" w:hAnsi="Arial" w:eastAsia="宋体" w:cs="Arial"/>
                <w:b/>
                <w:bCs/>
                <w:i w:val="0"/>
                <w:iCs w:val="0"/>
                <w:color w:val="000000"/>
                <w:sz w:val="18"/>
                <w:szCs w:val="18"/>
                <w:highlight w:val="none"/>
                <w:u w:val="none"/>
                <w:lang w:val="en-US" w:eastAsia="zh-CN" w:bidi="ar"/>
              </w:rPr>
              <w:t>DT</w:t>
            </w:r>
            <w:r>
              <w:rPr>
                <w:rFonts w:hint="default" w:ascii="Arial" w:hAnsi="Arial" w:eastAsia="宋体" w:cs="Arial"/>
                <w:b/>
                <w:bCs/>
                <w:i w:val="0"/>
                <w:iCs w:val="0"/>
                <w:color w:val="000000"/>
                <w:sz w:val="18"/>
                <w:szCs w:val="18"/>
                <w:highlight w:val="none"/>
                <w:u w:val="none"/>
                <w:lang w:val="en-US" w:eastAsia="zh-CN" w:bidi="ar"/>
              </w:rPr>
              <w:t>1</w:t>
            </w:r>
            <w:r>
              <w:rPr>
                <w:rFonts w:hint="eastAsia" w:ascii="Arial" w:hAnsi="Arial" w:eastAsia="宋体" w:cs="Arial"/>
                <w:b/>
                <w:bCs/>
                <w:i w:val="0"/>
                <w:iCs w:val="0"/>
                <w:color w:val="000000"/>
                <w:sz w:val="18"/>
                <w:szCs w:val="18"/>
                <w:highlight w:val="none"/>
                <w:u w:val="none"/>
                <w:lang w:val="en-US" w:eastAsia="zh-CN" w:bidi="ar"/>
              </w:rPr>
              <w:t>、DT2</w:t>
            </w:r>
          </w:p>
        </w:tc>
      </w:tr>
      <w:tr>
        <w:tblPrEx>
          <w:tblCellMar>
            <w:top w:w="0" w:type="dxa"/>
            <w:left w:w="108" w:type="dxa"/>
            <w:bottom w:w="0" w:type="dxa"/>
            <w:right w:w="108" w:type="dxa"/>
          </w:tblCellMar>
        </w:tblPrEx>
        <w:trPr>
          <w:trHeight w:val="312" w:hRule="atLeast"/>
        </w:trPr>
        <w:tc>
          <w:tcPr>
            <w:tcW w:w="734" w:type="dxa"/>
            <w:vMerge w:val="restart"/>
            <w:tcBorders>
              <w:top w:val="nil"/>
              <w:left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eastAsia" w:ascii="宋体" w:hAnsi="宋体" w:eastAsia="宋体" w:cs="宋体"/>
                <w:color w:val="000000"/>
                <w:sz w:val="18"/>
                <w:szCs w:val="18"/>
                <w:highlight w:val="none"/>
                <w:lang w:eastAsia="en-US"/>
              </w:rPr>
              <w:t>功能</w:t>
            </w: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w:t>
            </w:r>
          </w:p>
        </w:tc>
        <w:tc>
          <w:tcPr>
            <w:tcW w:w="5338" w:type="dxa"/>
            <w:tcBorders>
              <w:top w:val="single" w:color="auto" w:sz="4" w:space="0"/>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val="en-US" w:eastAsia="en-US"/>
              </w:rPr>
            </w:pPr>
            <w:r>
              <w:rPr>
                <w:rFonts w:hint="eastAsia"/>
                <w:lang w:val="zh-CN" w:eastAsia="zh-CN"/>
              </w:rPr>
              <w:t>▲</w:t>
            </w:r>
            <w:r>
              <w:rPr>
                <w:rFonts w:hint="eastAsia" w:ascii="Arial" w:hAnsi="Arial" w:eastAsia="Arial" w:cs="Arial"/>
                <w:color w:val="000000"/>
                <w:sz w:val="18"/>
                <w:szCs w:val="18"/>
                <w:highlight w:val="none"/>
                <w:lang w:eastAsia="en-US"/>
              </w:rPr>
              <w:t>全集选控制运行功能</w:t>
            </w:r>
          </w:p>
        </w:tc>
      </w:tr>
      <w:tr>
        <w:tblPrEx>
          <w:tblCellMar>
            <w:top w:w="0" w:type="dxa"/>
            <w:left w:w="108" w:type="dxa"/>
            <w:bottom w:w="0" w:type="dxa"/>
            <w:right w:w="108" w:type="dxa"/>
          </w:tblCellMar>
        </w:tblPrEx>
        <w:trPr>
          <w:trHeight w:val="291"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w:t>
            </w:r>
          </w:p>
        </w:tc>
        <w:tc>
          <w:tcPr>
            <w:tcW w:w="5338" w:type="dxa"/>
            <w:tcBorders>
              <w:top w:val="single" w:color="auto" w:sz="4" w:space="0"/>
              <w:left w:val="nil"/>
              <w:bottom w:val="single" w:color="auto" w:sz="4" w:space="0"/>
              <w:right w:val="single" w:color="auto" w:sz="4" w:space="0"/>
            </w:tcBorders>
            <w:noWrap/>
            <w:vAlign w:val="top"/>
          </w:tcPr>
          <w:p>
            <w:pPr>
              <w:pStyle w:val="46"/>
              <w:spacing w:before="32" w:line="198" w:lineRule="auto"/>
              <w:ind w:left="36"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反向内指令自动消除功能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w:t>
            </w:r>
          </w:p>
        </w:tc>
        <w:tc>
          <w:tcPr>
            <w:tcW w:w="5338" w:type="dxa"/>
            <w:tcBorders>
              <w:top w:val="single" w:color="auto" w:sz="4" w:space="0"/>
              <w:left w:val="nil"/>
              <w:bottom w:val="single" w:color="auto" w:sz="4" w:space="0"/>
              <w:right w:val="single" w:color="auto" w:sz="4" w:space="0"/>
            </w:tcBorders>
            <w:noWrap/>
            <w:vAlign w:val="top"/>
          </w:tcPr>
          <w:p>
            <w:pPr>
              <w:pStyle w:val="46"/>
              <w:spacing w:before="35" w:line="195" w:lineRule="auto"/>
              <w:ind w:left="32"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机房调试操作功能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4</w:t>
            </w:r>
          </w:p>
        </w:tc>
        <w:tc>
          <w:tcPr>
            <w:tcW w:w="5338" w:type="dxa"/>
            <w:tcBorders>
              <w:top w:val="single" w:color="auto" w:sz="4" w:space="0"/>
              <w:left w:val="nil"/>
              <w:bottom w:val="single" w:color="auto" w:sz="4" w:space="0"/>
              <w:right w:val="single" w:color="auto" w:sz="4" w:space="0"/>
            </w:tcBorders>
            <w:noWrap/>
            <w:vAlign w:val="top"/>
          </w:tcPr>
          <w:p>
            <w:pPr>
              <w:pStyle w:val="46"/>
              <w:spacing w:before="36" w:line="194"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故障自动存储功能</w:t>
            </w:r>
          </w:p>
        </w:tc>
      </w:tr>
      <w:tr>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5</w:t>
            </w:r>
          </w:p>
        </w:tc>
        <w:tc>
          <w:tcPr>
            <w:tcW w:w="5338" w:type="dxa"/>
            <w:tcBorders>
              <w:top w:val="single" w:color="auto" w:sz="4" w:space="0"/>
              <w:left w:val="nil"/>
              <w:bottom w:val="single" w:color="auto" w:sz="4" w:space="0"/>
              <w:right w:val="single" w:color="auto" w:sz="4" w:space="0"/>
            </w:tcBorders>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抱闸动作双安全检测功能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6</w:t>
            </w:r>
          </w:p>
        </w:tc>
        <w:tc>
          <w:tcPr>
            <w:tcW w:w="5338" w:type="dxa"/>
            <w:tcBorders>
              <w:top w:val="single" w:color="auto" w:sz="4" w:space="0"/>
              <w:left w:val="nil"/>
              <w:bottom w:val="single" w:color="auto" w:sz="4" w:space="0"/>
              <w:right w:val="single" w:color="auto" w:sz="4" w:space="0"/>
            </w:tcBorders>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轿内慢速运行功能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7</w:t>
            </w:r>
          </w:p>
        </w:tc>
        <w:tc>
          <w:tcPr>
            <w:tcW w:w="5338" w:type="dxa"/>
            <w:tcBorders>
              <w:top w:val="single" w:color="auto" w:sz="4" w:space="0"/>
              <w:left w:val="nil"/>
              <w:bottom w:val="single" w:color="auto" w:sz="4" w:space="0"/>
              <w:right w:val="single" w:color="auto" w:sz="4" w:space="0"/>
            </w:tcBorders>
            <w:noWrap/>
            <w:vAlign w:val="top"/>
          </w:tcPr>
          <w:p>
            <w:pPr>
              <w:pStyle w:val="46"/>
              <w:spacing w:before="38"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层高自测定功能</w:t>
            </w:r>
          </w:p>
        </w:tc>
      </w:tr>
      <w:tr>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8</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超速电气保护功能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9</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起动补偿功能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10</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运行次数显示功能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11</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抗电磁干扰功能</w:t>
            </w:r>
          </w:p>
        </w:tc>
      </w:tr>
      <w:tr>
        <w:tblPrEx>
          <w:tblCellMar>
            <w:top w:w="0" w:type="dxa"/>
            <w:left w:w="108" w:type="dxa"/>
            <w:bottom w:w="0" w:type="dxa"/>
            <w:right w:w="108" w:type="dxa"/>
          </w:tblCellMar>
        </w:tblPrEx>
        <w:trPr>
          <w:trHeight w:val="90"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12</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超载保护功能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13</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开门时间自动控制功能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14</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电动机空转保护功能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single" w:color="auto" w:sz="4" w:space="0"/>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15</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轿顶检修操作功能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16</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对讲机通讯功能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17</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并联控制功能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18</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35" w:leftChars="0"/>
              <w:jc w:val="center"/>
              <w:rPr>
                <w:rFonts w:hint="default"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消防员专用功能1层</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19</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5" w:line="195" w:lineRule="auto"/>
              <w:ind w:left="39"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底坑对讲机通讯功能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20</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5" w:line="195" w:lineRule="auto"/>
              <w:ind w:left="39"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待机定期自检功能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21</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5" w:line="195" w:lineRule="auto"/>
              <w:ind w:left="55" w:leftChars="0"/>
              <w:jc w:val="center"/>
              <w:rPr>
                <w:rFonts w:hint="default"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电动机过载保护功能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22</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6" w:line="194" w:lineRule="auto"/>
              <w:ind w:left="41"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警铃报警功能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23</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轿内通风自动控制功能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24</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8" w:line="193" w:lineRule="auto"/>
              <w:ind w:left="40" w:leftChars="0"/>
              <w:jc w:val="center"/>
              <w:rPr>
                <w:rFonts w:hint="default"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满载直驶运行功能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25</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8" w:line="192" w:lineRule="auto"/>
              <w:ind w:left="41" w:leftChars="0"/>
              <w:jc w:val="center"/>
              <w:rPr>
                <w:rFonts w:hint="default"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无呼自返基站功能:1层</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26</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8" w:line="192" w:lineRule="auto"/>
              <w:ind w:left="56"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门过载保护功能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27</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1" w:line="189" w:lineRule="auto"/>
              <w:ind w:left="45"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泊梯功能:1层</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28</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0" w:line="190" w:lineRule="auto"/>
              <w:ind w:left="37"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位置异常自动校正功能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29</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9" w:line="191" w:lineRule="auto"/>
              <w:ind w:left="41" w:leftChars="0"/>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无效内指令自动消除功能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30</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4" w:line="186"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轿内超载指示功能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31</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1" w:line="190"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轿内误指令取消功能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32</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3" w:line="187"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轿内照明自动控制功能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33</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3" w:line="187"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轿内报站钟功能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34</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4" w:line="196" w:lineRule="auto"/>
              <w:ind w:left="47"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开门时间自动调整功能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Arial" w:cs="Arial"/>
                <w:color w:val="000000"/>
                <w:sz w:val="18"/>
                <w:szCs w:val="18"/>
                <w:highlight w:val="none"/>
                <w:lang w:eastAsia="en-US"/>
              </w:rPr>
            </w:pPr>
            <w:r>
              <w:rPr>
                <w:rFonts w:hint="default" w:ascii="Arial" w:hAnsi="Arial" w:eastAsia="Arial" w:cs="Arial"/>
                <w:color w:val="000000"/>
                <w:sz w:val="18"/>
                <w:szCs w:val="18"/>
                <w:highlight w:val="none"/>
                <w:lang w:eastAsia="en-US"/>
              </w:rPr>
              <w:t>35</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5" w:line="195" w:lineRule="auto"/>
              <w:ind w:left="47"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开门异常自动选层功能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rPr>
            </w:pPr>
            <w:r>
              <w:rPr>
                <w:rFonts w:hint="eastAsia" w:ascii="Arial" w:hAnsi="Arial" w:eastAsia="宋体" w:cs="Arial"/>
                <w:color w:val="000000"/>
                <w:sz w:val="18"/>
                <w:szCs w:val="18"/>
                <w:highlight w:val="none"/>
              </w:rPr>
              <w:t>36</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40" w:leftChars="0"/>
              <w:jc w:val="center"/>
              <w:rPr>
                <w:rFonts w:hint="default"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停车在非门区报警功能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37</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45"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故障低速自救运行功能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38</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7" w:line="193" w:lineRule="auto"/>
              <w:ind w:left="59"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电梯服务支援系统</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39</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9" w:line="192" w:lineRule="auto"/>
              <w:ind w:left="40"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停电应急照明功能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40</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9" w:line="191" w:lineRule="auto"/>
              <w:ind w:left="41"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超载报警功能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41</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39" w:line="191" w:lineRule="auto"/>
              <w:ind w:left="48" w:leftChars="0"/>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消防迫降功能:1层</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single" w:color="auto" w:sz="4" w:space="0"/>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42</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1" w:line="189" w:lineRule="auto"/>
              <w:ind w:left="59" w:leftChars="0"/>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kern w:val="2"/>
                <w:sz w:val="18"/>
                <w:szCs w:val="18"/>
                <w:highlight w:val="none"/>
                <w:lang w:val="en-US" w:eastAsia="zh-CN" w:bidi="ar-SA"/>
              </w:rPr>
              <w:t>同步电机磁极码测试功能</w:t>
            </w:r>
          </w:p>
        </w:tc>
      </w:tr>
      <w:tr>
        <w:tblPrEx>
          <w:tblCellMar>
            <w:top w:w="0" w:type="dxa"/>
            <w:left w:w="108" w:type="dxa"/>
            <w:bottom w:w="0" w:type="dxa"/>
            <w:right w:w="108" w:type="dxa"/>
          </w:tblCellMar>
        </w:tblPrEx>
        <w:trPr>
          <w:trHeight w:val="310"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43</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故障自动检测功能</w:t>
            </w:r>
          </w:p>
        </w:tc>
      </w:tr>
      <w:tr>
        <w:tblPrEx>
          <w:tblCellMar>
            <w:top w:w="0" w:type="dxa"/>
            <w:left w:w="108" w:type="dxa"/>
            <w:bottom w:w="0" w:type="dxa"/>
            <w:right w:w="108" w:type="dxa"/>
          </w:tblCellMar>
        </w:tblPrEx>
        <w:trPr>
          <w:trHeight w:val="312" w:hRule="atLeast"/>
        </w:trPr>
        <w:tc>
          <w:tcPr>
            <w:tcW w:w="734" w:type="dxa"/>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44</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ascii="Arial" w:hAnsi="Arial" w:eastAsia="宋体" w:cs="Arial"/>
                <w:color w:val="000000"/>
                <w:sz w:val="18"/>
                <w:szCs w:val="18"/>
                <w:highlight w:val="none"/>
                <w:lang w:val="en-US" w:eastAsia="en-US"/>
              </w:rPr>
            </w:pPr>
            <w:r>
              <w:rPr>
                <w:rFonts w:hint="eastAsia" w:ascii="Arial" w:hAnsi="Arial" w:eastAsia="宋体" w:cs="Arial"/>
                <w:color w:val="000000"/>
                <w:sz w:val="18"/>
                <w:szCs w:val="18"/>
                <w:highlight w:val="none"/>
                <w:lang w:val="en-US" w:eastAsia="zh-CN"/>
              </w:rPr>
              <w:t>目的层按钮闪亮功能</w:t>
            </w:r>
          </w:p>
        </w:tc>
      </w:tr>
      <w:tr>
        <w:tblPrEx>
          <w:tblCellMar>
            <w:top w:w="0" w:type="dxa"/>
            <w:left w:w="108" w:type="dxa"/>
            <w:bottom w:w="0" w:type="dxa"/>
            <w:right w:w="108" w:type="dxa"/>
          </w:tblCellMar>
        </w:tblPrEx>
        <w:trPr>
          <w:trHeight w:val="312" w:hRule="atLeast"/>
        </w:trPr>
        <w:tc>
          <w:tcPr>
            <w:tcW w:w="734" w:type="dxa"/>
            <w:vMerge w:val="restart"/>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45</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1" w:line="189" w:lineRule="auto"/>
              <w:ind w:left="47"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开关门时间超常保护功能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46</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2" w:line="188" w:lineRule="auto"/>
              <w:ind w:left="41"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超速机械保护功能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47</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3" w:line="188" w:lineRule="auto"/>
              <w:ind w:left="61" w:leftChars="0"/>
              <w:jc w:val="center"/>
              <w:rPr>
                <w:rFonts w:hint="eastAsia" w:ascii="Arial" w:hAnsi="Arial" w:eastAsia="Arial" w:cs="Arial"/>
                <w:color w:val="000000"/>
                <w:kern w:val="2"/>
                <w:sz w:val="18"/>
                <w:szCs w:val="18"/>
                <w:highlight w:val="none"/>
                <w:lang w:val="en-US" w:eastAsia="en-US" w:bidi="ar-SA"/>
              </w:rPr>
            </w:pPr>
            <w:r>
              <w:rPr>
                <w:rFonts w:hint="eastAsia" w:ascii="Arial" w:hAnsi="Arial" w:eastAsia="Arial" w:cs="Arial"/>
                <w:color w:val="000000"/>
                <w:kern w:val="2"/>
                <w:sz w:val="18"/>
                <w:szCs w:val="18"/>
                <w:highlight w:val="none"/>
                <w:lang w:val="en-US" w:eastAsia="zh-CN" w:bidi="ar-SA"/>
              </w:rPr>
              <w:t>门停止运行功能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48</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4" w:line="186" w:lineRule="auto"/>
              <w:ind w:left="40" w:leftChars="0"/>
              <w:jc w:val="center"/>
              <w:rPr>
                <w:rFonts w:hint="eastAsia"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停电自动平层功能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49</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5" w:line="184" w:lineRule="auto"/>
              <w:ind w:left="49" w:leftChars="0"/>
              <w:jc w:val="center"/>
              <w:rPr>
                <w:rFonts w:hint="eastAsia"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五方通话功能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50</w:t>
            </w:r>
          </w:p>
        </w:tc>
        <w:tc>
          <w:tcPr>
            <w:tcW w:w="5338" w:type="dxa"/>
            <w:tcBorders>
              <w:top w:val="single" w:color="auto" w:sz="4" w:space="0"/>
              <w:left w:val="nil"/>
              <w:bottom w:val="single" w:color="auto" w:sz="4" w:space="0"/>
              <w:right w:val="single" w:color="auto" w:sz="4" w:space="0"/>
            </w:tcBorders>
            <w:shd w:val="clear" w:color="auto" w:fill="auto"/>
            <w:noWrap/>
            <w:vAlign w:val="top"/>
          </w:tcPr>
          <w:p>
            <w:pPr>
              <w:pStyle w:val="46"/>
              <w:spacing w:before="45" w:line="184" w:lineRule="auto"/>
              <w:ind w:left="49" w:leftChars="0"/>
              <w:jc w:val="center"/>
              <w:rPr>
                <w:rFonts w:hint="eastAsia"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kern w:val="2"/>
                <w:sz w:val="18"/>
                <w:szCs w:val="18"/>
                <w:highlight w:val="none"/>
                <w:lang w:val="en-US" w:eastAsia="zh-CN" w:bidi="ar-SA"/>
              </w:rPr>
              <w:t>智能光幕保护功能</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51</w:t>
            </w:r>
          </w:p>
        </w:tc>
        <w:tc>
          <w:tcPr>
            <w:tcW w:w="533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Arial" w:hAnsi="Arial" w:eastAsia="Arial" w:cs="Arial"/>
                <w:color w:val="000000"/>
                <w:kern w:val="2"/>
                <w:sz w:val="18"/>
                <w:szCs w:val="18"/>
                <w:highlight w:val="none"/>
                <w:lang w:val="en-US" w:eastAsia="en-US" w:bidi="ar-SA"/>
              </w:rPr>
            </w:pPr>
            <w:r>
              <w:rPr>
                <w:rFonts w:hint="eastAsia"/>
                <w:lang w:val="zh-CN" w:eastAsia="zh-CN"/>
              </w:rPr>
              <w:t>▲</w:t>
            </w:r>
            <w:r>
              <w:rPr>
                <w:rFonts w:hint="eastAsia" w:ascii="Arial" w:hAnsi="Arial" w:eastAsia="Arial" w:cs="Arial"/>
                <w:color w:val="000000"/>
                <w:sz w:val="18"/>
                <w:szCs w:val="18"/>
                <w:highlight w:val="none"/>
              </w:rPr>
              <w:t>①轿厢反绳轮、②对重反绳轮、③层门装置的导向轮、④底坑涨紧轮、⑤轿厢及对重缓冲器等使用耐磨耐用的金属材质</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52</w:t>
            </w:r>
          </w:p>
        </w:tc>
        <w:tc>
          <w:tcPr>
            <w:tcW w:w="533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sz w:val="18"/>
                <w:szCs w:val="18"/>
                <w:highlight w:val="none"/>
              </w:rPr>
              <w:t>随行电缆加数字信号接口</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53</w:t>
            </w:r>
          </w:p>
        </w:tc>
        <w:tc>
          <w:tcPr>
            <w:tcW w:w="533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sz w:val="18"/>
                <w:szCs w:val="18"/>
                <w:highlight w:val="none"/>
              </w:rPr>
              <w:t>独立运行</w:t>
            </w:r>
          </w:p>
        </w:tc>
      </w:tr>
      <w:tr>
        <w:tblPrEx>
          <w:tblCellMar>
            <w:top w:w="0" w:type="dxa"/>
            <w:left w:w="108" w:type="dxa"/>
            <w:bottom w:w="0" w:type="dxa"/>
            <w:right w:w="108" w:type="dxa"/>
          </w:tblCellMar>
        </w:tblPrEx>
        <w:trPr>
          <w:trHeight w:val="312" w:hRule="atLeast"/>
        </w:trPr>
        <w:tc>
          <w:tcPr>
            <w:tcW w:w="734" w:type="dxa"/>
            <w:vMerge w:val="continue"/>
            <w:tcBorders>
              <w:left w:val="single" w:color="auto" w:sz="4" w:space="0"/>
              <w:right w:val="single" w:color="auto" w:sz="4" w:space="0"/>
            </w:tcBorders>
            <w:noWrap w:val="0"/>
            <w:vAlign w:val="center"/>
          </w:tcPr>
          <w:p>
            <w:pPr>
              <w:widowControl/>
              <w:jc w:val="left"/>
              <w:rPr>
                <w:rFonts w:hint="default" w:ascii="Arial" w:hAnsi="Arial" w:eastAsia="Arial" w:cs="Arial"/>
                <w:color w:val="000000"/>
                <w:sz w:val="18"/>
                <w:szCs w:val="18"/>
                <w:highlight w:val="none"/>
                <w:lang w:eastAsia="en-US"/>
              </w:rPr>
            </w:pPr>
          </w:p>
        </w:tc>
        <w:tc>
          <w:tcPr>
            <w:tcW w:w="2207" w:type="dxa"/>
            <w:tcBorders>
              <w:top w:val="nil"/>
              <w:left w:val="nil"/>
              <w:bottom w:val="nil"/>
              <w:right w:val="single" w:color="auto" w:sz="4" w:space="0"/>
            </w:tcBorders>
            <w:noWrap/>
            <w:vAlign w:val="center"/>
          </w:tcPr>
          <w:p>
            <w:pPr>
              <w:widowControl/>
              <w:jc w:val="center"/>
              <w:rPr>
                <w:rFonts w:hint="default" w:ascii="Arial" w:hAnsi="Arial" w:eastAsia="宋体" w:cs="Arial"/>
                <w:color w:val="000000"/>
                <w:sz w:val="18"/>
                <w:szCs w:val="18"/>
                <w:highlight w:val="none"/>
                <w:lang w:val="en-US" w:eastAsia="zh-CN"/>
              </w:rPr>
            </w:pPr>
            <w:r>
              <w:rPr>
                <w:rFonts w:hint="eastAsia" w:ascii="Arial" w:hAnsi="Arial" w:eastAsia="宋体" w:cs="Arial"/>
                <w:color w:val="000000"/>
                <w:sz w:val="18"/>
                <w:szCs w:val="18"/>
                <w:highlight w:val="none"/>
                <w:lang w:val="en-US" w:eastAsia="zh-CN"/>
              </w:rPr>
              <w:t>54</w:t>
            </w:r>
          </w:p>
        </w:tc>
        <w:tc>
          <w:tcPr>
            <w:tcW w:w="533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Arial" w:hAnsi="Arial" w:eastAsia="Arial" w:cs="Arial"/>
                <w:color w:val="000000"/>
                <w:kern w:val="2"/>
                <w:sz w:val="18"/>
                <w:szCs w:val="18"/>
                <w:highlight w:val="none"/>
                <w:lang w:val="en-US" w:eastAsia="zh-CN" w:bidi="ar-SA"/>
              </w:rPr>
            </w:pPr>
            <w:r>
              <w:rPr>
                <w:rFonts w:hint="eastAsia" w:ascii="Arial" w:hAnsi="Arial" w:eastAsia="Arial" w:cs="Arial"/>
                <w:color w:val="000000"/>
                <w:sz w:val="18"/>
                <w:szCs w:val="18"/>
                <w:highlight w:val="none"/>
                <w:lang w:val="en-US" w:eastAsia="zh-CN"/>
              </w:rPr>
              <w:t>轿厢摄像头</w:t>
            </w:r>
          </w:p>
        </w:tc>
      </w:tr>
    </w:tbl>
    <w:p>
      <w:pPr>
        <w:tabs>
          <w:tab w:val="left" w:pos="544"/>
        </w:tabs>
        <w:spacing w:line="360" w:lineRule="auto"/>
        <w:ind w:firstLine="482"/>
        <w:jc w:val="left"/>
        <w:rPr>
          <w:rFonts w:ascii="Times New Roman" w:hAnsi="Times New Roman" w:eastAsia="新宋体"/>
          <w:b/>
          <w:sz w:val="24"/>
          <w:szCs w:val="24"/>
          <w:highlight w:val="none"/>
        </w:rPr>
      </w:pPr>
      <w:r>
        <w:rPr>
          <w:rFonts w:ascii="Times New Roman" w:hAnsi="Times New Roman" w:eastAsia="新宋体"/>
          <w:b/>
          <w:sz w:val="24"/>
          <w:szCs w:val="24"/>
          <w:highlight w:val="none"/>
        </w:rPr>
        <w:t>四、辅材、配件</w:t>
      </w:r>
    </w:p>
    <w:p>
      <w:pPr>
        <w:spacing w:line="360" w:lineRule="auto"/>
        <w:ind w:firstLine="480"/>
        <w:jc w:val="left"/>
        <w:rPr>
          <w:rFonts w:ascii="Times New Roman" w:hAnsi="Times New Roman" w:eastAsia="新宋体"/>
          <w:sz w:val="24"/>
          <w:szCs w:val="24"/>
          <w:highlight w:val="none"/>
        </w:rPr>
      </w:pPr>
      <w:r>
        <w:rPr>
          <w:rFonts w:ascii="Times New Roman" w:hAnsi="Times New Roman" w:eastAsia="新宋体"/>
          <w:sz w:val="24"/>
          <w:szCs w:val="24"/>
          <w:highlight w:val="none"/>
        </w:rPr>
        <w:t>投标人需考虑并提供电梯安装过程中所有辅材、配件，包括但不限于井道钢结构支架、电梯监控及配套线缆等，满足电梯验收要求。投标人可自行勘察现场综合考虑，报价需包含所有辅材、配件价格。</w:t>
      </w:r>
    </w:p>
    <w:p>
      <w:pPr>
        <w:spacing w:line="360" w:lineRule="auto"/>
        <w:ind w:firstLine="482"/>
        <w:jc w:val="left"/>
        <w:rPr>
          <w:rFonts w:ascii="Times New Roman" w:hAnsi="Times New Roman" w:eastAsia="新宋体"/>
          <w:sz w:val="24"/>
          <w:szCs w:val="24"/>
          <w:highlight w:val="none"/>
        </w:rPr>
      </w:pPr>
      <w:r>
        <w:rPr>
          <w:rFonts w:ascii="Times New Roman" w:hAnsi="Times New Roman" w:eastAsia="新宋体"/>
          <w:b/>
          <w:sz w:val="24"/>
          <w:szCs w:val="24"/>
          <w:highlight w:val="none"/>
        </w:rPr>
        <w:t>五、供货要求</w:t>
      </w:r>
    </w:p>
    <w:p>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1</w:t>
      </w:r>
      <w:r>
        <w:rPr>
          <w:rFonts w:hint="eastAsia" w:ascii="Times New Roman" w:hAnsi="Times New Roman" w:eastAsia="新宋体"/>
          <w:sz w:val="24"/>
          <w:szCs w:val="24"/>
          <w:highlight w:val="none"/>
          <w:lang w:eastAsia="zh-CN"/>
        </w:rPr>
        <w:t>合同履行期限</w:t>
      </w:r>
      <w:r>
        <w:rPr>
          <w:rFonts w:ascii="Times New Roman" w:hAnsi="Times New Roman" w:eastAsia="新宋体"/>
          <w:sz w:val="24"/>
          <w:szCs w:val="24"/>
          <w:highlight w:val="none"/>
        </w:rPr>
        <w:t>：合同签订后</w:t>
      </w:r>
      <w:r>
        <w:rPr>
          <w:rFonts w:hint="eastAsia" w:ascii="Times New Roman" w:hAnsi="Times New Roman" w:eastAsia="新宋体"/>
          <w:sz w:val="24"/>
          <w:szCs w:val="24"/>
          <w:highlight w:val="none"/>
          <w:lang w:val="en-US" w:eastAsia="zh-CN"/>
        </w:rPr>
        <w:t>60</w:t>
      </w:r>
      <w:r>
        <w:rPr>
          <w:rFonts w:ascii="Times New Roman" w:hAnsi="Times New Roman" w:eastAsia="新宋体"/>
          <w:sz w:val="24"/>
          <w:szCs w:val="24"/>
          <w:highlight w:val="none"/>
        </w:rPr>
        <w:t>天内完成安装调试，达到预期效果。</w:t>
      </w:r>
    </w:p>
    <w:p>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2.交货方式：在货物发运手续办理完毕后24小时内或货到采购单位48小时前通知采购人，货到采购单位指定位置后24小时内，组织验收。</w:t>
      </w:r>
    </w:p>
    <w:p>
      <w:pPr>
        <w:spacing w:line="360" w:lineRule="auto"/>
        <w:ind w:firstLine="480"/>
        <w:jc w:val="left"/>
        <w:rPr>
          <w:rFonts w:ascii="Times New Roman" w:hAnsi="Times New Roman" w:eastAsia="新宋体"/>
          <w:sz w:val="24"/>
          <w:szCs w:val="24"/>
          <w:highlight w:val="none"/>
        </w:rPr>
      </w:pPr>
      <w:r>
        <w:rPr>
          <w:rFonts w:hint="eastAsia" w:ascii="Times New Roman" w:hAnsi="Times New Roman" w:eastAsia="新宋体"/>
          <w:sz w:val="24"/>
          <w:szCs w:val="24"/>
          <w:highlight w:val="none"/>
          <w:lang w:val="en-US" w:eastAsia="zh-CN"/>
        </w:rPr>
        <w:t>5.</w:t>
      </w:r>
      <w:r>
        <w:rPr>
          <w:rFonts w:ascii="Times New Roman" w:hAnsi="Times New Roman" w:eastAsia="新宋体"/>
          <w:sz w:val="24"/>
          <w:szCs w:val="24"/>
          <w:highlight w:val="none"/>
        </w:rPr>
        <w:t>3.交货地点：</w:t>
      </w:r>
      <w:r>
        <w:rPr>
          <w:rFonts w:hint="eastAsia" w:ascii="Times New Roman" w:hAnsi="Times New Roman" w:eastAsia="新宋体"/>
          <w:sz w:val="24"/>
          <w:szCs w:val="24"/>
          <w:highlight w:val="none"/>
          <w:lang w:val="en-US" w:eastAsia="zh-CN"/>
        </w:rPr>
        <w:t>东海县自然资源和规划局机关办公楼。</w:t>
      </w:r>
    </w:p>
    <w:p>
      <w:pPr>
        <w:pStyle w:val="32"/>
        <w:spacing w:line="360" w:lineRule="auto"/>
        <w:ind w:firstLine="480"/>
        <w:rPr>
          <w:rFonts w:hint="eastAsia" w:ascii="宋体" w:hAnsi="宋体" w:eastAsia="宋体" w:cs="宋体"/>
          <w:sz w:val="24"/>
          <w:szCs w:val="24"/>
          <w:highlight w:val="none"/>
        </w:rPr>
      </w:pPr>
      <w:r>
        <w:rPr>
          <w:rFonts w:hint="eastAsia" w:ascii="Times New Roman" w:hAnsi="Times New Roman" w:eastAsia="新宋体" w:cstheme="minorBidi"/>
          <w:color w:val="auto"/>
          <w:kern w:val="2"/>
          <w:sz w:val="24"/>
          <w:szCs w:val="24"/>
          <w:highlight w:val="none"/>
          <w:lang w:val="en-US" w:eastAsia="zh-CN" w:bidi="ar-SA"/>
        </w:rPr>
        <w:t>5.4.</w:t>
      </w:r>
      <w:r>
        <w:rPr>
          <w:rFonts w:hint="eastAsia" w:ascii="宋体" w:hAnsi="宋体" w:eastAsia="宋体" w:cs="宋体"/>
          <w:sz w:val="24"/>
          <w:szCs w:val="24"/>
          <w:highlight w:val="none"/>
        </w:rPr>
        <w:t>设备包装、供货、保管过程中中标人应遵守安全操作制度，严格安全措施落实，承担安全责任。</w:t>
      </w:r>
    </w:p>
    <w:p>
      <w:pPr>
        <w:widowControl/>
        <w:numPr>
          <w:ilvl w:val="0"/>
          <w:numId w:val="0"/>
        </w:numPr>
        <w:spacing w:line="360" w:lineRule="auto"/>
        <w:ind w:left="489"/>
        <w:jc w:val="left"/>
        <w:rPr>
          <w:rFonts w:hint="default" w:ascii="Times New Roman" w:hAnsi="Times New Roman" w:eastAsia="新宋体"/>
          <w:b/>
          <w:bCs/>
          <w:i w:val="0"/>
          <w:iCs w:val="0"/>
          <w:sz w:val="24"/>
          <w:szCs w:val="24"/>
          <w:highlight w:val="none"/>
          <w:u w:val="none"/>
        </w:rPr>
      </w:pPr>
      <w:r>
        <w:rPr>
          <w:rFonts w:hint="eastAsia" w:ascii="宋体" w:hAnsi="宋体" w:eastAsia="宋体" w:cs="宋体"/>
          <w:color w:val="000000"/>
          <w:sz w:val="24"/>
          <w:szCs w:val="24"/>
          <w:highlight w:val="none"/>
        </w:rPr>
        <w:t>根据提交的技术文件针对合同设备进行现场安装，对安装、调试、试运行和初步验收的设备质量负责，使其符合技术要求和有关标准的要求。在安装调试期间或</w:t>
      </w:r>
      <w:r>
        <w:rPr>
          <w:rFonts w:hint="eastAsia" w:ascii="宋体" w:hAnsi="宋体" w:eastAsia="宋体" w:cs="宋体"/>
          <w:b/>
          <w:bCs/>
          <w:color w:val="000000"/>
          <w:sz w:val="24"/>
          <w:szCs w:val="24"/>
          <w:highlight w:val="none"/>
        </w:rPr>
        <w:t>保</w:t>
      </w:r>
      <w:r>
        <w:rPr>
          <w:rFonts w:hint="eastAsia" w:ascii="Times New Roman" w:hAnsi="Times New Roman" w:eastAsia="新宋体"/>
          <w:b/>
          <w:bCs/>
          <w:i w:val="0"/>
          <w:iCs w:val="0"/>
          <w:sz w:val="24"/>
          <w:szCs w:val="24"/>
          <w:highlight w:val="none"/>
          <w:u w:val="none"/>
        </w:rPr>
        <w:t>修过程中，</w:t>
      </w:r>
      <w:r>
        <w:rPr>
          <w:rFonts w:hint="eastAsia" w:ascii="Times New Roman" w:hAnsi="Times New Roman" w:eastAsia="新宋体"/>
          <w:b/>
          <w:bCs/>
          <w:i w:val="0"/>
          <w:iCs w:val="0"/>
          <w:sz w:val="24"/>
          <w:szCs w:val="24"/>
          <w:highlight w:val="none"/>
          <w:u w:val="none"/>
          <w:lang w:eastAsia="zh-CN"/>
        </w:rPr>
        <w:t>中标供应商</w:t>
      </w:r>
      <w:r>
        <w:rPr>
          <w:rFonts w:hint="eastAsia" w:ascii="Times New Roman" w:hAnsi="Times New Roman" w:eastAsia="新宋体"/>
          <w:b/>
          <w:bCs/>
          <w:i w:val="0"/>
          <w:iCs w:val="0"/>
          <w:sz w:val="24"/>
          <w:szCs w:val="24"/>
          <w:highlight w:val="none"/>
          <w:u w:val="none"/>
        </w:rPr>
        <w:t>负责及时清理垃圾。</w:t>
      </w:r>
    </w:p>
    <w:p>
      <w:pPr>
        <w:widowControl/>
        <w:numPr>
          <w:ilvl w:val="0"/>
          <w:numId w:val="0"/>
        </w:numPr>
        <w:spacing w:line="360" w:lineRule="auto"/>
        <w:ind w:left="0" w:leftChars="0" w:firstLine="489" w:firstLineChars="0"/>
        <w:jc w:val="left"/>
        <w:rPr>
          <w:rFonts w:hint="default" w:ascii="Times New Roman" w:hAnsi="Times New Roman" w:eastAsia="新宋体"/>
          <w:b/>
          <w:bCs/>
          <w:i w:val="0"/>
          <w:iCs w:val="0"/>
          <w:sz w:val="24"/>
          <w:szCs w:val="24"/>
          <w:highlight w:val="none"/>
          <w:u w:val="none"/>
          <w:lang w:eastAsia="en-US"/>
        </w:rPr>
      </w:pPr>
      <w:r>
        <w:rPr>
          <w:rFonts w:hint="eastAsia" w:ascii="宋体" w:hAnsi="宋体" w:eastAsia="宋体" w:cs="宋体"/>
          <w:b/>
          <w:bCs/>
          <w:i w:val="0"/>
          <w:iCs w:val="0"/>
          <w:kern w:val="2"/>
          <w:sz w:val="24"/>
          <w:szCs w:val="24"/>
          <w:highlight w:val="none"/>
          <w:lang w:val="en-US" w:eastAsia="zh-CN" w:bidi="ar-SA"/>
        </w:rPr>
        <w:t>5.5.</w:t>
      </w:r>
      <w:r>
        <w:rPr>
          <w:rFonts w:hint="eastAsia" w:ascii="Times New Roman" w:hAnsi="Times New Roman" w:eastAsia="新宋体"/>
          <w:b/>
          <w:bCs/>
          <w:i w:val="0"/>
          <w:iCs w:val="0"/>
          <w:sz w:val="24"/>
          <w:szCs w:val="24"/>
          <w:highlight w:val="none"/>
          <w:u w:val="none"/>
          <w:lang w:eastAsia="en-US"/>
        </w:rPr>
        <w:t>原有电梯拆除：</w:t>
      </w:r>
    </w:p>
    <w:p>
      <w:pPr>
        <w:widowControl/>
        <w:numPr>
          <w:ilvl w:val="0"/>
          <w:numId w:val="0"/>
        </w:numPr>
        <w:spacing w:line="360" w:lineRule="auto"/>
        <w:ind w:left="0" w:leftChars="0" w:firstLine="489" w:firstLineChars="0"/>
        <w:jc w:val="left"/>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kern w:val="2"/>
          <w:sz w:val="24"/>
          <w:szCs w:val="24"/>
          <w:highlight w:val="none"/>
          <w:lang w:val="en-US" w:eastAsia="zh-CN" w:bidi="ar-SA"/>
        </w:rPr>
        <w:t>5.5.1</w:t>
      </w:r>
      <w:r>
        <w:rPr>
          <w:rFonts w:hint="eastAsia" w:ascii="Times New Roman" w:hAnsi="Times New Roman" w:eastAsia="新宋体"/>
          <w:b/>
          <w:bCs/>
          <w:i w:val="0"/>
          <w:iCs w:val="0"/>
          <w:sz w:val="24"/>
          <w:szCs w:val="24"/>
          <w:highlight w:val="none"/>
          <w:u w:val="none"/>
        </w:rPr>
        <w:t>拆除范围：</w:t>
      </w:r>
      <w:r>
        <w:rPr>
          <w:rFonts w:hint="eastAsia" w:ascii="宋体" w:hAnsi="宋体" w:eastAsia="宋体" w:cs="宋体"/>
          <w:b w:val="0"/>
          <w:bCs w:val="0"/>
          <w:i w:val="0"/>
          <w:iCs w:val="0"/>
          <w:sz w:val="24"/>
          <w:szCs w:val="24"/>
          <w:highlight w:val="none"/>
          <w:u w:val="none"/>
        </w:rPr>
        <w:t>导轨、曳引机、曳引钢丝绳、随行电缆、井道内电缆、控制柜、电梯轿厢、层门、层面装置及门套、外呼装置、底坑设备等，拆除后堆放到</w:t>
      </w:r>
      <w:r>
        <w:rPr>
          <w:rFonts w:hint="eastAsia" w:ascii="宋体" w:hAnsi="宋体" w:eastAsia="宋体" w:cs="宋体"/>
          <w:b w:val="0"/>
          <w:bCs w:val="0"/>
          <w:i w:val="0"/>
          <w:iCs w:val="0"/>
          <w:sz w:val="24"/>
          <w:szCs w:val="24"/>
          <w:highlight w:val="none"/>
          <w:u w:val="none"/>
          <w:lang w:val="en-US" w:eastAsia="zh-CN"/>
        </w:rPr>
        <w:t>甲方</w:t>
      </w:r>
      <w:r>
        <w:rPr>
          <w:rFonts w:hint="eastAsia" w:ascii="宋体" w:hAnsi="宋体" w:eastAsia="宋体" w:cs="宋体"/>
          <w:b w:val="0"/>
          <w:bCs w:val="0"/>
          <w:i w:val="0"/>
          <w:iCs w:val="0"/>
          <w:sz w:val="24"/>
          <w:szCs w:val="24"/>
          <w:highlight w:val="none"/>
          <w:u w:val="none"/>
        </w:rPr>
        <w:t>指定位置，由</w:t>
      </w:r>
      <w:r>
        <w:rPr>
          <w:rFonts w:hint="eastAsia" w:ascii="宋体" w:hAnsi="宋体" w:eastAsia="宋体" w:cs="宋体"/>
          <w:b w:val="0"/>
          <w:bCs w:val="0"/>
          <w:i w:val="0"/>
          <w:iCs w:val="0"/>
          <w:sz w:val="24"/>
          <w:szCs w:val="24"/>
          <w:highlight w:val="none"/>
          <w:u w:val="none"/>
          <w:lang w:val="en-US" w:eastAsia="zh-CN"/>
        </w:rPr>
        <w:t>甲方</w:t>
      </w:r>
      <w:r>
        <w:rPr>
          <w:rFonts w:hint="eastAsia" w:ascii="宋体" w:hAnsi="宋体" w:eastAsia="宋体" w:cs="宋体"/>
          <w:b w:val="0"/>
          <w:bCs w:val="0"/>
          <w:i w:val="0"/>
          <w:iCs w:val="0"/>
          <w:sz w:val="24"/>
          <w:szCs w:val="24"/>
          <w:highlight w:val="none"/>
          <w:u w:val="none"/>
        </w:rPr>
        <w:t>办理资产报废手续，</w:t>
      </w:r>
      <w:r>
        <w:rPr>
          <w:rFonts w:hint="eastAsia" w:ascii="宋体" w:hAnsi="宋体" w:eastAsia="宋体" w:cs="宋体"/>
          <w:b w:val="0"/>
          <w:bCs w:val="0"/>
          <w:i w:val="0"/>
          <w:iCs w:val="0"/>
          <w:sz w:val="24"/>
          <w:szCs w:val="24"/>
          <w:highlight w:val="none"/>
          <w:u w:val="none"/>
          <w:lang w:val="en-US" w:eastAsia="zh-CN"/>
        </w:rPr>
        <w:t>旧梯进行拍卖，乙方可参与竞价</w:t>
      </w:r>
      <w:r>
        <w:rPr>
          <w:rFonts w:hint="eastAsia" w:ascii="宋体" w:hAnsi="宋体" w:eastAsia="宋体" w:cs="宋体"/>
          <w:b w:val="0"/>
          <w:bCs w:val="0"/>
          <w:i w:val="0"/>
          <w:iCs w:val="0"/>
          <w:sz w:val="24"/>
          <w:szCs w:val="24"/>
          <w:highlight w:val="none"/>
          <w:u w:val="none"/>
        </w:rPr>
        <w:t>，</w:t>
      </w:r>
      <w:r>
        <w:rPr>
          <w:rFonts w:hint="eastAsia" w:ascii="宋体" w:hAnsi="宋体" w:eastAsia="宋体" w:cs="宋体"/>
          <w:b w:val="0"/>
          <w:bCs w:val="0"/>
          <w:i w:val="0"/>
          <w:iCs w:val="0"/>
          <w:sz w:val="24"/>
          <w:szCs w:val="24"/>
          <w:highlight w:val="none"/>
          <w:u w:val="none"/>
          <w:lang w:val="en-US" w:eastAsia="zh-CN"/>
        </w:rPr>
        <w:t>资产处置费用归甲方，</w:t>
      </w:r>
      <w:r>
        <w:rPr>
          <w:rFonts w:hint="eastAsia" w:ascii="宋体" w:hAnsi="宋体" w:eastAsia="宋体" w:cs="宋体"/>
          <w:b w:val="0"/>
          <w:bCs w:val="0"/>
          <w:i w:val="0"/>
          <w:iCs w:val="0"/>
          <w:sz w:val="24"/>
          <w:szCs w:val="24"/>
          <w:highlight w:val="none"/>
          <w:u w:val="none"/>
        </w:rPr>
        <w:t>拆除费用由乙方承担，包含在投标总价中；</w:t>
      </w:r>
    </w:p>
    <w:p>
      <w:pPr>
        <w:widowControl/>
        <w:numPr>
          <w:ilvl w:val="0"/>
          <w:numId w:val="0"/>
        </w:numPr>
        <w:spacing w:line="360" w:lineRule="auto"/>
        <w:ind w:left="0" w:leftChars="0" w:firstLine="489" w:firstLineChars="0"/>
        <w:jc w:val="left"/>
        <w:rPr>
          <w:rFonts w:hint="default" w:ascii="宋体" w:hAnsi="宋体" w:eastAsia="宋体" w:cs="宋体"/>
          <w:b w:val="0"/>
          <w:bCs w:val="0"/>
          <w:i w:val="0"/>
          <w:iCs w:val="0"/>
          <w:sz w:val="24"/>
          <w:szCs w:val="24"/>
          <w:highlight w:val="none"/>
          <w:u w:val="none"/>
          <w:lang w:val="en-US"/>
        </w:rPr>
      </w:pPr>
      <w:r>
        <w:rPr>
          <w:rFonts w:hint="eastAsia" w:ascii="宋体" w:hAnsi="宋体" w:eastAsia="宋体" w:cs="宋体"/>
          <w:b w:val="0"/>
          <w:bCs w:val="0"/>
          <w:i w:val="0"/>
          <w:iCs w:val="0"/>
          <w:kern w:val="2"/>
          <w:sz w:val="24"/>
          <w:szCs w:val="24"/>
          <w:highlight w:val="none"/>
          <w:lang w:val="en-US" w:eastAsia="zh-CN" w:bidi="ar-SA"/>
        </w:rPr>
        <w:t>5.5.2</w:t>
      </w:r>
      <w:r>
        <w:rPr>
          <w:rFonts w:hint="eastAsia" w:ascii="Times New Roman" w:hAnsi="Times New Roman" w:eastAsia="新宋体"/>
          <w:b/>
          <w:bCs/>
          <w:i w:val="0"/>
          <w:iCs w:val="0"/>
          <w:sz w:val="24"/>
          <w:szCs w:val="24"/>
          <w:highlight w:val="none"/>
          <w:u w:val="none"/>
        </w:rPr>
        <w:t>恢复范围包括但不限于：</w:t>
      </w:r>
      <w:r>
        <w:rPr>
          <w:rFonts w:hint="eastAsia" w:ascii="宋体" w:hAnsi="宋体" w:eastAsia="宋体" w:cs="宋体"/>
          <w:b w:val="0"/>
          <w:bCs w:val="0"/>
          <w:i w:val="0"/>
          <w:iCs w:val="0"/>
          <w:sz w:val="24"/>
          <w:szCs w:val="24"/>
          <w:highlight w:val="none"/>
          <w:u w:val="none"/>
        </w:rPr>
        <w:t>电梯井道整改，加固</w:t>
      </w:r>
      <w:r>
        <w:rPr>
          <w:rFonts w:hint="eastAsia" w:ascii="宋体" w:hAnsi="宋体" w:eastAsia="宋体" w:cs="宋体"/>
          <w:b w:val="0"/>
          <w:bCs w:val="0"/>
          <w:i w:val="0"/>
          <w:iCs w:val="0"/>
          <w:sz w:val="24"/>
          <w:szCs w:val="24"/>
          <w:highlight w:val="none"/>
          <w:u w:val="none"/>
          <w:lang w:eastAsia="zh-CN"/>
        </w:rPr>
        <w:t>，</w:t>
      </w:r>
      <w:r>
        <w:rPr>
          <w:rFonts w:hint="eastAsia" w:ascii="宋体" w:hAnsi="宋体" w:eastAsia="宋体" w:cs="宋体"/>
          <w:b w:val="0"/>
          <w:bCs w:val="0"/>
          <w:i w:val="0"/>
          <w:iCs w:val="0"/>
          <w:sz w:val="24"/>
          <w:szCs w:val="24"/>
          <w:highlight w:val="none"/>
          <w:u w:val="none"/>
          <w:lang w:val="en-US" w:eastAsia="zh-CN"/>
        </w:rPr>
        <w:t>电梯机房门维修，</w:t>
      </w:r>
    </w:p>
    <w:p>
      <w:pPr>
        <w:widowControl/>
        <w:numPr>
          <w:ilvl w:val="0"/>
          <w:numId w:val="0"/>
        </w:numPr>
        <w:spacing w:line="360" w:lineRule="auto"/>
        <w:ind w:left="0" w:leftChars="0" w:firstLine="489" w:firstLineChars="0"/>
        <w:jc w:val="left"/>
        <w:rPr>
          <w:rFonts w:hint="default" w:ascii="宋体" w:hAnsi="Arial" w:eastAsia="Arial" w:cs="Arial"/>
          <w:color w:val="auto"/>
          <w:sz w:val="24"/>
          <w:szCs w:val="20"/>
          <w:highlight w:val="none"/>
        </w:rPr>
      </w:pPr>
      <w:r>
        <w:rPr>
          <w:rFonts w:hint="eastAsia" w:ascii="宋体" w:hAnsi="宋体" w:eastAsia="宋体" w:cs="宋体"/>
          <w:color w:val="auto"/>
          <w:kern w:val="2"/>
          <w:sz w:val="24"/>
          <w:szCs w:val="20"/>
          <w:highlight w:val="none"/>
          <w:lang w:val="en-US" w:eastAsia="zh-CN" w:bidi="ar-SA"/>
        </w:rPr>
        <w:t>5.5.3</w:t>
      </w:r>
      <w:r>
        <w:rPr>
          <w:rFonts w:hint="eastAsia" w:ascii="宋体" w:hAnsi="宋体" w:eastAsia="宋体" w:cs="宋体"/>
          <w:color w:val="000000"/>
          <w:sz w:val="24"/>
          <w:szCs w:val="24"/>
          <w:highlight w:val="none"/>
        </w:rPr>
        <w:t>本项目为更换改造</w:t>
      </w:r>
      <w:r>
        <w:rPr>
          <w:rFonts w:ascii="Times New Roman" w:hAnsi="Times New Roman" w:eastAsia="新宋体"/>
          <w:b/>
          <w:bCs/>
          <w:i w:val="0"/>
          <w:iCs w:val="0"/>
          <w:sz w:val="24"/>
          <w:szCs w:val="24"/>
          <w:highlight w:val="none"/>
          <w:u w:val="none"/>
        </w:rPr>
        <w:t>交钥匙</w:t>
      </w:r>
      <w:r>
        <w:rPr>
          <w:rFonts w:hint="eastAsia" w:ascii="宋体" w:hAnsi="宋体" w:eastAsia="宋体" w:cs="宋体"/>
          <w:color w:val="000000"/>
          <w:sz w:val="24"/>
          <w:szCs w:val="24"/>
          <w:highlight w:val="none"/>
        </w:rPr>
        <w:t>项目，包含但不限于原有电梯拆除、</w:t>
      </w:r>
      <w:r>
        <w:rPr>
          <w:rFonts w:hint="eastAsia" w:ascii="Times New Roman" w:hAnsi="Times New Roman" w:eastAsia="新宋体"/>
          <w:b/>
          <w:bCs/>
          <w:i w:val="0"/>
          <w:iCs w:val="0"/>
          <w:sz w:val="24"/>
          <w:szCs w:val="24"/>
          <w:highlight w:val="none"/>
          <w:u w:val="none"/>
          <w:lang w:val="en-US" w:eastAsia="zh-CN"/>
        </w:rPr>
        <w:t>机房改造、</w:t>
      </w:r>
      <w:r>
        <w:rPr>
          <w:rFonts w:hint="eastAsia" w:ascii="宋体" w:hAnsi="宋体" w:eastAsia="宋体" w:cs="宋体"/>
          <w:color w:val="000000"/>
          <w:sz w:val="24"/>
          <w:szCs w:val="24"/>
          <w:highlight w:val="none"/>
        </w:rPr>
        <w:t>新</w:t>
      </w:r>
      <w:r>
        <w:rPr>
          <w:rFonts w:hint="eastAsia" w:ascii="宋体" w:hAnsi="宋体" w:eastAsia="宋体" w:cs="宋体"/>
          <w:color w:val="000000"/>
          <w:sz w:val="24"/>
          <w:szCs w:val="24"/>
          <w:highlight w:val="none"/>
          <w:lang w:val="en-US" w:eastAsia="zh-CN"/>
        </w:rPr>
        <w:t>梯设备采购（</w:t>
      </w:r>
      <w:r>
        <w:rPr>
          <w:rFonts w:ascii="Times New Roman" w:hAnsi="Times New Roman" w:eastAsia="新宋体"/>
          <w:b/>
          <w:bCs/>
          <w:i w:val="0"/>
          <w:iCs w:val="0"/>
          <w:sz w:val="24"/>
          <w:szCs w:val="24"/>
          <w:highlight w:val="none"/>
          <w:u w:val="none"/>
        </w:rPr>
        <w:t>包括货物、辅配件、随设备应提交的资料等费用</w:t>
      </w:r>
      <w:r>
        <w:rPr>
          <w:rFonts w:hint="eastAsia" w:ascii="宋体" w:hAnsi="宋体" w:eastAsia="宋体" w:cs="宋体"/>
          <w:color w:val="000000"/>
          <w:sz w:val="24"/>
          <w:szCs w:val="24"/>
          <w:highlight w:val="none"/>
          <w:lang w:val="en-US" w:eastAsia="zh-CN"/>
        </w:rPr>
        <w:t>）、运输、新电梯的</w:t>
      </w:r>
      <w:r>
        <w:rPr>
          <w:rFonts w:hint="eastAsia" w:ascii="宋体" w:hAnsi="宋体" w:eastAsia="宋体" w:cs="宋体"/>
          <w:color w:val="000000"/>
          <w:sz w:val="24"/>
          <w:szCs w:val="24"/>
          <w:highlight w:val="none"/>
        </w:rPr>
        <w:t>安装、</w:t>
      </w:r>
      <w:r>
        <w:rPr>
          <w:rFonts w:ascii="Times New Roman" w:hAnsi="Times New Roman" w:eastAsia="新宋体"/>
          <w:b/>
          <w:bCs/>
          <w:i w:val="0"/>
          <w:iCs w:val="0"/>
          <w:sz w:val="24"/>
          <w:szCs w:val="24"/>
          <w:highlight w:val="none"/>
          <w:u w:val="none"/>
        </w:rPr>
        <w:t>施工、二次转运、调试、质保、利润、</w:t>
      </w:r>
      <w:r>
        <w:rPr>
          <w:rFonts w:hint="eastAsia" w:ascii="Times New Roman" w:hAnsi="Times New Roman" w:eastAsia="新宋体"/>
          <w:b/>
          <w:bCs/>
          <w:i w:val="0"/>
          <w:iCs w:val="0"/>
          <w:sz w:val="24"/>
          <w:szCs w:val="24"/>
          <w:highlight w:val="none"/>
          <w:u w:val="none"/>
          <w:lang w:val="en-US" w:eastAsia="zh-CN"/>
        </w:rPr>
        <w:t>税费</w:t>
      </w:r>
      <w:r>
        <w:rPr>
          <w:rFonts w:ascii="Times New Roman" w:hAnsi="Times New Roman" w:eastAsia="新宋体"/>
          <w:b/>
          <w:bCs/>
          <w:i w:val="0"/>
          <w:iCs w:val="0"/>
          <w:sz w:val="24"/>
          <w:szCs w:val="24"/>
          <w:highlight w:val="none"/>
          <w:u w:val="none"/>
        </w:rPr>
        <w:t>、培训、检测等各项应有费用</w:t>
      </w:r>
      <w:r>
        <w:rPr>
          <w:rFonts w:hint="eastAsia" w:ascii="宋体" w:hAnsi="宋体" w:eastAsia="宋体" w:cs="宋体"/>
          <w:color w:val="000000"/>
          <w:sz w:val="24"/>
          <w:szCs w:val="24"/>
          <w:highlight w:val="none"/>
        </w:rPr>
        <w:t>，电梯机房内所有设备设施及装修按照现行标准改造到位</w:t>
      </w:r>
      <w:r>
        <w:rPr>
          <w:rFonts w:hint="eastAsia" w:ascii="宋体" w:hAnsi="宋体" w:eastAsia="宋体" w:cs="宋体"/>
          <w:color w:val="000000"/>
          <w:sz w:val="24"/>
          <w:szCs w:val="24"/>
          <w:highlight w:val="none"/>
          <w:lang w:val="en-US" w:eastAsia="zh-CN"/>
        </w:rPr>
        <w:t>,</w:t>
      </w:r>
      <w:r>
        <w:rPr>
          <w:rFonts w:ascii="Times New Roman" w:hAnsi="Times New Roman" w:eastAsia="新宋体"/>
          <w:b/>
          <w:bCs/>
          <w:i w:val="0"/>
          <w:iCs w:val="0"/>
          <w:sz w:val="24"/>
          <w:szCs w:val="24"/>
          <w:highlight w:val="none"/>
          <w:u w:val="none"/>
        </w:rPr>
        <w:t>本项目验收前中标供应商承担所有货物的保管责任</w:t>
      </w:r>
      <w:r>
        <w:rPr>
          <w:rFonts w:hint="eastAsia" w:ascii="Times New Roman" w:hAnsi="Times New Roman" w:eastAsia="新宋体"/>
          <w:b/>
          <w:bCs/>
          <w:i w:val="0"/>
          <w:iCs w:val="0"/>
          <w:sz w:val="24"/>
          <w:szCs w:val="24"/>
          <w:highlight w:val="none"/>
          <w:u w:val="none"/>
          <w:lang w:eastAsia="zh-CN"/>
        </w:rPr>
        <w:t>，</w:t>
      </w:r>
      <w:r>
        <w:rPr>
          <w:rFonts w:hint="eastAsia" w:ascii="宋体" w:hAnsi="宋体" w:eastAsia="宋体" w:cs="宋体"/>
          <w:color w:val="000000"/>
          <w:sz w:val="24"/>
          <w:szCs w:val="24"/>
          <w:highlight w:val="none"/>
        </w:rPr>
        <w:t>费用均包含在投标报价中，采购人不再另行支付费用。</w:t>
      </w:r>
      <w:r>
        <w:rPr>
          <w:rFonts w:hint="eastAsia" w:ascii="宋体" w:hAnsi="宋体" w:eastAsia="宋体" w:cs="宋体"/>
          <w:color w:val="auto"/>
          <w:sz w:val="24"/>
          <w:szCs w:val="24"/>
          <w:highlight w:val="none"/>
        </w:rPr>
        <w:t>项目受制于现场空间限制，拆除部件和换新部件</w:t>
      </w:r>
      <w:r>
        <w:rPr>
          <w:rFonts w:hint="eastAsia" w:ascii="宋体" w:hAnsi="宋体" w:eastAsia="宋体" w:cs="宋体"/>
          <w:color w:val="auto"/>
          <w:sz w:val="24"/>
          <w:szCs w:val="24"/>
          <w:highlight w:val="none"/>
          <w:lang w:val="en-US" w:eastAsia="zh-CN"/>
        </w:rPr>
        <w:t>应听从业主指挥。</w:t>
      </w:r>
    </w:p>
    <w:p>
      <w:pPr>
        <w:pStyle w:val="16"/>
        <w:ind w:firstLine="3373"/>
        <w:rPr>
          <w:rFonts w:hint="eastAsia" w:ascii="Times New Roman" w:hAnsi="Times New Roman" w:eastAsia="新宋体"/>
          <w:b w:val="0"/>
          <w:bCs/>
          <w:sz w:val="28"/>
          <w:szCs w:val="28"/>
          <w:highlight w:val="none"/>
          <w:lang w:val="en-US" w:eastAsia="zh-CN"/>
        </w:rPr>
      </w:pPr>
      <w:r>
        <w:rPr>
          <w:rFonts w:hint="eastAsia" w:ascii="Times New Roman" w:hAnsi="Times New Roman" w:eastAsia="新宋体"/>
          <w:b/>
          <w:bCs w:val="0"/>
          <w:sz w:val="28"/>
          <w:szCs w:val="28"/>
          <w:highlight w:val="none"/>
          <w:lang w:val="en-US" w:eastAsia="zh-CN"/>
        </w:rPr>
        <w:t>预计工程清单</w:t>
      </w:r>
    </w:p>
    <w:tbl>
      <w:tblPr>
        <w:tblStyle w:val="17"/>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7191"/>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1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7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项目名称</w:t>
            </w: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客梯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电梯拆除费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井道及机房整改费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电梯不锈钢外呼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电梯轿厢监控恢复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电梯五方对讲及恢复接入96333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井道圈梁整改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71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材料、垃圾人工清运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0" w:type="auto"/>
            <w:tcBorders>
              <w:top w:val="single" w:color="auto" w:sz="4" w:space="0"/>
              <w:left w:val="nil"/>
              <w:bottom w:val="nil"/>
              <w:right w:val="nil"/>
            </w:tcBorders>
            <w:shd w:val="clear" w:color="auto" w:fill="auto"/>
            <w:noWrap/>
            <w:vAlign w:val="center"/>
          </w:tcPr>
          <w:p>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rPr>
            </w:pPr>
          </w:p>
        </w:tc>
        <w:tc>
          <w:tcPr>
            <w:tcW w:w="0" w:type="auto"/>
            <w:tcBorders>
              <w:top w:val="single" w:color="auto" w:sz="4" w:space="0"/>
              <w:left w:val="nil"/>
              <w:bottom w:val="nil"/>
              <w:right w:val="nil"/>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p>
        </w:tc>
        <w:tc>
          <w:tcPr>
            <w:tcW w:w="0" w:type="auto"/>
            <w:tcBorders>
              <w:top w:val="single" w:color="auto" w:sz="4" w:space="0"/>
              <w:left w:val="nil"/>
              <w:bottom w:val="nil"/>
              <w:right w:val="nil"/>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p>
        </w:tc>
      </w:tr>
    </w:tbl>
    <w:p>
      <w:pPr>
        <w:numPr>
          <w:ilvl w:val="0"/>
          <w:numId w:val="0"/>
        </w:numPr>
        <w:spacing w:line="360" w:lineRule="auto"/>
        <w:ind w:left="0" w:leftChars="0" w:firstLine="489" w:firstLineChars="0"/>
        <w:jc w:val="left"/>
        <w:rPr>
          <w:rFonts w:hint="eastAsia" w:ascii="宋体" w:hAnsi="宋体" w:eastAsia="宋体" w:cs="宋体"/>
          <w:b/>
          <w:bCs/>
          <w:i/>
          <w:iCs/>
          <w:color w:val="000000"/>
          <w:sz w:val="24"/>
          <w:szCs w:val="24"/>
          <w:highlight w:val="none"/>
          <w:u w:val="single"/>
        </w:rPr>
      </w:pPr>
      <w:r>
        <w:rPr>
          <w:rFonts w:hint="default" w:ascii="宋体" w:hAnsi="宋体" w:eastAsia="宋体" w:cs="宋体"/>
          <w:b/>
          <w:bCs/>
          <w:i/>
          <w:iCs/>
          <w:color w:val="000000"/>
          <w:kern w:val="2"/>
          <w:sz w:val="24"/>
          <w:szCs w:val="24"/>
          <w:highlight w:val="none"/>
          <w:lang w:val="en-US" w:eastAsia="zh-CN" w:bidi="ar-SA"/>
        </w:rPr>
        <w:t>5、</w:t>
      </w:r>
      <w:r>
        <w:rPr>
          <w:rFonts w:hint="eastAsia" w:ascii="宋体" w:hAnsi="宋体" w:eastAsia="宋体" w:cs="宋体"/>
          <w:color w:val="000000"/>
          <w:sz w:val="24"/>
          <w:szCs w:val="20"/>
          <w:highlight w:val="none"/>
        </w:rPr>
        <w:t>为保证正常办公秩序，电梯更换分步实施，安装顺序按采购人要求执行。</w:t>
      </w:r>
    </w:p>
    <w:p>
      <w:pPr>
        <w:spacing w:line="360" w:lineRule="auto"/>
        <w:ind w:firstLine="482"/>
        <w:rPr>
          <w:rFonts w:ascii="宋体" w:hAnsi="宋体"/>
          <w:sz w:val="24"/>
          <w:highlight w:val="none"/>
        </w:rPr>
      </w:pPr>
      <w:r>
        <w:rPr>
          <w:rFonts w:hint="eastAsia" w:ascii="宋体" w:hAnsi="宋体" w:eastAsia="宋体" w:cs="宋体"/>
          <w:b/>
          <w:bCs/>
          <w:color w:val="000000"/>
          <w:sz w:val="24"/>
          <w:szCs w:val="24"/>
          <w:highlight w:val="none"/>
        </w:rPr>
        <w:t>本项目</w:t>
      </w:r>
      <w:r>
        <w:rPr>
          <w:rFonts w:hint="eastAsia" w:ascii="宋体" w:hAnsi="宋体" w:eastAsia="宋体" w:cs="宋体"/>
          <w:b/>
          <w:bCs/>
          <w:color w:val="000000"/>
          <w:sz w:val="24"/>
          <w:szCs w:val="24"/>
          <w:highlight w:val="none"/>
          <w:lang w:val="en-US" w:eastAsia="zh-CN"/>
        </w:rPr>
        <w:t>现有电梯品牌为许昌西继电梯，</w:t>
      </w:r>
      <w:r>
        <w:rPr>
          <w:rFonts w:hint="eastAsia" w:ascii="宋体" w:hAnsi="宋体"/>
          <w:sz w:val="24"/>
          <w:highlight w:val="none"/>
        </w:rPr>
        <w:t>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pPr>
        <w:spacing w:line="360" w:lineRule="auto"/>
        <w:ind w:firstLine="480"/>
        <w:rPr>
          <w:rFonts w:ascii="宋体" w:hAnsi="宋体"/>
          <w:sz w:val="24"/>
          <w:highlight w:val="none"/>
        </w:rPr>
      </w:pPr>
      <w:r>
        <w:rPr>
          <w:rFonts w:hint="eastAsia" w:ascii="宋体" w:hAnsi="宋体"/>
          <w:sz w:val="24"/>
          <w:highlight w:val="none"/>
        </w:rPr>
        <w:t>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现场勘察时间：2026年</w:t>
      </w: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rPr>
        <w:t>日</w:t>
      </w:r>
      <w:r>
        <w:rPr>
          <w:rFonts w:hint="eastAsia" w:ascii="宋体" w:hAnsi="宋体" w:eastAsia="宋体" w:cs="Times New Roman"/>
          <w:sz w:val="24"/>
          <w:szCs w:val="24"/>
          <w:highlight w:val="none"/>
          <w:lang w:val="en-US" w:eastAsia="zh-CN"/>
        </w:rPr>
        <w:t>-2026年7月14日</w:t>
      </w:r>
      <w:r>
        <w:rPr>
          <w:rFonts w:hint="eastAsia" w:ascii="宋体" w:hAnsi="宋体" w:eastAsia="宋体" w:cs="Times New Roman"/>
          <w:sz w:val="24"/>
          <w:szCs w:val="24"/>
          <w:highlight w:val="none"/>
        </w:rPr>
        <w:t xml:space="preserve">（上午9:00-11:30）。 </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考察联系人：</w:t>
      </w:r>
      <w:r>
        <w:rPr>
          <w:rFonts w:hint="eastAsia" w:ascii="宋体" w:hAnsi="宋体" w:eastAsia="宋体" w:cs="Times New Roman"/>
          <w:sz w:val="24"/>
          <w:szCs w:val="24"/>
          <w:highlight w:val="none"/>
          <w:lang w:val="en-US" w:eastAsia="zh-CN"/>
        </w:rPr>
        <w:t>陈主任</w:t>
      </w:r>
      <w:r>
        <w:rPr>
          <w:rFonts w:hint="eastAsia" w:ascii="宋体" w:hAnsi="宋体" w:eastAsia="宋体" w:cs="Times New Roman"/>
          <w:sz w:val="24"/>
          <w:szCs w:val="24"/>
          <w:highlight w:val="none"/>
        </w:rPr>
        <w:t xml:space="preserve">     </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联系电话：</w:t>
      </w:r>
      <w:r>
        <w:rPr>
          <w:rFonts w:hint="eastAsia" w:ascii="宋体" w:hAnsi="宋体" w:eastAsia="宋体" w:cs="Times New Roman"/>
          <w:sz w:val="24"/>
          <w:szCs w:val="24"/>
          <w:highlight w:val="none"/>
          <w:lang w:val="en-US" w:eastAsia="zh-CN"/>
        </w:rPr>
        <w:t>18360658534</w:t>
      </w:r>
      <w:r>
        <w:rPr>
          <w:rFonts w:hint="eastAsia" w:ascii="宋体" w:hAnsi="宋体" w:eastAsia="宋体" w:cs="Times New Roman"/>
          <w:sz w:val="24"/>
          <w:szCs w:val="24"/>
          <w:highlight w:val="none"/>
        </w:rPr>
        <w:t xml:space="preserve">   </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考察前请提前联系，预约时间，现场考察的费用及一切安全事宜均由投标人自行承担。</w:t>
      </w:r>
    </w:p>
    <w:p>
      <w:pPr>
        <w:spacing w:line="360" w:lineRule="auto"/>
        <w:ind w:firstLine="482"/>
        <w:jc w:val="left"/>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六、国家或行业相关规范标准</w:t>
      </w:r>
    </w:p>
    <w:p>
      <w:pPr>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应保证对其提供的产品及其制造工艺享有完全的知识产权，对由此引起的第三方争议由</w:t>
      </w:r>
      <w:r>
        <w:rPr>
          <w:rFonts w:hint="eastAsia" w:ascii="宋体" w:hAnsi="宋体" w:eastAsia="宋体" w:cs="宋体"/>
          <w:color w:val="000000"/>
          <w:sz w:val="24"/>
          <w:szCs w:val="24"/>
          <w:highlight w:val="none"/>
          <w:lang w:eastAsia="zh-CN"/>
        </w:rPr>
        <w:t>中标供应商</w:t>
      </w:r>
      <w:r>
        <w:rPr>
          <w:rFonts w:hint="eastAsia" w:ascii="宋体" w:hAnsi="宋体" w:eastAsia="宋体" w:cs="宋体"/>
          <w:color w:val="000000"/>
          <w:sz w:val="24"/>
          <w:szCs w:val="24"/>
          <w:highlight w:val="none"/>
        </w:rPr>
        <w:t>承担全部责任。</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应达到下列标准和规范最新版本的要求：</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《电梯技术条件》GB/T10058</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《电梯制造与安装安全规范》GB7588</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《电梯试验方法》GB/T10059</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《电梯主要参数及轿厢、井道、机房的型式及尺寸》GB7025</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《电梯安装验收规范》GB10060</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《电梯工程施工质量验收规范》GB50310</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《电梯用钢丝》GB8903</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《电梯曳引机》GB/T13435</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《交流电梯电动机通用技术条件》GB/T12974</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《电梯操作装置、信号和附件》（JG/T5009）</w:t>
      </w:r>
    </w:p>
    <w:p>
      <w:pPr>
        <w:widowControl w:val="0"/>
        <w:spacing w:line="360" w:lineRule="auto"/>
        <w:ind w:firstLine="480"/>
        <w:jc w:val="left"/>
        <w:rPr>
          <w:rFonts w:hint="eastAsia"/>
          <w:sz w:val="24"/>
          <w:szCs w:val="24"/>
          <w:highlight w:val="none"/>
          <w:lang w:val="zh-CN" w:eastAsia="zh-CN"/>
        </w:rPr>
      </w:pPr>
      <w:r>
        <w:rPr>
          <w:rFonts w:hint="eastAsia"/>
          <w:sz w:val="24"/>
          <w:szCs w:val="24"/>
          <w:highlight w:val="none"/>
          <w:lang w:val="zh-CN" w:eastAsia="zh-CN"/>
        </w:rPr>
        <w:t>《机械设备安装工程电梯电气装置施工及验收规范》GB50182</w:t>
      </w:r>
    </w:p>
    <w:p>
      <w:pPr>
        <w:widowControl w:val="0"/>
        <w:spacing w:line="360" w:lineRule="auto"/>
        <w:ind w:firstLine="480"/>
        <w:jc w:val="left"/>
        <w:rPr>
          <w:rFonts w:hint="eastAsia"/>
          <w:sz w:val="24"/>
          <w:szCs w:val="24"/>
          <w:highlight w:val="none"/>
          <w:lang w:val="en-US" w:eastAsia="zh-CN"/>
        </w:rPr>
      </w:pPr>
      <w:r>
        <w:rPr>
          <w:rFonts w:hint="eastAsia"/>
          <w:sz w:val="24"/>
          <w:szCs w:val="24"/>
          <w:highlight w:val="none"/>
          <w:lang w:val="zh-CN" w:eastAsia="zh-CN"/>
        </w:rPr>
        <w:t>其它各项有关标准。若现行标准有更新，应遵循最新标准。</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七</w:t>
      </w:r>
      <w:r>
        <w:rPr>
          <w:rFonts w:hint="eastAsia" w:ascii="Times New Roman" w:hAnsi="Times New Roman" w:eastAsia="宋体" w:cs="Times New Roman"/>
          <w:b/>
          <w:sz w:val="28"/>
          <w:szCs w:val="28"/>
          <w:highlight w:val="none"/>
        </w:rPr>
        <w:t>、人员配备要求</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本项目负责人为投标人正式职工且具有《中华人民共和国特种设备安全管理和作业人员证》（电梯作业T）。投标文件中提供证书及2026年1月（含）以来任意</w:t>
      </w:r>
      <w:r>
        <w:rPr>
          <w:rFonts w:hint="eastAsia" w:ascii="宋体" w:hAnsi="宋体" w:eastAsia="宋体" w:cs="Times New Roman"/>
          <w:sz w:val="24"/>
          <w:szCs w:val="24"/>
          <w:highlight w:val="none"/>
          <w:lang w:val="en-US" w:eastAsia="zh-CN"/>
        </w:rPr>
        <w:t>一</w:t>
      </w:r>
      <w:r>
        <w:rPr>
          <w:rFonts w:hint="eastAsia" w:ascii="宋体" w:hAnsi="宋体" w:eastAsia="宋体" w:cs="Times New Roman"/>
          <w:sz w:val="24"/>
          <w:szCs w:val="24"/>
          <w:highlight w:val="none"/>
        </w:rPr>
        <w:t>个月由投标人为其连续缴纳的社保证明材料（加盖社保中心章或社保中心参保缴费证明电子专用章）。</w:t>
      </w:r>
    </w:p>
    <w:p>
      <w:pPr>
        <w:autoSpaceDE w:val="0"/>
        <w:autoSpaceDN w:val="0"/>
        <w:adjustRightInd w:val="0"/>
        <w:spacing w:line="360" w:lineRule="auto"/>
        <w:ind w:firstLine="562" w:firstLineChars="200"/>
        <w:jc w:val="left"/>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八</w:t>
      </w:r>
      <w:r>
        <w:rPr>
          <w:rFonts w:hint="eastAsia" w:ascii="Times New Roman" w:hAnsi="Times New Roman" w:eastAsia="宋体" w:cs="Times New Roman"/>
          <w:b/>
          <w:sz w:val="28"/>
          <w:szCs w:val="28"/>
          <w:highlight w:val="none"/>
        </w:rPr>
        <w:t>、履约验收要求</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1.工程完成后，中标供应商须负责电梯全部设备的保护和清洁工作，直至设备验收合格并取得政府有关部门的使用证书，交付使用单位之日为止。</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3.验收标准：符合国家有关标准。</w:t>
      </w:r>
    </w:p>
    <w:p>
      <w:pPr>
        <w:autoSpaceDE w:val="0"/>
        <w:autoSpaceDN w:val="0"/>
        <w:adjustRightInd w:val="0"/>
        <w:spacing w:line="360" w:lineRule="auto"/>
        <w:ind w:firstLine="562" w:firstLineChars="200"/>
        <w:jc w:val="left"/>
        <w:rPr>
          <w:rFonts w:hint="eastAsia" w:ascii="宋体" w:hAnsi="宋体"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九</w:t>
      </w:r>
      <w:r>
        <w:rPr>
          <w:rFonts w:hint="eastAsia" w:ascii="Times New Roman" w:hAnsi="Times New Roman" w:eastAsia="宋体" w:cs="Times New Roman"/>
          <w:b/>
          <w:sz w:val="28"/>
          <w:szCs w:val="28"/>
          <w:highlight w:val="none"/>
        </w:rPr>
        <w:t>、培训要求</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1.提供完善的人员培训方案，通过各种培训课程和培训方式，对采购人指派的相关人员进行针对性培训，使其能够熟练操作相关设备。</w:t>
      </w:r>
    </w:p>
    <w:p>
      <w:pPr>
        <w:autoSpaceDE w:val="0"/>
        <w:autoSpaceDN w:val="0"/>
        <w:adjustRightInd w:val="0"/>
        <w:spacing w:line="360" w:lineRule="auto"/>
        <w:ind w:left="479" w:leftChars="228" w:firstLine="0" w:firstLineChars="0"/>
        <w:jc w:val="left"/>
        <w:rPr>
          <w:rFonts w:ascii="Times New Roman" w:hAnsi="Times New Roman" w:eastAsia="宋体" w:cs="Times New Roman"/>
          <w:b/>
          <w:sz w:val="28"/>
          <w:szCs w:val="28"/>
          <w:highlight w:val="none"/>
        </w:rPr>
      </w:pPr>
      <w:r>
        <w:rPr>
          <w:rFonts w:hint="eastAsia" w:ascii="宋体" w:hAnsi="宋体" w:eastAsia="宋体" w:cs="Times New Roman"/>
          <w:sz w:val="24"/>
          <w:szCs w:val="24"/>
          <w:highlight w:val="none"/>
        </w:rPr>
        <w:t>2.培训过程中产生的费用包含在投标报价内，采购人不再另行支付任何费用。</w:t>
      </w:r>
      <w:r>
        <w:rPr>
          <w:rFonts w:hint="eastAsia" w:ascii="Times New Roman" w:hAnsi="Times New Roman" w:eastAsia="宋体" w:cs="Times New Roman"/>
          <w:b/>
          <w:sz w:val="28"/>
          <w:szCs w:val="28"/>
          <w:highlight w:val="none"/>
        </w:rPr>
        <w:t>十、售后服务要求</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1.质保期：本项目质保期2年。质保期以取得电梯安全检验合格证中标供应商、使用方办理设备移交手续后，中标供应商将电梯移交使用方使用之日算起。备品备件按使用方要求存放至指定地点。</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2.在质保期内，电梯运行发生故障供应商应提供咨询、维修服务、更换零部件，费用包含在投标总价中。</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3.在质保期内，如发生维护费用，需要更换的主要零配件设备材料费用，年检费等其他费用，由中标供应商全部承担。</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4.在质保期内，中标供应商提供半月保养一次，维护人员做到定人、定时、定梯进行保养，提供全天候应急处理服务。</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5.中标供应商在质保期内供应备品备件、专用工具，费用包含在投标总价中。</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6.售后服务提供24小时服务热线并保证在接到故障电话后30分钟内达到现场维修，且每次修复时间不超过2小时。</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7.在接到困人事故通知时，30分钟内须完成解困工作。</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8.在电梯发生故障需要更换备件时，36小时内赶到现场并零部件更换完成投入正常使用。 </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一</w:t>
      </w:r>
      <w:r>
        <w:rPr>
          <w:rFonts w:hint="eastAsia" w:ascii="Times New Roman" w:hAnsi="Times New Roman" w:eastAsia="宋体" w:cs="Times New Roman"/>
          <w:b/>
          <w:sz w:val="28"/>
          <w:szCs w:val="28"/>
          <w:highlight w:val="none"/>
        </w:rPr>
        <w:t>、响应报价要求</w:t>
      </w:r>
    </w:p>
    <w:p>
      <w:pPr>
        <w:autoSpaceDE w:val="0"/>
        <w:autoSpaceDN w:val="0"/>
        <w:adjustRightInd w:val="0"/>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本项目为交钥匙项目，各项报价包含但不限于</w:t>
      </w:r>
      <w:r>
        <w:rPr>
          <w:rFonts w:hint="eastAsia" w:ascii="宋体" w:hAnsi="宋体" w:eastAsia="宋体" w:cs="Times New Roman"/>
          <w:sz w:val="24"/>
          <w:szCs w:val="24"/>
          <w:highlight w:val="none"/>
          <w:lang w:val="en-US" w:eastAsia="zh-CN"/>
        </w:rPr>
        <w:t>原设备拆除，新</w:t>
      </w:r>
      <w:r>
        <w:rPr>
          <w:rFonts w:hint="eastAsia" w:ascii="宋体" w:hAnsi="宋体" w:eastAsia="宋体" w:cs="Times New Roman"/>
          <w:sz w:val="24"/>
          <w:szCs w:val="24"/>
          <w:highlight w:val="none"/>
        </w:rPr>
        <w:t>设备采购（包括货物、辅配件、随设备应提交的资料等费用）、人员意外伤害保险费、清单所列及施工、安装、运输、调试、利润、税金、培训、检测、政策性文件规定及本项目包含的所有风险、责任等各项应有费用，本项目验收前中标供应商承担所有货物的保管责任；本项目报价中含税。</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二</w:t>
      </w:r>
      <w:r>
        <w:rPr>
          <w:rFonts w:hint="eastAsia" w:ascii="Times New Roman" w:hAnsi="Times New Roman" w:eastAsia="宋体" w:cs="Times New Roman"/>
          <w:b/>
          <w:sz w:val="28"/>
          <w:szCs w:val="28"/>
          <w:highlight w:val="none"/>
        </w:rPr>
        <w:t>、付款方式与履约保证金</w:t>
      </w:r>
    </w:p>
    <w:p>
      <w:pPr>
        <w:pStyle w:val="7"/>
        <w:ind w:firstLine="420"/>
        <w:rPr>
          <w:rFonts w:hint="eastAsia" w:ascii="宋体" w:hAnsi="宋体" w:eastAsia="宋体" w:cs="宋体"/>
          <w:b w:val="0"/>
          <w:bCs w:val="0"/>
          <w:i w:val="0"/>
          <w:iCs w:val="0"/>
          <w:color w:val="000000"/>
          <w:sz w:val="24"/>
          <w:szCs w:val="24"/>
          <w:highlight w:val="none"/>
          <w:u w:val="single"/>
          <w:lang w:bidi="ar"/>
        </w:rPr>
      </w:pPr>
      <w:r>
        <w:rPr>
          <w:rFonts w:hint="eastAsia" w:cs="Times New Roman"/>
          <w:highlight w:val="none"/>
          <w:lang w:val="en-US" w:eastAsia="zh-CN"/>
        </w:rPr>
        <w:t>1.</w:t>
      </w:r>
      <w:r>
        <w:rPr>
          <w:rFonts w:hint="eastAsia" w:ascii="Times New Roman" w:hAnsi="Times New Roman" w:eastAsia="宋体" w:cs="Times New Roman"/>
          <w:highlight w:val="none"/>
        </w:rPr>
        <w:t>付款方式：</w:t>
      </w:r>
      <w:r>
        <w:rPr>
          <w:rFonts w:hint="eastAsia" w:ascii="宋体" w:hAnsi="宋体" w:eastAsia="宋体" w:cs="宋体"/>
          <w:b w:val="0"/>
          <w:bCs w:val="0"/>
          <w:i w:val="0"/>
          <w:iCs w:val="0"/>
          <w:color w:val="000000"/>
          <w:sz w:val="24"/>
          <w:szCs w:val="24"/>
          <w:highlight w:val="none"/>
          <w:u w:val="single"/>
          <w:lang w:bidi="ar"/>
        </w:rPr>
        <w:t>第一台电梯安装调试完成，经采购人初验合格后15个工作日内，支付合同总价的50%</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val="en-US" w:eastAsia="zh-CN" w:bidi="ar"/>
        </w:rPr>
        <w:t>两台</w:t>
      </w:r>
      <w:r>
        <w:rPr>
          <w:rFonts w:hint="eastAsia" w:ascii="宋体" w:hAnsi="宋体" w:eastAsia="宋体" w:cs="宋体"/>
          <w:b w:val="0"/>
          <w:bCs w:val="0"/>
          <w:i w:val="0"/>
          <w:iCs w:val="0"/>
          <w:color w:val="000000"/>
          <w:sz w:val="24"/>
          <w:szCs w:val="24"/>
          <w:highlight w:val="none"/>
          <w:u w:val="single"/>
          <w:lang w:bidi="ar"/>
        </w:rPr>
        <w:t>全部安装完毕后</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bidi="ar"/>
        </w:rPr>
        <w:t>经特种设备检验检测机构监督检验合格，取得市场监督管理部门核发的《电梯使用登记标志》</w:t>
      </w:r>
      <w:r>
        <w:rPr>
          <w:rFonts w:hint="eastAsia" w:ascii="宋体" w:hAnsi="宋体" w:eastAsia="宋体" w:cs="宋体"/>
          <w:b w:val="0"/>
          <w:bCs w:val="0"/>
          <w:i w:val="0"/>
          <w:iCs w:val="0"/>
          <w:color w:val="000000"/>
          <w:sz w:val="24"/>
          <w:szCs w:val="24"/>
          <w:highlight w:val="none"/>
          <w:u w:val="single"/>
          <w:lang w:eastAsia="zh-CN" w:bidi="ar"/>
        </w:rPr>
        <w:t>，</w:t>
      </w:r>
      <w:r>
        <w:rPr>
          <w:rFonts w:hint="eastAsia" w:ascii="宋体" w:hAnsi="宋体" w:eastAsia="宋体" w:cs="宋体"/>
          <w:b w:val="0"/>
          <w:bCs w:val="0"/>
          <w:i w:val="0"/>
          <w:iCs w:val="0"/>
          <w:color w:val="000000"/>
          <w:sz w:val="24"/>
          <w:szCs w:val="24"/>
          <w:highlight w:val="none"/>
          <w:u w:val="single"/>
          <w:lang w:val="en-US" w:eastAsia="zh-CN" w:bidi="ar"/>
        </w:rPr>
        <w:t>2026年12月31日前支付剩余50%</w:t>
      </w:r>
      <w:r>
        <w:rPr>
          <w:rFonts w:hint="eastAsia" w:ascii="宋体" w:hAnsi="宋体" w:eastAsia="宋体" w:cs="宋体"/>
          <w:b w:val="0"/>
          <w:bCs w:val="0"/>
          <w:i w:val="0"/>
          <w:iCs w:val="0"/>
          <w:color w:val="000000"/>
          <w:sz w:val="24"/>
          <w:szCs w:val="24"/>
          <w:highlight w:val="none"/>
          <w:u w:val="single"/>
          <w:lang w:bidi="ar"/>
        </w:rPr>
        <w:t>。</w:t>
      </w:r>
    </w:p>
    <w:p>
      <w:pPr>
        <w:pStyle w:val="7"/>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t>2.履约保证金：本项目不收取履约保证金。</w:t>
      </w:r>
    </w:p>
    <w:p>
      <w:pPr>
        <w:autoSpaceDE w:val="0"/>
        <w:autoSpaceDN w:val="0"/>
        <w:adjustRightInd w:val="0"/>
        <w:spacing w:line="360" w:lineRule="auto"/>
        <w:ind w:firstLine="562" w:firstLineChars="200"/>
        <w:jc w:val="left"/>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三</w:t>
      </w:r>
      <w:r>
        <w:rPr>
          <w:rFonts w:hint="eastAsia" w:ascii="Times New Roman" w:hAnsi="Times New Roman" w:eastAsia="宋体" w:cs="Times New Roman"/>
          <w:b/>
          <w:sz w:val="28"/>
          <w:szCs w:val="28"/>
          <w:highlight w:val="none"/>
        </w:rPr>
        <w:t>、其他</w:t>
      </w:r>
      <w:bookmarkEnd w:id="10"/>
      <w:bookmarkEnd w:id="11"/>
    </w:p>
    <w:p>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本项目报价不得超过预算价（最高限价）。</w:t>
      </w:r>
    </w:p>
    <w:p>
      <w:pPr>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特别提醒供应商：应根据国家收费标准并结合市场实际进行报价，总价包干。</w:t>
      </w:r>
    </w:p>
    <w:p>
      <w:pPr>
        <w:spacing w:line="360" w:lineRule="auto"/>
        <w:ind w:firstLine="480" w:firstLineChars="200"/>
        <w:jc w:val="left"/>
        <w:rPr>
          <w:rFonts w:ascii="黑体" w:hAnsi="黑体" w:eastAsia="黑体"/>
          <w:bCs/>
          <w:kern w:val="44"/>
          <w:sz w:val="44"/>
          <w:szCs w:val="44"/>
        </w:rPr>
      </w:pPr>
      <w:r>
        <w:rPr>
          <w:rFonts w:hint="eastAsia" w:ascii="宋体" w:hAnsi="宋体" w:eastAsia="宋体" w:cs="Times New Roman"/>
          <w:sz w:val="24"/>
          <w:szCs w:val="24"/>
          <w:highlight w:val="none"/>
        </w:rPr>
        <w:t>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r>
    </w:p>
    <w:p>
      <w:pPr>
        <w:pStyle w:val="2"/>
        <w:spacing w:beforeLines="50" w:afterLines="50" w:line="360" w:lineRule="auto"/>
        <w:jc w:val="center"/>
        <w:rPr>
          <w:rFonts w:ascii="黑体" w:hAnsi="黑体" w:eastAsia="黑体"/>
          <w:b w:val="0"/>
        </w:rPr>
      </w:pPr>
      <w:bookmarkStart w:id="12" w:name="_Toc6937"/>
      <w:r>
        <w:rPr>
          <w:rFonts w:ascii="黑体" w:hAnsi="黑体" w:eastAsia="黑体"/>
          <w:b w:val="0"/>
        </w:rPr>
        <w:t>第五章</w:t>
      </w:r>
      <w:r>
        <w:rPr>
          <w:rFonts w:hint="eastAsia" w:ascii="黑体" w:hAnsi="黑体" w:eastAsia="黑体"/>
          <w:b w:val="0"/>
        </w:rPr>
        <w:t xml:space="preserve">  评审方法与评审标准</w:t>
      </w:r>
      <w:bookmarkEnd w:id="12"/>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一、评审方法</w:t>
      </w:r>
    </w:p>
    <w:p>
      <w:pPr>
        <w:spacing w:line="500" w:lineRule="exact"/>
        <w:ind w:firstLine="480" w:firstLineChars="200"/>
        <w:jc w:val="left"/>
        <w:rPr>
          <w:sz w:val="24"/>
          <w:szCs w:val="24"/>
        </w:rPr>
      </w:pPr>
      <w:r>
        <w:rPr>
          <w:rFonts w:hint="eastAsia"/>
          <w:sz w:val="24"/>
          <w:szCs w:val="24"/>
        </w:rPr>
        <w:t>经磋商确定最终采购需求和提交最后报价的供应商后，由磋商小组采用综合评分法对提交最后报价的供应商的响应文件和最后报价进行综合评分。</w:t>
      </w:r>
    </w:p>
    <w:p>
      <w:pPr>
        <w:spacing w:line="500" w:lineRule="exact"/>
        <w:ind w:firstLine="480" w:firstLineChars="200"/>
        <w:jc w:val="left"/>
        <w:rPr>
          <w:sz w:val="24"/>
          <w:szCs w:val="24"/>
        </w:rPr>
      </w:pPr>
      <w:r>
        <w:rPr>
          <w:rFonts w:hint="eastAsia"/>
          <w:sz w:val="24"/>
          <w:szCs w:val="24"/>
        </w:rPr>
        <w:t>综合评分法，是指响应文件满足磋商文件全部实质性要求且按评审因素的量化指标评审得分最高的供应商为成交候选供应商的评审方法。</w:t>
      </w:r>
    </w:p>
    <w:p>
      <w:pPr>
        <w:spacing w:line="500" w:lineRule="exact"/>
        <w:ind w:firstLine="480" w:firstLineChars="200"/>
        <w:jc w:val="left"/>
        <w:rPr>
          <w:rFonts w:ascii="黑体" w:hAnsi="黑体" w:eastAsia="黑体"/>
          <w:sz w:val="24"/>
          <w:szCs w:val="24"/>
        </w:rPr>
      </w:pPr>
      <w:r>
        <w:rPr>
          <w:rFonts w:ascii="黑体" w:hAnsi="黑体" w:eastAsia="黑体"/>
          <w:sz w:val="24"/>
          <w:szCs w:val="24"/>
        </w:rPr>
        <w:t>二、评审标准</w:t>
      </w:r>
    </w:p>
    <w:p>
      <w:pPr>
        <w:spacing w:line="500" w:lineRule="exact"/>
        <w:ind w:firstLine="480" w:firstLineChars="200"/>
        <w:jc w:val="left"/>
        <w:rPr>
          <w:sz w:val="24"/>
          <w:szCs w:val="24"/>
        </w:rPr>
      </w:pPr>
      <w:r>
        <w:rPr>
          <w:rFonts w:hint="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pPr>
        <w:spacing w:line="500" w:lineRule="exact"/>
        <w:ind w:firstLine="480" w:firstLineChars="200"/>
        <w:jc w:val="left"/>
        <w:rPr>
          <w:sz w:val="24"/>
          <w:szCs w:val="24"/>
        </w:rPr>
      </w:pPr>
      <w:r>
        <w:rPr>
          <w:rFonts w:hint="eastAsia"/>
          <w:sz w:val="24"/>
          <w:szCs w:val="24"/>
        </w:rPr>
        <w:t>（2）本项目评分总分为100分，按四舍五入取至小数点后两位。</w:t>
      </w:r>
    </w:p>
    <w:p>
      <w:pPr>
        <w:spacing w:line="500" w:lineRule="exact"/>
        <w:ind w:firstLine="480" w:firstLineChars="200"/>
        <w:jc w:val="left"/>
        <w:rPr>
          <w:sz w:val="24"/>
          <w:szCs w:val="24"/>
        </w:rPr>
      </w:pPr>
      <w:r>
        <w:rPr>
          <w:rFonts w:hint="eastAsia"/>
          <w:sz w:val="24"/>
          <w:szCs w:val="24"/>
        </w:rPr>
        <w:t>（3）总得分=价格分+技术分+商务分。</w:t>
      </w: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spacing w:line="500" w:lineRule="exact"/>
        <w:ind w:firstLine="480" w:firstLineChars="200"/>
        <w:jc w:val="left"/>
        <w:rPr>
          <w:sz w:val="24"/>
          <w:szCs w:val="24"/>
        </w:rPr>
      </w:pPr>
      <w:r>
        <w:rPr>
          <w:rFonts w:hint="eastAsia"/>
          <w:sz w:val="24"/>
          <w:szCs w:val="24"/>
        </w:rPr>
        <w:t>（1）价格分（30分）</w:t>
      </w:r>
    </w:p>
    <w:p>
      <w:pPr>
        <w:spacing w:line="500" w:lineRule="exact"/>
        <w:ind w:firstLine="480" w:firstLineChars="200"/>
        <w:jc w:val="left"/>
        <w:rPr>
          <w:sz w:val="24"/>
          <w:szCs w:val="24"/>
        </w:rPr>
      </w:pPr>
      <w:r>
        <w:rPr>
          <w:rFonts w:hint="eastAsia"/>
          <w:sz w:val="24"/>
          <w:szCs w:val="24"/>
        </w:rPr>
        <w:t>采用低价优先法计算，即满足磋商文件要求且最后报价最低的供应商的价格为磋商基准价，其价格分为满分。其他供应商的价格分统一按照下列公式计算：</w:t>
      </w:r>
    </w:p>
    <w:p>
      <w:pPr>
        <w:spacing w:line="500" w:lineRule="exact"/>
        <w:ind w:firstLine="480" w:firstLineChars="200"/>
        <w:jc w:val="left"/>
        <w:rPr>
          <w:sz w:val="24"/>
          <w:szCs w:val="24"/>
        </w:rPr>
      </w:pPr>
      <w:r>
        <w:rPr>
          <w:rFonts w:hint="eastAsia"/>
          <w:sz w:val="24"/>
          <w:szCs w:val="24"/>
        </w:rPr>
        <w:t>磋商报价得分=（磋商基准价／最后磋商报价）×30分</w:t>
      </w:r>
    </w:p>
    <w:p>
      <w:pPr>
        <w:spacing w:line="500" w:lineRule="exact"/>
        <w:ind w:firstLine="480" w:firstLineChars="200"/>
        <w:jc w:val="left"/>
        <w:rPr>
          <w:rFonts w:hint="eastAsia"/>
          <w:sz w:val="24"/>
          <w:szCs w:val="24"/>
        </w:rPr>
      </w:pPr>
      <w:r>
        <w:rPr>
          <w:rFonts w:hint="eastAsia"/>
          <w:sz w:val="24"/>
          <w:szCs w:val="24"/>
        </w:rPr>
        <w:t>因落实政府采购政策进行价格扣除的，用扣除后的价格参加评审。</w:t>
      </w:r>
    </w:p>
    <w:p>
      <w:pPr>
        <w:spacing w:line="500" w:lineRule="exact"/>
        <w:ind w:firstLine="480" w:firstLineChars="200"/>
        <w:jc w:val="left"/>
        <w:rPr>
          <w:sz w:val="24"/>
          <w:szCs w:val="24"/>
        </w:rPr>
      </w:pPr>
      <w:r>
        <w:rPr>
          <w:rFonts w:hint="eastAsia"/>
          <w:sz w:val="24"/>
          <w:szCs w:val="24"/>
        </w:rPr>
        <w:t>（2）技术分（</w:t>
      </w:r>
      <w:r>
        <w:rPr>
          <w:rFonts w:hint="eastAsia"/>
          <w:sz w:val="24"/>
          <w:szCs w:val="24"/>
          <w:lang w:val="en-US" w:eastAsia="zh-CN"/>
        </w:rPr>
        <w:t>30</w:t>
      </w:r>
      <w:r>
        <w:rPr>
          <w:rFonts w:hint="eastAsia"/>
          <w:sz w:val="24"/>
          <w:szCs w:val="24"/>
        </w:rPr>
        <w:t>分）</w:t>
      </w:r>
    </w:p>
    <w:tbl>
      <w:tblPr>
        <w:tblStyle w:val="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pPr>
              <w:jc w:val="center"/>
              <w:rPr>
                <w:rFonts w:ascii="黑体" w:hAnsi="黑体" w:eastAsia="黑体"/>
                <w:sz w:val="24"/>
                <w:szCs w:val="24"/>
              </w:rPr>
            </w:pPr>
            <w:r>
              <w:rPr>
                <w:rFonts w:hint="eastAsia" w:ascii="黑体" w:hAnsi="黑体" w:eastAsia="黑体"/>
                <w:sz w:val="24"/>
                <w:szCs w:val="24"/>
              </w:rPr>
              <w:t>评审因素</w:t>
            </w:r>
          </w:p>
        </w:tc>
        <w:tc>
          <w:tcPr>
            <w:tcW w:w="6845" w:type="dxa"/>
            <w:vAlign w:val="center"/>
          </w:tcPr>
          <w:p>
            <w:pPr>
              <w:jc w:val="center"/>
              <w:rPr>
                <w:rFonts w:ascii="黑体" w:hAnsi="黑体" w:eastAsia="黑体"/>
                <w:sz w:val="24"/>
                <w:szCs w:val="24"/>
              </w:rPr>
            </w:pPr>
            <w:r>
              <w:rPr>
                <w:rFonts w:hint="eastAsia" w:ascii="黑体" w:hAnsi="黑体" w:eastAsia="黑体"/>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技术参数及功能指标</w:t>
            </w:r>
          </w:p>
          <w:p>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6845" w:type="dxa"/>
            <w:shd w:val="clear" w:color="auto" w:fill="auto"/>
            <w:vAlign w:val="center"/>
          </w:tcPr>
          <w:p>
            <w:pPr>
              <w:spacing w:line="360" w:lineRule="auto"/>
              <w:jc w:val="left"/>
              <w:rPr>
                <w:rFonts w:ascii="宋体" w:hAnsi="宋体" w:cs="Times New Roman"/>
                <w:bCs/>
                <w:color w:val="000000"/>
                <w:sz w:val="24"/>
                <w:szCs w:val="24"/>
                <w:highlight w:val="none"/>
                <w:lang w:val="zh-CN"/>
              </w:rPr>
            </w:pPr>
            <w:r>
              <w:rPr>
                <w:rFonts w:hint="eastAsia" w:ascii="宋体" w:hAnsi="宋体" w:eastAsia="宋体" w:cs="宋体"/>
                <w:sz w:val="24"/>
                <w:szCs w:val="24"/>
                <w:highlight w:val="none"/>
              </w:rPr>
              <w:t>电梯技术参数（第四章3.1）、电梯基本功能要求（第四章3.2）</w:t>
            </w:r>
            <w:r>
              <w:rPr>
                <w:rFonts w:hint="eastAsia" w:ascii="宋体" w:hAnsi="宋体" w:eastAsia="宋体" w:cs="宋体"/>
                <w:color w:val="auto"/>
                <w:sz w:val="24"/>
                <w:szCs w:val="24"/>
                <w:highlight w:val="none"/>
              </w:rPr>
              <w:t>根据所投产品技术指标以及对招标文件</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的响应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进行打分。</w:t>
            </w:r>
            <w:r>
              <w:rPr>
                <w:rFonts w:hint="eastAsia" w:ascii="宋体" w:hAnsi="宋体" w:eastAsia="宋体" w:cs="宋体"/>
                <w:b/>
                <w:bCs/>
                <w:color w:val="auto"/>
                <w:sz w:val="24"/>
                <w:szCs w:val="24"/>
                <w:highlight w:val="none"/>
              </w:rPr>
              <w:t>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功能标注“</w:t>
            </w:r>
            <w:r>
              <w:rPr>
                <w:rFonts w:hint="eastAsia"/>
                <w:lang w:val="zh-CN"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号的</w:t>
            </w:r>
            <w:r>
              <w:rPr>
                <w:rFonts w:hint="eastAsia" w:ascii="宋体" w:hAnsi="宋体" w:eastAsia="宋体" w:cs="宋体"/>
                <w:color w:val="auto"/>
                <w:sz w:val="24"/>
                <w:szCs w:val="24"/>
                <w:highlight w:val="none"/>
              </w:rPr>
              <w:t xml:space="preserve">条款如有负偏离，每个扣 </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分，本项扣完为止。</w:t>
            </w:r>
          </w:p>
          <w:p>
            <w:pPr>
              <w:spacing w:line="360" w:lineRule="auto"/>
              <w:jc w:val="left"/>
              <w:rPr>
                <w:rFonts w:hint="eastAsia" w:ascii="宋体" w:hAnsi="宋体" w:eastAsiaTheme="minorEastAsia" w:cstheme="minorBidi"/>
                <w:b/>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注：证明材料提供技术要求响应及偏离表（投标人需如实填写技术要求响应及偏离表，</w:t>
            </w:r>
            <w:r>
              <w:rPr>
                <w:rFonts w:hint="eastAsia" w:ascii="宋体" w:hAnsi="宋体" w:eastAsia="宋体" w:cs="宋体"/>
                <w:b/>
                <w:bCs/>
                <w:color w:val="auto"/>
                <w:sz w:val="24"/>
                <w:szCs w:val="24"/>
                <w:highlight w:val="none"/>
              </w:rPr>
              <w:t>中标后，如采购人发现</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提供的产品与其响应文件不一致或不满足技术参数指标，对虚假应标者取消中标资格并追究相应法律责任</w:t>
            </w:r>
            <w:r>
              <w:rPr>
                <w:rFonts w:hint="eastAsia" w:ascii="宋体" w:hAnsi="宋体" w:eastAsia="宋体" w:cs="宋体"/>
                <w:b/>
                <w:bCs/>
                <w:color w:val="auto"/>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品牌一致性</w:t>
            </w:r>
          </w:p>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（6分）</w:t>
            </w:r>
          </w:p>
        </w:tc>
        <w:tc>
          <w:tcPr>
            <w:tcW w:w="6845" w:type="dxa"/>
            <w:shd w:val="clear" w:color="auto" w:fill="auto"/>
            <w:vAlign w:val="center"/>
          </w:tcPr>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所投电梯的永磁同步无齿轮曳引机（包含电机）与所投电梯整机为同一品牌的得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分。</w:t>
            </w:r>
          </w:p>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注：提供第三方检测机构出具的具有CMA或CNAS认证的整机型式试验报告并用红线标识标出具体位置，加投标人盖公章，否则不得分。</w:t>
            </w:r>
          </w:p>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所投电梯的</w:t>
            </w:r>
            <w:r>
              <w:rPr>
                <w:rFonts w:hint="eastAsia" w:ascii="宋体" w:hAnsi="宋体" w:eastAsia="宋体" w:cs="宋体"/>
                <w:sz w:val="24"/>
                <w:szCs w:val="24"/>
                <w:highlight w:val="none"/>
                <w:lang w:val="en-US" w:eastAsia="zh-CN"/>
              </w:rPr>
              <w:t>门系统</w:t>
            </w:r>
            <w:r>
              <w:rPr>
                <w:rFonts w:hint="eastAsia" w:ascii="宋体" w:hAnsi="宋体" w:eastAsia="宋体" w:cs="宋体"/>
                <w:sz w:val="24"/>
                <w:szCs w:val="24"/>
                <w:highlight w:val="none"/>
                <w:lang w:eastAsia="zh-CN"/>
              </w:rPr>
              <w:t>与所投电梯整机为同一品牌的得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注：提供第三方检测机构出具的具有CMA或CNAS认证的整机型式试验报告并用红线标识标出具体位置，加投标人盖公章，否则不得分</w:t>
            </w:r>
            <w:r>
              <w:rPr>
                <w:rFonts w:hint="eastAsia" w:ascii="宋体" w:hAnsi="宋体" w:eastAsia="宋体" w:cs="宋体"/>
                <w:sz w:val="24"/>
                <w:szCs w:val="24"/>
                <w:highlight w:val="none"/>
                <w:lang w:val="en-US" w:eastAsia="zh-CN"/>
              </w:rPr>
              <w:t>。</w:t>
            </w:r>
          </w:p>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所投电梯的</w:t>
            </w:r>
            <w:r>
              <w:rPr>
                <w:rFonts w:hint="eastAsia" w:ascii="宋体" w:hAnsi="宋体" w:eastAsia="宋体" w:cs="宋体"/>
                <w:sz w:val="24"/>
                <w:szCs w:val="24"/>
                <w:highlight w:val="none"/>
                <w:lang w:val="en-US" w:eastAsia="zh-CN"/>
              </w:rPr>
              <w:t>光幕</w:t>
            </w:r>
            <w:r>
              <w:rPr>
                <w:rFonts w:hint="eastAsia" w:ascii="宋体" w:hAnsi="宋体" w:eastAsia="宋体" w:cs="宋体"/>
                <w:sz w:val="24"/>
                <w:szCs w:val="24"/>
                <w:highlight w:val="none"/>
                <w:lang w:eastAsia="zh-CN"/>
              </w:rPr>
              <w:t>与所投电梯整机为同一品牌的得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分。</w:t>
            </w:r>
          </w:p>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注：提供第三方检测机构出具的具有CMA或CNAS认证的整机型式试验报告并用红线标识标出具体位置，加投标人盖公章，否则不得分。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lang w:val="en-US" w:eastAsia="zh-CN"/>
              </w:rPr>
              <w:t>安全部件：限速器、安全钳、缓冲器与所投电梯整机均为同一品牌的，得3分，缺一项扣1分。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注：提供第三方检测机构出具的具有CMA或CNAS认证的整机型式实验报告并用红线标识标出具体位置</w:t>
            </w:r>
            <w:r>
              <w:rPr>
                <w:rFonts w:hint="eastAsia" w:ascii="宋体" w:hAnsi="宋体" w:eastAsia="宋体" w:cs="宋体"/>
                <w:b/>
                <w:bCs/>
                <w:sz w:val="24"/>
                <w:szCs w:val="24"/>
                <w:highlight w:val="none"/>
                <w:lang w:eastAsia="zh-CN"/>
              </w:rPr>
              <w:t>，加盖投标人公章，否则不得分。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36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产品</w:t>
            </w:r>
            <w:r>
              <w:rPr>
                <w:rFonts w:hint="eastAsia" w:ascii="宋体" w:hAnsi="宋体" w:eastAsia="宋体" w:cs="宋体"/>
                <w:sz w:val="24"/>
                <w:szCs w:val="24"/>
                <w:highlight w:val="none"/>
                <w:lang w:val="en-US" w:eastAsia="zh-CN"/>
              </w:rPr>
              <w:t>技术能力及安全部件使用寿命要求</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15分）</w:t>
            </w:r>
          </w:p>
        </w:tc>
        <w:tc>
          <w:tcPr>
            <w:tcW w:w="6845" w:type="dxa"/>
            <w:shd w:val="clear" w:color="auto" w:fill="auto"/>
            <w:vAlign w:val="center"/>
          </w:tcPr>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1、光幕要求：</w:t>
            </w:r>
          </w:p>
          <w:p>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所投产品配置智能光幕保护装置，光幕的技术先进、安全可靠。</w:t>
            </w:r>
          </w:p>
          <w:p>
            <w:pPr>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highlight w:val="none"/>
                <w:lang w:val="en-US" w:eastAsia="zh-CN"/>
              </w:rPr>
              <w:t>①≥250光幕束的</w:t>
            </w:r>
            <w:r>
              <w:rPr>
                <w:rFonts w:hint="eastAsia" w:ascii="宋体" w:hAnsi="宋体" w:eastAsia="宋体" w:cs="宋体"/>
                <w:b/>
                <w:bCs/>
                <w:sz w:val="24"/>
                <w:szCs w:val="24"/>
                <w:highlight w:val="none"/>
                <w:lang w:val="en-US" w:eastAsia="zh-CN"/>
              </w:rPr>
              <w:t>得5分，</w:t>
            </w:r>
            <w:r>
              <w:rPr>
                <w:rFonts w:hint="eastAsia" w:ascii="宋体" w:hAnsi="宋体" w:eastAsia="宋体" w:cs="宋体"/>
                <w:sz w:val="24"/>
                <w:szCs w:val="24"/>
                <w:highlight w:val="none"/>
                <w:lang w:val="en-US" w:eastAsia="zh-CN"/>
              </w:rPr>
              <w:t>②200束≤光幕束＜250束的</w:t>
            </w:r>
            <w:r>
              <w:rPr>
                <w:rFonts w:hint="eastAsia" w:ascii="宋体" w:hAnsi="宋体" w:eastAsia="宋体" w:cs="宋体"/>
                <w:b/>
                <w:bCs/>
                <w:sz w:val="24"/>
                <w:szCs w:val="24"/>
                <w:highlight w:val="none"/>
                <w:lang w:val="en-US" w:eastAsia="zh-CN"/>
              </w:rPr>
              <w:t>得3分</w:t>
            </w:r>
            <w:r>
              <w:rPr>
                <w:rFonts w:hint="eastAsia" w:ascii="宋体" w:hAnsi="宋体" w:eastAsia="宋体" w:cs="宋体"/>
                <w:sz w:val="24"/>
                <w:szCs w:val="24"/>
                <w:highlight w:val="none"/>
                <w:lang w:val="en-US" w:eastAsia="zh-CN"/>
              </w:rPr>
              <w:t>，③160束≤光幕束＜200束的</w:t>
            </w:r>
            <w:r>
              <w:rPr>
                <w:rFonts w:hint="eastAsia" w:ascii="宋体" w:hAnsi="宋体" w:eastAsia="宋体" w:cs="宋体"/>
                <w:b/>
                <w:bCs/>
                <w:sz w:val="24"/>
                <w:szCs w:val="24"/>
                <w:highlight w:val="none"/>
                <w:lang w:val="en-US" w:eastAsia="zh-CN"/>
              </w:rPr>
              <w:t>得1分</w:t>
            </w:r>
            <w:r>
              <w:rPr>
                <w:rFonts w:hint="eastAsia" w:ascii="宋体" w:hAnsi="宋体" w:eastAsia="宋体" w:cs="宋体"/>
                <w:sz w:val="24"/>
                <w:szCs w:val="24"/>
                <w:highlight w:val="none"/>
                <w:lang w:val="en-US" w:eastAsia="zh-CN"/>
              </w:rPr>
              <w:t>。</w:t>
            </w:r>
            <w:r>
              <w:rPr>
                <w:rFonts w:hint="eastAsia" w:ascii="宋体" w:hAnsi="宋体" w:eastAsia="宋体" w:cs="宋体"/>
                <w:b w:val="0"/>
                <w:bCs w:val="0"/>
                <w:color w:val="000000"/>
                <w:sz w:val="24"/>
                <w:szCs w:val="24"/>
                <w:lang w:val="en-US" w:eastAsia="zh-CN"/>
              </w:rPr>
              <w:t>其余不得分。</w:t>
            </w:r>
          </w:p>
          <w:p>
            <w:pPr>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bCs/>
                <w:sz w:val="24"/>
                <w:szCs w:val="24"/>
                <w:highlight w:val="none"/>
                <w:lang w:val="en-US" w:eastAsia="zh-CN"/>
              </w:rPr>
              <w:t>（提供具有CMA认证或CNAS认证的第三方检测机构出具的检测报告并用红线标识标出具体位置。加盖投标人公章，未提供不得分）</w:t>
            </w:r>
          </w:p>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2、限速器寿命：</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①限速器进行的动作寿命试验达到550万次后仍能保证限速器满足国标GB/T 7588.1-2020规定的测速与提拉力要求的，</w:t>
            </w:r>
            <w:r>
              <w:rPr>
                <w:rFonts w:hint="eastAsia" w:ascii="宋体" w:hAnsi="宋体" w:eastAsia="宋体" w:cs="宋体"/>
                <w:b/>
                <w:bCs/>
                <w:sz w:val="24"/>
                <w:szCs w:val="24"/>
                <w:highlight w:val="none"/>
                <w:lang w:val="en-US" w:eastAsia="zh-CN"/>
              </w:rPr>
              <w:t>得5分</w:t>
            </w:r>
            <w:r>
              <w:rPr>
                <w:rFonts w:hint="eastAsia" w:ascii="宋体" w:hAnsi="宋体" w:eastAsia="宋体" w:cs="宋体"/>
                <w:sz w:val="24"/>
                <w:szCs w:val="24"/>
                <w:highlight w:val="none"/>
                <w:lang w:val="en-US" w:eastAsia="zh-CN"/>
              </w:rPr>
              <w:t>，缺一项不得分；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②限速器进行的动作寿命试验达到300万次后仍能保证限速器满足国标GB/T 7588.1-2020规定的测速与提拉力要求的，</w:t>
            </w:r>
            <w:r>
              <w:rPr>
                <w:rFonts w:hint="eastAsia" w:ascii="宋体" w:hAnsi="宋体" w:eastAsia="宋体" w:cs="宋体"/>
                <w:b/>
                <w:bCs/>
                <w:sz w:val="24"/>
                <w:szCs w:val="24"/>
                <w:highlight w:val="none"/>
                <w:lang w:val="en-US" w:eastAsia="zh-CN"/>
              </w:rPr>
              <w:t>得3分</w:t>
            </w:r>
            <w:r>
              <w:rPr>
                <w:rFonts w:hint="eastAsia" w:ascii="宋体" w:hAnsi="宋体" w:eastAsia="宋体" w:cs="宋体"/>
                <w:sz w:val="24"/>
                <w:szCs w:val="24"/>
                <w:highlight w:val="none"/>
                <w:lang w:val="en-US" w:eastAsia="zh-CN"/>
              </w:rPr>
              <w:t>，缺一项不得分；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③限速器进行的动作寿命试验达到100万次后仍能保证限速器满足国标GB/T 7588.1-2020规定的测速与提拉力要求的，</w:t>
            </w:r>
            <w:r>
              <w:rPr>
                <w:rFonts w:hint="eastAsia" w:ascii="宋体" w:hAnsi="宋体" w:eastAsia="宋体" w:cs="宋体"/>
                <w:b/>
                <w:bCs/>
                <w:sz w:val="24"/>
                <w:szCs w:val="24"/>
                <w:highlight w:val="none"/>
                <w:lang w:val="en-US" w:eastAsia="zh-CN"/>
              </w:rPr>
              <w:t>得1分</w:t>
            </w:r>
            <w:r>
              <w:rPr>
                <w:rFonts w:hint="eastAsia" w:ascii="宋体" w:hAnsi="宋体" w:eastAsia="宋体" w:cs="宋体"/>
                <w:sz w:val="24"/>
                <w:szCs w:val="24"/>
                <w:highlight w:val="none"/>
                <w:lang w:val="en-US" w:eastAsia="zh-CN"/>
              </w:rPr>
              <w:t>，缺一项不得分。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b w:val="0"/>
                <w:bCs w:val="0"/>
                <w:color w:val="000000"/>
                <w:sz w:val="24"/>
                <w:szCs w:val="24"/>
                <w:lang w:val="en-US" w:eastAsia="zh-CN"/>
              </w:rPr>
              <w:t>其余不得分。</w:t>
            </w:r>
          </w:p>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（提供具有CMA认证或CNAS认证的第三方检测机构出具的检测报告并用红线标识标出具体位置。加盖投标人公章，未提供不得分）</w:t>
            </w:r>
          </w:p>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3、安全钳模拟使用寿命：</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①安全钳模拟动作次数不小于100次，仍能保证安全钳满足国标GB/T 7588.2-2020的制动要求，安全钳无损坏，</w:t>
            </w:r>
            <w:r>
              <w:rPr>
                <w:rFonts w:hint="eastAsia" w:ascii="宋体" w:hAnsi="宋体" w:eastAsia="宋体" w:cs="宋体"/>
                <w:b/>
                <w:bCs/>
                <w:sz w:val="24"/>
                <w:szCs w:val="24"/>
                <w:highlight w:val="none"/>
                <w:lang w:val="en-US" w:eastAsia="zh-CN"/>
              </w:rPr>
              <w:t>得5分</w:t>
            </w:r>
            <w:r>
              <w:rPr>
                <w:rFonts w:hint="eastAsia" w:ascii="宋体" w:hAnsi="宋体" w:eastAsia="宋体" w:cs="宋体"/>
                <w:sz w:val="24"/>
                <w:szCs w:val="24"/>
                <w:highlight w:val="none"/>
                <w:lang w:val="en-US" w:eastAsia="zh-CN"/>
              </w:rPr>
              <w:t>；</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②安全钳模拟动作次数不小于80次，仍能保证安全钳满足国标GB/T 7588.2-2020的制动要求，安全钳无损坏，</w:t>
            </w:r>
            <w:r>
              <w:rPr>
                <w:rFonts w:hint="eastAsia" w:ascii="宋体" w:hAnsi="宋体" w:eastAsia="宋体" w:cs="宋体"/>
                <w:b/>
                <w:bCs/>
                <w:sz w:val="24"/>
                <w:szCs w:val="24"/>
                <w:highlight w:val="none"/>
                <w:lang w:val="en-US" w:eastAsia="zh-CN"/>
              </w:rPr>
              <w:t>得3分</w:t>
            </w:r>
            <w:r>
              <w:rPr>
                <w:rFonts w:hint="eastAsia" w:ascii="宋体" w:hAnsi="宋体" w:eastAsia="宋体" w:cs="宋体"/>
                <w:sz w:val="24"/>
                <w:szCs w:val="24"/>
                <w:highlight w:val="none"/>
                <w:lang w:val="en-US" w:eastAsia="zh-CN"/>
              </w:rPr>
              <w:t>；</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③安全钳模拟动作次数不小于50次，仍能保证安全钳满足国标GB/T 7588.2-2020的制动要求，安全钳无损坏，</w:t>
            </w:r>
            <w:r>
              <w:rPr>
                <w:rFonts w:hint="eastAsia" w:ascii="宋体" w:hAnsi="宋体" w:eastAsia="宋体" w:cs="宋体"/>
                <w:b/>
                <w:bCs/>
                <w:sz w:val="24"/>
                <w:szCs w:val="24"/>
                <w:highlight w:val="none"/>
                <w:lang w:val="en-US" w:eastAsia="zh-CN"/>
              </w:rPr>
              <w:t>得1分</w:t>
            </w:r>
            <w:r>
              <w:rPr>
                <w:rFonts w:hint="eastAsia" w:ascii="宋体" w:hAnsi="宋体" w:eastAsia="宋体" w:cs="宋体"/>
                <w:sz w:val="24"/>
                <w:szCs w:val="24"/>
                <w:highlight w:val="none"/>
                <w:lang w:val="en-US" w:eastAsia="zh-CN"/>
              </w:rPr>
              <w:t>；</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其余不得分。</w:t>
            </w:r>
          </w:p>
          <w:p>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（提供具有CMA认证或CNAS认证的第三方检测机构出具的检测报告并用红线标识标出具体位置。加盖投标人公章，未提供不得分）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360" w:lineRule="auto"/>
              <w:jc w:val="center"/>
              <w:rPr>
                <w:rFonts w:hint="eastAsia" w:ascii="宋体" w:hAnsi="宋体" w:eastAsia="宋体" w:cs="Times New Roman"/>
                <w:bCs/>
                <w:color w:val="000000"/>
                <w:kern w:val="2"/>
                <w:sz w:val="24"/>
                <w:szCs w:val="24"/>
                <w:highlight w:val="none"/>
                <w:lang w:val="en-US" w:eastAsia="zh-CN" w:bidi="ar-SA"/>
              </w:rPr>
            </w:pPr>
            <w:r>
              <w:rPr>
                <w:rFonts w:hint="eastAsia" w:ascii="宋体" w:hAnsi="宋体" w:cs="Times New Roman"/>
                <w:bCs/>
                <w:color w:val="000000"/>
                <w:sz w:val="24"/>
                <w:szCs w:val="24"/>
                <w:highlight w:val="none"/>
                <w:lang w:val="en-US" w:eastAsia="zh-CN"/>
              </w:rPr>
              <w:t>主机及门机</w:t>
            </w:r>
            <w:r>
              <w:rPr>
                <w:rFonts w:hint="eastAsia" w:ascii="宋体" w:hAnsi="宋体" w:eastAsia="宋体" w:cs="Times New Roman"/>
                <w:bCs/>
                <w:color w:val="000000"/>
                <w:sz w:val="24"/>
                <w:szCs w:val="24"/>
                <w:highlight w:val="none"/>
                <w:lang w:val="en-US" w:eastAsia="zh-CN"/>
              </w:rPr>
              <w:t>防护等级</w:t>
            </w:r>
            <w:r>
              <w:rPr>
                <w:rFonts w:hint="eastAsia" w:ascii="宋体" w:hAnsi="宋体" w:cs="Times New Roman"/>
                <w:bCs/>
                <w:color w:val="000000"/>
                <w:sz w:val="24"/>
                <w:szCs w:val="24"/>
                <w:highlight w:val="none"/>
                <w:lang w:val="en-US" w:eastAsia="zh-CN"/>
              </w:rPr>
              <w:t>（5分）</w:t>
            </w:r>
          </w:p>
        </w:tc>
        <w:tc>
          <w:tcPr>
            <w:tcW w:w="6845" w:type="dxa"/>
            <w:shd w:val="clear" w:color="auto" w:fill="auto"/>
            <w:vAlign w:val="center"/>
          </w:tcPr>
          <w:p>
            <w:pPr>
              <w:numPr>
                <w:ilvl w:val="0"/>
                <w:numId w:val="6"/>
              </w:numPr>
              <w:spacing w:line="360" w:lineRule="auto"/>
              <w:rPr>
                <w:rFonts w:hint="eastAsia" w:ascii="宋体" w:hAnsi="宋体" w:cs="Times New Roman"/>
                <w:b/>
                <w:bCs w:val="0"/>
                <w:color w:val="000000"/>
                <w:sz w:val="24"/>
                <w:szCs w:val="24"/>
                <w:highlight w:val="none"/>
                <w:u w:val="single"/>
                <w:lang w:val="en-US" w:eastAsia="zh-CN"/>
              </w:rPr>
            </w:pPr>
            <w:r>
              <w:rPr>
                <w:rFonts w:hint="eastAsia" w:ascii="宋体" w:hAnsi="宋体" w:cs="Times New Roman"/>
                <w:b/>
                <w:bCs w:val="0"/>
                <w:color w:val="000000"/>
                <w:sz w:val="24"/>
                <w:szCs w:val="24"/>
                <w:highlight w:val="none"/>
                <w:u w:val="single"/>
                <w:lang w:val="en-US" w:eastAsia="zh-CN"/>
              </w:rPr>
              <w:t>主机IP等级：</w:t>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①投标厂家主机防尘等级达到4级（IP4X）或以上，且防水等级达到3级（IPX3）或以上，</w:t>
            </w:r>
            <w:r>
              <w:rPr>
                <w:rFonts w:hint="eastAsia" w:ascii="宋体" w:hAnsi="宋体" w:eastAsia="宋体" w:cs="宋体"/>
                <w:b/>
                <w:bCs/>
                <w:sz w:val="24"/>
                <w:szCs w:val="24"/>
                <w:highlight w:val="none"/>
                <w:lang w:val="en-US" w:eastAsia="zh-CN"/>
              </w:rPr>
              <w:t>得3分</w:t>
            </w:r>
            <w:r>
              <w:rPr>
                <w:rFonts w:hint="eastAsia" w:ascii="宋体" w:hAnsi="宋体" w:eastAsia="宋体" w:cs="宋体"/>
                <w:b w:val="0"/>
                <w:bCs w:val="0"/>
                <w:color w:val="000000"/>
                <w:sz w:val="24"/>
                <w:szCs w:val="24"/>
                <w:highlight w:val="none"/>
                <w:lang w:val="en-US" w:eastAsia="zh-CN"/>
              </w:rPr>
              <w:t>；</w:t>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②投标厂家主机防尘等级达到3级（IP3X）或以上，且防水等级达到2级（IPX2）或以上，</w:t>
            </w:r>
            <w:r>
              <w:rPr>
                <w:rFonts w:hint="eastAsia" w:ascii="宋体" w:hAnsi="宋体" w:eastAsia="宋体" w:cs="宋体"/>
                <w:b/>
                <w:bCs/>
                <w:sz w:val="24"/>
                <w:szCs w:val="24"/>
                <w:highlight w:val="none"/>
                <w:lang w:val="en-US" w:eastAsia="zh-CN"/>
              </w:rPr>
              <w:t>得2分</w:t>
            </w:r>
            <w:r>
              <w:rPr>
                <w:rFonts w:hint="eastAsia" w:ascii="宋体" w:hAnsi="宋体" w:eastAsia="宋体" w:cs="宋体"/>
                <w:b w:val="0"/>
                <w:bCs w:val="0"/>
                <w:color w:val="000000"/>
                <w:sz w:val="24"/>
                <w:szCs w:val="24"/>
                <w:highlight w:val="none"/>
                <w:lang w:val="en-US" w:eastAsia="zh-CN"/>
              </w:rPr>
              <w:t>；</w:t>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③投标厂家主机防尘等级达到2级（IP2X），且防水等级达到1级（IPX1）或以上，</w:t>
            </w:r>
            <w:r>
              <w:rPr>
                <w:rFonts w:hint="eastAsia" w:ascii="宋体" w:hAnsi="宋体" w:eastAsia="宋体" w:cs="宋体"/>
                <w:b/>
                <w:bCs/>
                <w:sz w:val="24"/>
                <w:szCs w:val="24"/>
                <w:highlight w:val="none"/>
                <w:lang w:val="en-US" w:eastAsia="zh-CN"/>
              </w:rPr>
              <w:t>得1分</w:t>
            </w:r>
            <w:r>
              <w:rPr>
                <w:rFonts w:hint="eastAsia" w:ascii="宋体" w:hAnsi="宋体" w:eastAsia="宋体" w:cs="宋体"/>
                <w:b w:val="0"/>
                <w:bCs w:val="0"/>
                <w:color w:val="000000"/>
                <w:sz w:val="24"/>
                <w:szCs w:val="24"/>
                <w:highlight w:val="none"/>
                <w:lang w:val="en-US" w:eastAsia="zh-CN"/>
              </w:rPr>
              <w:t>；</w:t>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sz w:val="24"/>
                <w:szCs w:val="24"/>
                <w:highlight w:val="none"/>
                <w:lang w:val="en-US" w:eastAsia="zh-CN"/>
              </w:rPr>
              <w:t>（提供具有CMA认证或CNAS认证的第三方检测机构出具的检测报告并用红线标识标出具体位置。加盖投标人公章，未提供不得分）</w:t>
            </w:r>
          </w:p>
          <w:p>
            <w:pPr>
              <w:numPr>
                <w:ilvl w:val="0"/>
                <w:numId w:val="6"/>
              </w:numPr>
              <w:spacing w:line="360" w:lineRule="auto"/>
              <w:rPr>
                <w:rFonts w:hint="default" w:ascii="宋体" w:hAnsi="宋体" w:cs="Times New Roman"/>
                <w:b/>
                <w:bCs w:val="0"/>
                <w:color w:val="000000"/>
                <w:sz w:val="24"/>
                <w:szCs w:val="24"/>
                <w:highlight w:val="none"/>
                <w:u w:val="single"/>
                <w:lang w:val="en-US" w:eastAsia="zh-CN"/>
              </w:rPr>
            </w:pPr>
            <w:r>
              <w:rPr>
                <w:rFonts w:hint="default" w:ascii="宋体" w:hAnsi="宋体" w:cs="Times New Roman"/>
                <w:b/>
                <w:bCs w:val="0"/>
                <w:color w:val="000000"/>
                <w:sz w:val="24"/>
                <w:szCs w:val="24"/>
                <w:highlight w:val="none"/>
                <w:u w:val="single"/>
                <w:lang w:val="en-US" w:eastAsia="zh-CN"/>
              </w:rPr>
              <w:t>门电机IP等级</w:t>
            </w:r>
            <w:r>
              <w:rPr>
                <w:rFonts w:hint="eastAsia" w:ascii="宋体" w:hAnsi="宋体" w:cs="Times New Roman"/>
                <w:b/>
                <w:bCs w:val="0"/>
                <w:color w:val="000000"/>
                <w:sz w:val="24"/>
                <w:szCs w:val="24"/>
                <w:highlight w:val="none"/>
                <w:u w:val="single"/>
                <w:lang w:val="en-US" w:eastAsia="zh-CN"/>
              </w:rPr>
              <w:t>：</w:t>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①</w:t>
            </w:r>
            <w:r>
              <w:rPr>
                <w:rFonts w:hint="default" w:ascii="宋体" w:hAnsi="宋体" w:eastAsia="宋体" w:cs="宋体"/>
                <w:b w:val="0"/>
                <w:bCs w:val="0"/>
                <w:color w:val="000000"/>
                <w:sz w:val="24"/>
                <w:szCs w:val="24"/>
                <w:highlight w:val="none"/>
                <w:lang w:val="en-US" w:eastAsia="zh-CN"/>
              </w:rPr>
              <w:t>投标厂家门电机防尘等级在6级或以上，且防水等级在6级或以上（IP66），</w:t>
            </w:r>
            <w:r>
              <w:rPr>
                <w:rFonts w:hint="default" w:ascii="宋体" w:hAnsi="宋体" w:eastAsia="宋体" w:cs="宋体"/>
                <w:b/>
                <w:bCs/>
                <w:sz w:val="24"/>
                <w:szCs w:val="24"/>
                <w:highlight w:val="none"/>
                <w:lang w:val="en-US" w:eastAsia="zh-CN"/>
              </w:rPr>
              <w:t>得</w:t>
            </w:r>
            <w:r>
              <w:rPr>
                <w:rFonts w:hint="eastAsia" w:ascii="宋体" w:hAnsi="宋体" w:eastAsia="宋体" w:cs="宋体"/>
                <w:b/>
                <w:bCs/>
                <w:sz w:val="24"/>
                <w:szCs w:val="24"/>
                <w:highlight w:val="none"/>
                <w:lang w:val="en-US" w:eastAsia="zh-CN"/>
              </w:rPr>
              <w:t>2</w:t>
            </w:r>
            <w:r>
              <w:rPr>
                <w:rFonts w:hint="default" w:ascii="宋体" w:hAnsi="宋体" w:eastAsia="宋体" w:cs="宋体"/>
                <w:b/>
                <w:bCs/>
                <w:sz w:val="24"/>
                <w:szCs w:val="24"/>
                <w:highlight w:val="none"/>
                <w:lang w:val="en-US" w:eastAsia="zh-CN"/>
              </w:rPr>
              <w:t>分</w:t>
            </w:r>
            <w:r>
              <w:rPr>
                <w:rFonts w:hint="default" w:ascii="宋体" w:hAnsi="宋体" w:eastAsia="宋体" w:cs="宋体"/>
                <w:b w:val="0"/>
                <w:bCs w:val="0"/>
                <w:color w:val="000000"/>
                <w:sz w:val="24"/>
                <w:szCs w:val="24"/>
                <w:highlight w:val="none"/>
                <w:lang w:val="en-US" w:eastAsia="zh-CN"/>
              </w:rPr>
              <w:t>；</w:t>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②</w:t>
            </w:r>
            <w:r>
              <w:rPr>
                <w:rFonts w:hint="default" w:ascii="宋体" w:hAnsi="宋体" w:eastAsia="宋体" w:cs="宋体"/>
                <w:b w:val="0"/>
                <w:bCs w:val="0"/>
                <w:color w:val="000000"/>
                <w:sz w:val="24"/>
                <w:szCs w:val="24"/>
                <w:highlight w:val="none"/>
                <w:lang w:val="en-US" w:eastAsia="zh-CN"/>
              </w:rPr>
              <w:t>投标厂家门电机防尘等级在5级或以上，且防水等级在4级或以上（IP54），</w:t>
            </w:r>
            <w:r>
              <w:rPr>
                <w:rFonts w:hint="default" w:ascii="宋体" w:hAnsi="宋体" w:eastAsia="宋体" w:cs="宋体"/>
                <w:b/>
                <w:bCs/>
                <w:sz w:val="24"/>
                <w:szCs w:val="24"/>
                <w:highlight w:val="none"/>
                <w:lang w:val="en-US" w:eastAsia="zh-CN"/>
              </w:rPr>
              <w:t>得</w:t>
            </w:r>
            <w:r>
              <w:rPr>
                <w:rFonts w:hint="eastAsia" w:ascii="宋体" w:hAnsi="宋体" w:eastAsia="宋体" w:cs="宋体"/>
                <w:b/>
                <w:bCs/>
                <w:sz w:val="24"/>
                <w:szCs w:val="24"/>
                <w:highlight w:val="none"/>
                <w:lang w:val="en-US" w:eastAsia="zh-CN"/>
              </w:rPr>
              <w:t>1</w:t>
            </w:r>
            <w:r>
              <w:rPr>
                <w:rFonts w:hint="default" w:ascii="宋体" w:hAnsi="宋体" w:eastAsia="宋体" w:cs="宋体"/>
                <w:b/>
                <w:bCs/>
                <w:sz w:val="24"/>
                <w:szCs w:val="24"/>
                <w:highlight w:val="none"/>
                <w:lang w:val="en-US" w:eastAsia="zh-CN"/>
              </w:rPr>
              <w:t>分</w:t>
            </w:r>
            <w:r>
              <w:rPr>
                <w:rFonts w:hint="default" w:ascii="宋体" w:hAnsi="宋体" w:eastAsia="宋体" w:cs="宋体"/>
                <w:b w:val="0"/>
                <w:bCs w:val="0"/>
                <w:color w:val="000000"/>
                <w:sz w:val="24"/>
                <w:szCs w:val="24"/>
                <w:highlight w:val="none"/>
                <w:lang w:val="en-US" w:eastAsia="zh-CN"/>
              </w:rPr>
              <w:t>；</w:t>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③</w:t>
            </w:r>
            <w:r>
              <w:rPr>
                <w:rFonts w:hint="default" w:ascii="宋体" w:hAnsi="宋体" w:eastAsia="宋体" w:cs="宋体"/>
                <w:b w:val="0"/>
                <w:bCs w:val="0"/>
                <w:color w:val="000000"/>
                <w:sz w:val="24"/>
                <w:szCs w:val="24"/>
                <w:highlight w:val="none"/>
                <w:lang w:val="en-US" w:eastAsia="zh-CN"/>
              </w:rPr>
              <w:t>投标厂家门电机防尘等级在4级以下或防水等级在4级以下（IP43），</w:t>
            </w:r>
            <w:r>
              <w:rPr>
                <w:rFonts w:hint="default" w:ascii="宋体" w:hAnsi="宋体" w:eastAsia="宋体" w:cs="宋体"/>
                <w:b/>
                <w:bCs/>
                <w:sz w:val="24"/>
                <w:szCs w:val="24"/>
                <w:highlight w:val="none"/>
                <w:lang w:val="en-US" w:eastAsia="zh-CN"/>
              </w:rPr>
              <w:t>得</w:t>
            </w:r>
            <w:r>
              <w:rPr>
                <w:rFonts w:hint="eastAsia" w:ascii="宋体" w:hAnsi="宋体" w:eastAsia="宋体" w:cs="宋体"/>
                <w:b/>
                <w:bCs/>
                <w:sz w:val="24"/>
                <w:szCs w:val="24"/>
                <w:highlight w:val="none"/>
                <w:lang w:val="en-US" w:eastAsia="zh-CN"/>
              </w:rPr>
              <w:t>0.5</w:t>
            </w:r>
            <w:r>
              <w:rPr>
                <w:rFonts w:hint="default" w:ascii="宋体" w:hAnsi="宋体" w:eastAsia="宋体" w:cs="宋体"/>
                <w:b/>
                <w:bCs/>
                <w:sz w:val="24"/>
                <w:szCs w:val="24"/>
                <w:highlight w:val="none"/>
                <w:lang w:val="en-US" w:eastAsia="zh-CN"/>
              </w:rPr>
              <w:t>分</w:t>
            </w:r>
          </w:p>
          <w:p>
            <w:pPr>
              <w:spacing w:line="360" w:lineRule="auto"/>
              <w:rPr>
                <w:rFonts w:hint="eastAsia" w:ascii="宋体" w:hAnsi="宋体" w:cs="Times New Roman" w:eastAsiaTheme="minorEastAsia"/>
                <w:b/>
                <w:bCs w:val="0"/>
                <w:color w:val="000000"/>
                <w:kern w:val="2"/>
                <w:sz w:val="24"/>
                <w:szCs w:val="24"/>
                <w:highlight w:val="none"/>
                <w:u w:val="single"/>
                <w:lang w:val="en-US" w:eastAsia="zh-CN" w:bidi="ar-SA"/>
              </w:rPr>
            </w:pPr>
            <w:r>
              <w:rPr>
                <w:rFonts w:hint="eastAsia" w:ascii="宋体" w:hAnsi="宋体" w:eastAsia="宋体" w:cs="宋体"/>
                <w:b/>
                <w:bCs/>
                <w:sz w:val="24"/>
                <w:szCs w:val="24"/>
                <w:highlight w:val="none"/>
                <w:lang w:val="en-US" w:eastAsia="zh-CN"/>
              </w:rPr>
              <w:t>（提供具有CMA认证或CNAS认证的第三方检测机构出具的检测报告并用红线标识标出具体位置。加盖投标人公章，未提供不得分）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276" w:lineRule="auto"/>
              <w:jc w:val="center"/>
              <w:rPr>
                <w:rFonts w:asciiTheme="minorEastAsia" w:hAnsiTheme="minorEastAsia"/>
                <w:sz w:val="24"/>
                <w:highlight w:val="none"/>
              </w:rPr>
            </w:pPr>
            <w:r>
              <w:rPr>
                <w:rFonts w:hint="eastAsia" w:asciiTheme="minorEastAsia" w:hAnsiTheme="minorEastAsia"/>
                <w:sz w:val="24"/>
                <w:highlight w:val="none"/>
              </w:rPr>
              <w:t>节能环保</w:t>
            </w:r>
          </w:p>
          <w:p>
            <w:pPr>
              <w:spacing w:line="276" w:lineRule="auto"/>
              <w:jc w:val="center"/>
              <w:rPr>
                <w:rFonts w:hint="eastAsia" w:asciiTheme="minorHAnsi" w:hAnsiTheme="minorHAnsi" w:eastAsiaTheme="minorEastAsia" w:cstheme="minorBidi"/>
                <w:kern w:val="2"/>
                <w:sz w:val="21"/>
                <w:szCs w:val="22"/>
                <w:highlight w:val="none"/>
                <w:lang w:val="en-US" w:eastAsia="zh-CN" w:bidi="ar-SA"/>
              </w:rPr>
            </w:pPr>
            <w:r>
              <w:rPr>
                <w:rFonts w:hint="eastAsia" w:asciiTheme="minorEastAsia" w:hAnsiTheme="minorEastAsia"/>
                <w:sz w:val="24"/>
                <w:highlight w:val="none"/>
              </w:rPr>
              <w:t>（2分）</w:t>
            </w:r>
          </w:p>
        </w:tc>
        <w:tc>
          <w:tcPr>
            <w:tcW w:w="6845" w:type="dxa"/>
            <w:shd w:val="clear" w:color="auto" w:fill="auto"/>
            <w:vAlign w:val="center"/>
          </w:tcPr>
          <w:p>
            <w:pPr>
              <w:spacing w:line="360" w:lineRule="auto"/>
              <w:rPr>
                <w:rFonts w:hint="default" w:ascii="宋体" w:hAnsi="宋体" w:eastAsia="宋体" w:cs="宋体"/>
                <w:b w:val="0"/>
                <w:bCs w:val="0"/>
                <w:color w:val="000000"/>
                <w:sz w:val="24"/>
                <w:szCs w:val="24"/>
                <w:highlight w:val="none"/>
                <w:lang w:val="en-US" w:eastAsia="zh-CN"/>
              </w:rPr>
            </w:pPr>
            <w:r>
              <w:rPr>
                <w:rFonts w:hint="eastAsia" w:asciiTheme="minorEastAsia" w:hAnsiTheme="minorEastAsia"/>
                <w:sz w:val="24"/>
                <w:highlight w:val="none"/>
              </w:rPr>
              <w:t>1</w:t>
            </w:r>
            <w:r>
              <w:rPr>
                <w:rFonts w:hint="eastAsia" w:ascii="宋体" w:hAnsi="宋体" w:eastAsia="宋体" w:cs="宋体"/>
                <w:b w:val="0"/>
                <w:bCs w:val="0"/>
                <w:color w:val="000000"/>
                <w:sz w:val="24"/>
                <w:szCs w:val="24"/>
                <w:highlight w:val="none"/>
                <w:lang w:val="en-US" w:eastAsia="zh-CN"/>
              </w:rPr>
              <w:t>.投标标的属于财政部、国家发展改革委公布的“节能产品政府采购品目清单”范围内的，投标人提供国家确定的认证机构出具的、处于有效期之内的该节能产品认证证书扫描件的，有1个</w:t>
            </w:r>
            <w:r>
              <w:rPr>
                <w:rFonts w:hint="eastAsia" w:ascii="宋体" w:hAnsi="宋体" w:eastAsia="宋体" w:cs="宋体"/>
                <w:b/>
                <w:bCs/>
                <w:color w:val="000000"/>
                <w:sz w:val="24"/>
                <w:szCs w:val="24"/>
                <w:highlight w:val="none"/>
                <w:lang w:val="en-US" w:eastAsia="zh-CN"/>
              </w:rPr>
              <w:t>得0.5分</w:t>
            </w:r>
            <w:r>
              <w:rPr>
                <w:rFonts w:hint="eastAsia" w:ascii="宋体" w:hAnsi="宋体" w:eastAsia="宋体" w:cs="宋体"/>
                <w:b w:val="0"/>
                <w:bCs w:val="0"/>
                <w:color w:val="000000"/>
                <w:sz w:val="24"/>
                <w:szCs w:val="24"/>
                <w:highlight w:val="none"/>
                <w:lang w:val="en-US" w:eastAsia="zh-CN"/>
              </w:rPr>
              <w:t>，最多</w:t>
            </w:r>
            <w:r>
              <w:rPr>
                <w:rFonts w:hint="eastAsia" w:ascii="宋体" w:hAnsi="宋体" w:eastAsia="宋体" w:cs="宋体"/>
                <w:b/>
                <w:bCs/>
                <w:color w:val="000000"/>
                <w:sz w:val="24"/>
                <w:szCs w:val="24"/>
                <w:highlight w:val="none"/>
                <w:lang w:val="en-US" w:eastAsia="zh-CN"/>
              </w:rPr>
              <w:t>得1分</w:t>
            </w:r>
            <w:r>
              <w:rPr>
                <w:rFonts w:hint="eastAsia" w:ascii="宋体" w:hAnsi="宋体" w:eastAsia="宋体" w:cs="宋体"/>
                <w:b w:val="0"/>
                <w:bCs w:val="0"/>
                <w:color w:val="000000"/>
                <w:sz w:val="24"/>
                <w:szCs w:val="24"/>
                <w:highlight w:val="none"/>
                <w:lang w:val="en-US" w:eastAsia="zh-CN"/>
              </w:rPr>
              <w:t>。如投标标的均属于政府强制采购节能产品品目清单范围内，本项不得分。</w:t>
            </w:r>
          </w:p>
          <w:p>
            <w:pPr>
              <w:spacing w:line="360" w:lineRule="auto"/>
              <w:rPr>
                <w:rFonts w:hint="default" w:asciiTheme="minorEastAsia" w:hAnsiTheme="minorEastAsia" w:eastAsiaTheme="minorEastAsia" w:cstheme="minorBidi"/>
                <w:b/>
                <w:kern w:val="2"/>
                <w:sz w:val="24"/>
                <w:szCs w:val="22"/>
                <w:highlight w:val="none"/>
                <w:lang w:val="en-US" w:eastAsia="zh-CN" w:bidi="ar-SA"/>
              </w:rPr>
            </w:pPr>
            <w:r>
              <w:rPr>
                <w:rFonts w:hint="eastAsia" w:ascii="宋体" w:hAnsi="宋体" w:eastAsia="宋体" w:cs="宋体"/>
                <w:b w:val="0"/>
                <w:bCs w:val="0"/>
                <w:color w:val="000000"/>
                <w:sz w:val="24"/>
                <w:szCs w:val="24"/>
                <w:highlight w:val="none"/>
                <w:lang w:val="en-US" w:eastAsia="zh-CN"/>
              </w:rPr>
              <w:t>2.投标标的属于财政部、生态环境部公布的“环境标志产品政府采购品目清单”范围内的，投标人提供国家确定的认证机构出具的、处于有效期内的该环境标志产品认证证书扫描件的，有1个</w:t>
            </w:r>
            <w:r>
              <w:rPr>
                <w:rFonts w:hint="eastAsia" w:ascii="宋体" w:hAnsi="宋体" w:eastAsia="宋体" w:cs="宋体"/>
                <w:b/>
                <w:bCs/>
                <w:color w:val="000000"/>
                <w:sz w:val="24"/>
                <w:szCs w:val="24"/>
                <w:highlight w:val="none"/>
                <w:lang w:val="en-US" w:eastAsia="zh-CN"/>
              </w:rPr>
              <w:t>得0.5分</w:t>
            </w:r>
            <w:r>
              <w:rPr>
                <w:rFonts w:hint="eastAsia" w:ascii="宋体" w:hAnsi="宋体" w:eastAsia="宋体" w:cs="宋体"/>
                <w:b w:val="0"/>
                <w:bCs w:val="0"/>
                <w:color w:val="000000"/>
                <w:sz w:val="24"/>
                <w:szCs w:val="24"/>
                <w:highlight w:val="none"/>
                <w:lang w:val="en-US" w:eastAsia="zh-CN"/>
              </w:rPr>
              <w:t>，最多</w:t>
            </w:r>
            <w:r>
              <w:rPr>
                <w:rFonts w:hint="eastAsia" w:ascii="宋体" w:hAnsi="宋体" w:eastAsia="宋体" w:cs="宋体"/>
                <w:b/>
                <w:bCs/>
                <w:color w:val="000000"/>
                <w:sz w:val="24"/>
                <w:szCs w:val="24"/>
                <w:highlight w:val="none"/>
                <w:lang w:val="en-US" w:eastAsia="zh-CN"/>
              </w:rPr>
              <w:t>得1分</w:t>
            </w:r>
            <w:r>
              <w:rPr>
                <w:rFonts w:hint="eastAsia" w:ascii="宋体" w:hAnsi="宋体" w:eastAsia="宋体" w:cs="宋体"/>
                <w:b w:val="0"/>
                <w:bCs w:val="0"/>
                <w:color w:val="000000"/>
                <w:sz w:val="24"/>
                <w:szCs w:val="24"/>
                <w:highlight w:val="none"/>
                <w:lang w:val="en-US" w:eastAsia="zh-CN"/>
              </w:rPr>
              <w:t>。</w:t>
            </w:r>
          </w:p>
        </w:tc>
      </w:tr>
    </w:tbl>
    <w:p>
      <w:pPr>
        <w:spacing w:line="500" w:lineRule="exact"/>
        <w:ind w:firstLine="480" w:firstLineChars="200"/>
        <w:jc w:val="left"/>
        <w:rPr>
          <w:sz w:val="24"/>
          <w:szCs w:val="24"/>
          <w:highlight w:val="none"/>
        </w:rPr>
      </w:pPr>
      <w:r>
        <w:rPr>
          <w:rFonts w:hint="eastAsia"/>
          <w:sz w:val="24"/>
          <w:szCs w:val="24"/>
          <w:highlight w:val="none"/>
        </w:rPr>
        <w:t>（3）商务分（</w:t>
      </w:r>
      <w:r>
        <w:rPr>
          <w:rFonts w:hint="eastAsia"/>
          <w:sz w:val="24"/>
          <w:szCs w:val="24"/>
          <w:highlight w:val="none"/>
          <w:lang w:val="en-US" w:eastAsia="zh-CN"/>
        </w:rPr>
        <w:t>40</w:t>
      </w:r>
      <w:r>
        <w:rPr>
          <w:rFonts w:hint="eastAsia"/>
          <w:sz w:val="24"/>
          <w:szCs w:val="24"/>
          <w:highlight w:val="none"/>
        </w:rPr>
        <w:t>分）</w:t>
      </w:r>
    </w:p>
    <w:tbl>
      <w:tblPr>
        <w:tblStyle w:val="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评审因素</w:t>
            </w:r>
          </w:p>
        </w:tc>
        <w:tc>
          <w:tcPr>
            <w:tcW w:w="6845"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spacing w:line="360" w:lineRule="auto"/>
              <w:jc w:val="center"/>
              <w:rPr>
                <w:rFonts w:hint="default" w:ascii="宋体" w:hAnsi="宋体" w:eastAsia="宋体" w:cs="Times New Roman"/>
                <w:bCs/>
                <w:color w:val="000000"/>
                <w:kern w:val="2"/>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三大认证体系（</w:t>
            </w: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分）</w:t>
            </w:r>
          </w:p>
        </w:tc>
        <w:tc>
          <w:tcPr>
            <w:tcW w:w="6845" w:type="dxa"/>
            <w:shd w:val="clear" w:color="auto" w:fill="auto"/>
            <w:vAlign w:val="center"/>
          </w:tcPr>
          <w:p>
            <w:pPr>
              <w:spacing w:line="360" w:lineRule="auto"/>
              <w:rPr>
                <w:rFonts w:hint="default" w:ascii="宋体" w:hAnsi="宋体" w:cs="Times New Roman"/>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投标人获得质量</w:t>
            </w:r>
            <w:r>
              <w:rPr>
                <w:rFonts w:hint="eastAsia" w:ascii="宋体" w:hAnsi="宋体" w:cs="Times New Roman"/>
                <w:bCs/>
                <w:color w:val="000000"/>
                <w:sz w:val="24"/>
                <w:szCs w:val="24"/>
                <w:highlight w:val="none"/>
                <w:lang w:val="en-US" w:eastAsia="zh-CN"/>
              </w:rPr>
              <w:t>管理体系认证、环境管理体系认证、职业健康安全管理体系认证证书的每有一个得1分，共计3分。</w:t>
            </w:r>
          </w:p>
          <w:p>
            <w:pPr>
              <w:spacing w:line="360" w:lineRule="auto"/>
              <w:rPr>
                <w:rFonts w:hint="default" w:ascii="宋体" w:hAnsi="宋体" w:cs="Times New Roman"/>
                <w:bCs/>
                <w:color w:val="000000"/>
                <w:sz w:val="24"/>
                <w:szCs w:val="24"/>
                <w:highlight w:val="none"/>
                <w:lang w:val="en-US" w:eastAsia="zh-CN"/>
              </w:rPr>
            </w:pPr>
            <w:r>
              <w:rPr>
                <w:rFonts w:hint="eastAsia" w:ascii="宋体" w:hAnsi="宋体" w:eastAsia="宋体" w:cs="宋体"/>
                <w:b/>
                <w:color w:val="000000"/>
                <w:sz w:val="24"/>
                <w:szCs w:val="24"/>
                <w:lang w:val="en-US" w:eastAsia="zh-CN"/>
              </w:rPr>
              <w:t>注：证明材料提供证书</w:t>
            </w:r>
            <w:r>
              <w:rPr>
                <w:rFonts w:hint="eastAsia" w:ascii="宋体" w:hAnsi="宋体" w:eastAsia="宋体" w:cs="宋体"/>
                <w:b/>
                <w:bCs w:val="0"/>
                <w:color w:val="auto"/>
                <w:sz w:val="24"/>
                <w:szCs w:val="24"/>
                <w:highlight w:val="none"/>
                <w:lang w:val="en-US" w:eastAsia="zh-CN"/>
              </w:rPr>
              <w:t>并加投标人盖公章</w:t>
            </w:r>
            <w:r>
              <w:rPr>
                <w:rFonts w:hint="eastAsia" w:ascii="宋体" w:hAnsi="宋体" w:eastAsia="宋体" w:cs="宋体"/>
                <w:b/>
                <w:color w:val="000000"/>
                <w:sz w:val="24"/>
                <w:szCs w:val="24"/>
                <w:lang w:val="en-US" w:eastAsia="zh-CN"/>
              </w:rPr>
              <w:t>，未提供或未按要求提供此项不得分。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keepNext w:val="0"/>
              <w:keepLines w:val="0"/>
              <w:pageBreakBefore w:val="0"/>
              <w:widowControl/>
              <w:spacing w:line="360" w:lineRule="auto"/>
              <w:ind w:firstLine="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业绩</w:t>
            </w:r>
          </w:p>
          <w:p>
            <w:pPr>
              <w:keepNext w:val="0"/>
              <w:keepLines w:val="0"/>
              <w:pageBreakBefore w:val="0"/>
              <w:widowControl/>
              <w:spacing w:line="360" w:lineRule="auto"/>
              <w:ind w:firstLine="0"/>
              <w:jc w:val="lef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8分</w:t>
            </w:r>
            <w:r>
              <w:rPr>
                <w:rFonts w:hint="eastAsia" w:ascii="宋体" w:hAnsi="宋体" w:cs="宋体"/>
                <w:bCs/>
                <w:color w:val="000000"/>
                <w:sz w:val="24"/>
                <w:szCs w:val="24"/>
                <w:highlight w:val="none"/>
                <w:lang w:eastAsia="zh-CN"/>
              </w:rPr>
              <w:t>）</w:t>
            </w:r>
          </w:p>
        </w:tc>
        <w:tc>
          <w:tcPr>
            <w:tcW w:w="6845" w:type="dxa"/>
            <w:shd w:val="clear" w:color="auto" w:fill="auto"/>
            <w:vAlign w:val="center"/>
          </w:tcPr>
          <w:p>
            <w:pPr>
              <w:keepNext w:val="0"/>
              <w:keepLines w:val="0"/>
              <w:pageBreakBefore w:val="0"/>
              <w:widowControl/>
              <w:spacing w:line="360" w:lineRule="auto"/>
              <w:ind w:firstLine="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投标人具有202</w:t>
            </w:r>
            <w:r>
              <w:rPr>
                <w:rFonts w:hint="eastAsia" w:ascii="宋体" w:hAnsi="宋体" w:cs="宋体"/>
                <w:bCs/>
                <w:color w:val="000000"/>
                <w:sz w:val="24"/>
                <w:szCs w:val="24"/>
                <w:highlight w:val="none"/>
                <w:lang w:val="en-US" w:eastAsia="zh-CN"/>
              </w:rPr>
              <w:t>3</w:t>
            </w:r>
            <w:r>
              <w:rPr>
                <w:rFonts w:hint="eastAsia" w:ascii="宋体" w:hAnsi="宋体" w:cs="宋体"/>
                <w:bCs/>
                <w:color w:val="000000"/>
                <w:sz w:val="24"/>
                <w:szCs w:val="24"/>
                <w:highlight w:val="none"/>
              </w:rPr>
              <w:t>年1月1日以来</w:t>
            </w:r>
            <w:r>
              <w:rPr>
                <w:rFonts w:hint="eastAsia" w:ascii="宋体" w:hAnsi="宋体" w:cs="宋体"/>
                <w:bCs/>
                <w:color w:val="000000"/>
                <w:sz w:val="24"/>
                <w:szCs w:val="24"/>
                <w:highlight w:val="none"/>
                <w:lang w:val="en-US" w:eastAsia="zh-CN"/>
              </w:rPr>
              <w:t>完成类似项目</w:t>
            </w:r>
            <w:r>
              <w:rPr>
                <w:rFonts w:hint="eastAsia" w:ascii="宋体" w:hAnsi="宋体" w:cs="宋体"/>
                <w:bCs/>
                <w:color w:val="000000"/>
                <w:sz w:val="24"/>
                <w:szCs w:val="24"/>
                <w:highlight w:val="none"/>
              </w:rPr>
              <w:t>电梯</w:t>
            </w:r>
            <w:r>
              <w:rPr>
                <w:rFonts w:hint="eastAsia" w:ascii="宋体" w:hAnsi="宋体" w:cs="宋体"/>
                <w:bCs/>
                <w:color w:val="000000"/>
                <w:sz w:val="24"/>
                <w:szCs w:val="24"/>
                <w:highlight w:val="none"/>
                <w:lang w:val="en-US" w:eastAsia="zh-CN"/>
              </w:rPr>
              <w:t>采购安装</w:t>
            </w:r>
            <w:r>
              <w:rPr>
                <w:rFonts w:hint="eastAsia" w:ascii="宋体" w:hAnsi="宋体" w:cs="宋体"/>
                <w:bCs/>
                <w:color w:val="000000"/>
                <w:sz w:val="24"/>
                <w:szCs w:val="24"/>
                <w:highlight w:val="none"/>
              </w:rPr>
              <w:t>业绩（</w:t>
            </w:r>
            <w:r>
              <w:rPr>
                <w:rFonts w:hint="eastAsia" w:ascii="宋体" w:hAnsi="宋体" w:cs="宋体"/>
                <w:bCs/>
                <w:color w:val="000000"/>
                <w:sz w:val="24"/>
                <w:szCs w:val="24"/>
                <w:highlight w:val="none"/>
                <w:lang w:val="en-US" w:eastAsia="zh-CN"/>
              </w:rPr>
              <w:t>住宅类除外</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合同内容需包含电梯采购及安装</w:t>
            </w:r>
            <w:r>
              <w:rPr>
                <w:rFonts w:hint="eastAsia" w:ascii="宋体" w:hAnsi="宋体" w:cs="宋体"/>
                <w:bCs/>
                <w:color w:val="000000"/>
                <w:sz w:val="24"/>
                <w:szCs w:val="24"/>
                <w:highlight w:val="none"/>
                <w:lang w:val="en-US" w:eastAsia="zh-CN"/>
              </w:rPr>
              <w:t>相</w:t>
            </w:r>
            <w:r>
              <w:rPr>
                <w:rFonts w:hint="eastAsia" w:ascii="宋体" w:hAnsi="宋体" w:cs="宋体"/>
                <w:bCs/>
                <w:color w:val="000000"/>
                <w:sz w:val="24"/>
                <w:szCs w:val="24"/>
                <w:highlight w:val="none"/>
              </w:rPr>
              <w:t>关内容的，按合同计算，每提供一份合同</w:t>
            </w:r>
            <w:r>
              <w:rPr>
                <w:rFonts w:hint="eastAsia" w:ascii="宋体" w:hAnsi="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2</w:t>
            </w:r>
            <w:r>
              <w:rPr>
                <w:rFonts w:hint="eastAsia" w:ascii="宋体" w:hAnsi="宋体" w:cs="宋体"/>
                <w:b/>
                <w:bCs w:val="0"/>
                <w:color w:val="000000"/>
                <w:sz w:val="24"/>
                <w:szCs w:val="24"/>
                <w:highlight w:val="none"/>
              </w:rPr>
              <w:t>分</w:t>
            </w:r>
            <w:r>
              <w:rPr>
                <w:rFonts w:hint="eastAsia" w:ascii="宋体" w:hAnsi="宋体" w:cs="宋体"/>
                <w:bCs/>
                <w:color w:val="000000"/>
                <w:sz w:val="24"/>
                <w:szCs w:val="24"/>
                <w:highlight w:val="none"/>
              </w:rPr>
              <w:t>，最高</w:t>
            </w:r>
            <w:r>
              <w:rPr>
                <w:rFonts w:hint="eastAsia" w:ascii="宋体" w:hAnsi="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8</w:t>
            </w:r>
            <w:r>
              <w:rPr>
                <w:rFonts w:hint="eastAsia" w:ascii="宋体" w:hAnsi="宋体" w:cs="宋体"/>
                <w:b/>
                <w:bCs w:val="0"/>
                <w:color w:val="000000"/>
                <w:sz w:val="24"/>
                <w:szCs w:val="24"/>
                <w:highlight w:val="none"/>
              </w:rPr>
              <w:t>分</w:t>
            </w:r>
            <w:r>
              <w:rPr>
                <w:rFonts w:hint="eastAsia" w:ascii="宋体" w:hAnsi="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rPr>
              <w:t>注：时间以合同签订时间为准，证明材料提供合同文件、质检部门（市场监督部门）颁发的验收报告</w:t>
            </w:r>
            <w:r>
              <w:rPr>
                <w:rFonts w:hint="eastAsia" w:ascii="宋体" w:hAnsi="宋体" w:cs="宋体"/>
                <w:b/>
                <w:bCs w:val="0"/>
                <w:color w:val="000000"/>
                <w:sz w:val="24"/>
                <w:szCs w:val="24"/>
                <w:highlight w:val="none"/>
                <w:lang w:val="en-US" w:eastAsia="zh-CN"/>
              </w:rPr>
              <w:t>原件扫描件</w:t>
            </w:r>
            <w:r>
              <w:rPr>
                <w:rFonts w:hint="eastAsia" w:ascii="宋体" w:hAnsi="宋体" w:cs="宋体"/>
                <w:b/>
                <w:bCs w:val="0"/>
                <w:color w:val="000000"/>
                <w:sz w:val="24"/>
                <w:szCs w:val="24"/>
                <w:highlight w:val="none"/>
              </w:rPr>
              <w:t>上传电子投标文件。合同需反映相关信息，以上证明材料提供不全或未提供的不得分。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keepNext w:val="0"/>
              <w:keepLines w:val="0"/>
              <w:pageBreakBefore w:val="0"/>
              <w:widowControl/>
              <w:spacing w:line="360" w:lineRule="auto"/>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售后服务方案</w:t>
            </w:r>
          </w:p>
          <w:p>
            <w:pPr>
              <w:keepNext w:val="0"/>
              <w:keepLines w:val="0"/>
              <w:pageBreakBefore w:val="0"/>
              <w:widowControl/>
              <w:spacing w:line="360" w:lineRule="auto"/>
              <w:ind w:firstLine="0" w:firstLineChars="0"/>
              <w:jc w:val="center"/>
              <w:rPr>
                <w:rFonts w:hint="eastAsia" w:ascii="Times New Roman" w:hAnsi="Times New Roman" w:eastAsiaTheme="minorEastAsia" w:cstheme="minorBidi"/>
                <w:kern w:val="2"/>
                <w:sz w:val="24"/>
                <w:szCs w:val="24"/>
                <w:highlight w:val="none"/>
                <w:lang w:val="en-US" w:eastAsia="zh-CN" w:bidi="ar-SA"/>
              </w:rPr>
            </w:pPr>
            <w:r>
              <w:rPr>
                <w:rFonts w:hint="eastAsia" w:ascii="宋体" w:hAnsi="宋体" w:cs="宋体"/>
                <w:bCs/>
                <w:color w:val="000000"/>
                <w:sz w:val="24"/>
                <w:szCs w:val="24"/>
                <w:highlight w:val="none"/>
              </w:rPr>
              <w:t>（</w:t>
            </w:r>
            <w:r>
              <w:rPr>
                <w:rFonts w:hint="eastAsia" w:ascii="宋体" w:hAnsi="宋体" w:cs="宋体"/>
                <w:bCs/>
                <w:color w:val="000000"/>
                <w:sz w:val="24"/>
                <w:szCs w:val="24"/>
                <w:highlight w:val="none"/>
                <w:lang w:val="en-US" w:eastAsia="zh-CN"/>
              </w:rPr>
              <w:t>7</w:t>
            </w:r>
            <w:r>
              <w:rPr>
                <w:rFonts w:hint="eastAsia" w:ascii="宋体" w:hAnsi="宋体" w:cs="宋体"/>
                <w:bCs/>
                <w:color w:val="000000"/>
                <w:sz w:val="24"/>
                <w:szCs w:val="24"/>
                <w:highlight w:val="none"/>
              </w:rPr>
              <w:t>分）</w:t>
            </w:r>
          </w:p>
        </w:tc>
        <w:tc>
          <w:tcPr>
            <w:tcW w:w="6845" w:type="dxa"/>
            <w:shd w:val="clear" w:color="auto" w:fill="auto"/>
            <w:vAlign w:val="center"/>
          </w:tcPr>
          <w:p>
            <w:pPr>
              <w:keepNext w:val="0"/>
              <w:keepLines w:val="0"/>
              <w:pageBreakBefore w:val="0"/>
              <w:widowControl/>
              <w:spacing w:line="360" w:lineRule="auto"/>
              <w:ind w:firstLine="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投标人针对本项目提供售后服务方案，包括但不限于售后服务机构设置、售后服务人员配置、解决质量或操作问题的响应时间、形式、维修时间、地点、人员等内容：</w:t>
            </w:r>
          </w:p>
          <w:p>
            <w:pPr>
              <w:keepNext w:val="0"/>
              <w:keepLines w:val="0"/>
              <w:pageBreakBefore w:val="0"/>
              <w:widowControl/>
              <w:spacing w:line="360" w:lineRule="auto"/>
              <w:ind w:firstLine="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①内容详尽完善，售后服务机构和人员有保证，响应维修时间及时，切合售后服务需求，人员安排合理，可实施性强的</w:t>
            </w:r>
            <w:r>
              <w:rPr>
                <w:rFonts w:hint="eastAsia" w:ascii="宋体" w:hAnsi="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7</w:t>
            </w:r>
            <w:r>
              <w:rPr>
                <w:rFonts w:hint="eastAsia" w:ascii="宋体" w:hAnsi="宋体" w:cs="宋体"/>
                <w:b/>
                <w:bCs w:val="0"/>
                <w:color w:val="000000"/>
                <w:sz w:val="24"/>
                <w:szCs w:val="24"/>
                <w:highlight w:val="none"/>
              </w:rPr>
              <w:t>分</w:t>
            </w:r>
            <w:r>
              <w:rPr>
                <w:rFonts w:hint="eastAsia" w:ascii="宋体" w:hAnsi="宋体" w:cs="宋体"/>
                <w:bCs/>
                <w:color w:val="000000"/>
                <w:sz w:val="24"/>
                <w:szCs w:val="24"/>
                <w:highlight w:val="none"/>
              </w:rPr>
              <w:t>；</w:t>
            </w:r>
          </w:p>
          <w:p>
            <w:pPr>
              <w:keepNext w:val="0"/>
              <w:keepLines w:val="0"/>
              <w:pageBreakBefore w:val="0"/>
              <w:widowControl/>
              <w:spacing w:line="360" w:lineRule="auto"/>
              <w:ind w:firstLine="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②内容较详细全面，售后服务机构和人员较有保证，响应维修时间较及时，比较切合售后服务需求，人员安排较合理，可实施性较强的</w:t>
            </w:r>
            <w:r>
              <w:rPr>
                <w:rFonts w:hint="eastAsia" w:ascii="宋体" w:hAnsi="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5</w:t>
            </w:r>
            <w:r>
              <w:rPr>
                <w:rFonts w:hint="eastAsia" w:ascii="宋体" w:hAnsi="宋体" w:cs="宋体"/>
                <w:b/>
                <w:bCs w:val="0"/>
                <w:color w:val="000000"/>
                <w:sz w:val="24"/>
                <w:szCs w:val="24"/>
                <w:highlight w:val="none"/>
              </w:rPr>
              <w:t>分</w:t>
            </w:r>
            <w:r>
              <w:rPr>
                <w:rFonts w:hint="eastAsia" w:ascii="宋体" w:hAnsi="宋体" w:cs="宋体"/>
                <w:bCs/>
                <w:color w:val="000000"/>
                <w:sz w:val="24"/>
                <w:szCs w:val="24"/>
                <w:highlight w:val="none"/>
              </w:rPr>
              <w:t>；</w:t>
            </w:r>
          </w:p>
          <w:p>
            <w:pPr>
              <w:keepNext w:val="0"/>
              <w:keepLines w:val="0"/>
              <w:pageBreakBefore w:val="0"/>
              <w:widowControl/>
              <w:spacing w:line="360" w:lineRule="auto"/>
              <w:ind w:firstLine="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③方案内容一般，基本符合售后服务需求</w:t>
            </w:r>
            <w:r>
              <w:rPr>
                <w:rFonts w:hint="eastAsia" w:ascii="宋体" w:hAnsi="宋体" w:cs="宋体"/>
                <w:bCs/>
                <w:color w:val="000000"/>
                <w:sz w:val="24"/>
                <w:szCs w:val="24"/>
                <w:highlight w:val="none"/>
                <w:lang w:val="en-US" w:eastAsia="zh-CN"/>
              </w:rPr>
              <w:t>的</w:t>
            </w:r>
            <w:r>
              <w:rPr>
                <w:rFonts w:hint="eastAsia" w:ascii="宋体" w:hAnsi="宋体" w:cs="宋体"/>
                <w:b/>
                <w:bCs w:val="0"/>
                <w:color w:val="000000"/>
                <w:sz w:val="24"/>
                <w:szCs w:val="24"/>
                <w:highlight w:val="none"/>
                <w:lang w:val="en-US" w:eastAsia="zh-CN"/>
              </w:rPr>
              <w:t>得3</w:t>
            </w:r>
            <w:r>
              <w:rPr>
                <w:rFonts w:hint="eastAsia" w:ascii="宋体" w:hAnsi="宋体" w:cs="宋体"/>
                <w:b/>
                <w:bCs w:val="0"/>
                <w:color w:val="000000"/>
                <w:sz w:val="24"/>
                <w:szCs w:val="24"/>
                <w:highlight w:val="none"/>
              </w:rPr>
              <w:t>分</w:t>
            </w:r>
            <w:r>
              <w:rPr>
                <w:rFonts w:hint="eastAsia" w:ascii="宋体" w:hAnsi="宋体" w:cs="宋体"/>
                <w:bCs/>
                <w:color w:val="000000"/>
                <w:sz w:val="24"/>
                <w:szCs w:val="24"/>
                <w:highlight w:val="none"/>
              </w:rPr>
              <w:t>。</w:t>
            </w:r>
          </w:p>
          <w:p>
            <w:pPr>
              <w:pStyle w:val="44"/>
              <w:keepNext w:val="0"/>
              <w:keepLines w:val="0"/>
              <w:pageBreakBefore w:val="0"/>
              <w:spacing w:line="360" w:lineRule="auto"/>
              <w:ind w:firstLine="0"/>
              <w:rPr>
                <w:rFonts w:hint="eastAsia" w:hAnsi="宋体" w:cs="宋体"/>
                <w:bCs/>
                <w:color w:val="000000"/>
                <w:sz w:val="24"/>
                <w:szCs w:val="24"/>
                <w:highlight w:val="none"/>
              </w:rPr>
            </w:pPr>
            <w:r>
              <w:rPr>
                <w:rFonts w:hint="eastAsia" w:hAnsi="宋体" w:cs="宋体"/>
                <w:bCs/>
                <w:color w:val="000000"/>
                <w:sz w:val="24"/>
                <w:szCs w:val="24"/>
                <w:highlight w:val="none"/>
              </w:rPr>
              <w:t>④方案内容粗略，表述不明确的</w:t>
            </w:r>
            <w:r>
              <w:rPr>
                <w:rFonts w:hint="eastAsia" w:hAnsi="宋体" w:cs="宋体"/>
                <w:b/>
                <w:bCs w:val="0"/>
                <w:color w:val="000000"/>
                <w:sz w:val="24"/>
                <w:szCs w:val="24"/>
                <w:highlight w:val="none"/>
              </w:rPr>
              <w:t>得1分</w:t>
            </w:r>
            <w:r>
              <w:rPr>
                <w:rFonts w:hint="eastAsia" w:hAnsi="宋体" w:cs="宋体"/>
                <w:bCs/>
                <w:color w:val="000000"/>
                <w:sz w:val="24"/>
                <w:szCs w:val="24"/>
                <w:highlight w:val="none"/>
              </w:rPr>
              <w:t>。</w:t>
            </w:r>
          </w:p>
          <w:p>
            <w:pPr>
              <w:rPr>
                <w:lang w:val="en-US" w:eastAsia="zh-CN"/>
              </w:rPr>
            </w:pPr>
            <w:r>
              <w:rPr>
                <w:rFonts w:hint="eastAsia" w:ascii="宋体" w:hAnsi="宋体" w:eastAsia="宋体" w:cs="宋体"/>
                <w:b/>
                <w:color w:val="000000"/>
                <w:sz w:val="24"/>
                <w:szCs w:val="24"/>
                <w:highlight w:val="none"/>
              </w:rPr>
              <w:t>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keepNext w:val="0"/>
              <w:keepLines w:val="0"/>
              <w:pageBreakBefore w:val="0"/>
              <w:widowControl/>
              <w:spacing w:line="360" w:lineRule="auto"/>
              <w:ind w:firstLine="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供货计划及质量保证措施</w:t>
            </w:r>
          </w:p>
          <w:p>
            <w:pPr>
              <w:keepNext w:val="0"/>
              <w:keepLines w:val="0"/>
              <w:pageBreakBefore w:val="0"/>
              <w:widowControl/>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rPr>
              <w:t>（</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 xml:space="preserve"> 分）</w:t>
            </w:r>
          </w:p>
        </w:tc>
        <w:tc>
          <w:tcPr>
            <w:tcW w:w="6845" w:type="dxa"/>
            <w:shd w:val="clear" w:color="auto" w:fill="auto"/>
            <w:vAlign w:val="center"/>
          </w:tcPr>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zh-CN" w:eastAsia="zh-CN"/>
              </w:rPr>
              <w:t>投标人提供供货计划及质量保证措施</w:t>
            </w:r>
            <w:r>
              <w:rPr>
                <w:rFonts w:hint="eastAsia" w:ascii="宋体" w:hAnsi="宋体" w:eastAsia="宋体" w:cs="宋体"/>
                <w:bCs/>
                <w:color w:val="000000"/>
                <w:sz w:val="24"/>
                <w:szCs w:val="24"/>
                <w:highlight w:val="none"/>
                <w:lang w:eastAsia="zh-CN"/>
              </w:rPr>
              <w:t>方案</w:t>
            </w:r>
            <w:r>
              <w:rPr>
                <w:rFonts w:hint="eastAsia" w:ascii="宋体" w:hAnsi="宋体" w:eastAsia="宋体" w:cs="宋体"/>
                <w:bCs/>
                <w:color w:val="000000"/>
                <w:sz w:val="24"/>
                <w:szCs w:val="24"/>
                <w:highlight w:val="none"/>
                <w:lang w:val="zh-CN" w:eastAsia="zh-CN"/>
              </w:rPr>
              <w:t>，</w:t>
            </w:r>
            <w:r>
              <w:rPr>
                <w:rFonts w:hint="eastAsia" w:ascii="宋体" w:hAnsi="宋体" w:cs="宋体"/>
                <w:bCs/>
                <w:color w:val="000000"/>
                <w:sz w:val="24"/>
                <w:szCs w:val="24"/>
                <w:highlight w:val="none"/>
              </w:rPr>
              <w:t>包括但不限于</w:t>
            </w:r>
            <w:r>
              <w:rPr>
                <w:rFonts w:hint="eastAsia" w:ascii="宋体" w:hAnsi="宋体" w:eastAsia="宋体" w:cs="宋体"/>
                <w:bCs/>
                <w:color w:val="000000"/>
                <w:sz w:val="24"/>
                <w:szCs w:val="24"/>
                <w:highlight w:val="none"/>
                <w:lang w:eastAsia="zh-CN"/>
              </w:rPr>
              <w:t>进度计划安排、保障措施等。</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①进度计划安排非常科学、合理、完善可行，保障措施可以根据实际需求保证供货时间和质量的，</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rPr>
              <w:t>分</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②进度计划安排科学、合理、完善可行，保障措施有针对性、根据实际需求保证供货时间和质量，</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5</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③进度计划安排一般，基本能保证供货的时间和质量，具有一定的保证措施的，</w:t>
            </w:r>
            <w:r>
              <w:rPr>
                <w:rFonts w:hint="eastAsia" w:ascii="宋体" w:hAnsi="宋体" w:eastAsia="宋体" w:cs="宋体"/>
                <w:b/>
                <w:bCs w:val="0"/>
                <w:color w:val="000000"/>
                <w:sz w:val="24"/>
                <w:szCs w:val="24"/>
                <w:highlight w:val="none"/>
              </w:rPr>
              <w:t>得3分；</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④供货计划及质量保证措施内容粗略，表述不明确，</w:t>
            </w:r>
            <w:r>
              <w:rPr>
                <w:rFonts w:hint="eastAsia" w:ascii="宋体" w:hAnsi="宋体" w:eastAsia="宋体" w:cs="宋体"/>
                <w:b/>
                <w:bCs w:val="0"/>
                <w:color w:val="000000"/>
                <w:sz w:val="24"/>
                <w:szCs w:val="24"/>
                <w:highlight w:val="none"/>
              </w:rPr>
              <w:t>得1分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keepNext w:val="0"/>
              <w:keepLines w:val="0"/>
              <w:pageBreakBefore w:val="0"/>
              <w:spacing w:line="360" w:lineRule="auto"/>
              <w:ind w:firstLine="0"/>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拆除方案和安全保障措施方案</w:t>
            </w:r>
          </w:p>
          <w:p>
            <w:pPr>
              <w:keepNext w:val="0"/>
              <w:keepLines w:val="0"/>
              <w:pageBreakBefore w:val="0"/>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rPr>
              <w:t>（</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分）</w:t>
            </w:r>
          </w:p>
        </w:tc>
        <w:tc>
          <w:tcPr>
            <w:tcW w:w="6845" w:type="dxa"/>
            <w:shd w:val="clear" w:color="auto" w:fill="auto"/>
            <w:vAlign w:val="center"/>
          </w:tcPr>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投标人提供拆除方案和安全保障措施方案，</w:t>
            </w:r>
            <w:r>
              <w:rPr>
                <w:rFonts w:hint="eastAsia" w:ascii="宋体" w:hAnsi="宋体" w:cs="宋体"/>
                <w:bCs/>
                <w:color w:val="000000"/>
                <w:sz w:val="24"/>
                <w:szCs w:val="24"/>
                <w:highlight w:val="none"/>
              </w:rPr>
              <w:t>包括但不限于</w:t>
            </w:r>
            <w:r>
              <w:rPr>
                <w:rFonts w:hint="eastAsia" w:ascii="宋体" w:hAnsi="宋体" w:eastAsia="宋体" w:cs="宋体"/>
                <w:bCs/>
                <w:color w:val="000000"/>
                <w:sz w:val="24"/>
                <w:szCs w:val="24"/>
                <w:highlight w:val="none"/>
                <w:lang w:eastAsia="zh-CN"/>
              </w:rPr>
              <w:t>技术合理性及、现场条件的匹配度、风险预判、应急响应、环保措施等。</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①拆除方案内容详实非常可靠、应急响应措施非常有力、分险预判充分的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rPr>
              <w:t>分</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②拆除方案内容详实可靠、应急响应保证措施有力、分险预判充分的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5</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③拆除方案内容一般、应急响应保证措施一般、分险预判充分性一般的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④拆除方案内容粗略，表述不明确，</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1</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firstLineChars="0"/>
              <w:jc w:val="left"/>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
                <w:color w:val="000000"/>
                <w:sz w:val="24"/>
                <w:szCs w:val="24"/>
                <w:highlight w:val="none"/>
              </w:rPr>
              <w:t>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pPr>
              <w:keepNext w:val="0"/>
              <w:keepLines w:val="0"/>
              <w:pageBreakBefore w:val="0"/>
              <w:spacing w:line="360" w:lineRule="auto"/>
              <w:ind w:firstLine="0"/>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安装进度方案</w:t>
            </w:r>
          </w:p>
          <w:p>
            <w:pPr>
              <w:keepNext w:val="0"/>
              <w:keepLines w:val="0"/>
              <w:pageBreakBefore w:val="0"/>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000000"/>
                <w:sz w:val="24"/>
                <w:szCs w:val="24"/>
                <w:highlight w:val="none"/>
              </w:rPr>
              <w:t>（</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分）</w:t>
            </w:r>
          </w:p>
        </w:tc>
        <w:tc>
          <w:tcPr>
            <w:tcW w:w="6845" w:type="dxa"/>
            <w:shd w:val="clear" w:color="auto" w:fill="auto"/>
            <w:vAlign w:val="center"/>
          </w:tcPr>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投标人提供安装进度计划和各阶段进度的保证措施方案，</w:t>
            </w:r>
            <w:r>
              <w:rPr>
                <w:rFonts w:hint="eastAsia" w:ascii="宋体" w:hAnsi="宋体" w:cs="宋体"/>
                <w:bCs/>
                <w:color w:val="000000"/>
                <w:sz w:val="24"/>
                <w:szCs w:val="24"/>
                <w:highlight w:val="none"/>
              </w:rPr>
              <w:t>包括但不限于</w:t>
            </w:r>
            <w:r>
              <w:rPr>
                <w:rFonts w:hint="eastAsia" w:ascii="宋体" w:hAnsi="宋体" w:eastAsia="宋体" w:cs="宋体"/>
                <w:bCs/>
                <w:color w:val="000000"/>
                <w:sz w:val="24"/>
                <w:szCs w:val="24"/>
                <w:highlight w:val="none"/>
                <w:lang w:eastAsia="zh-CN"/>
              </w:rPr>
              <w:t>工序逻辑关系、人员安排、设备材料供应安排等。</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①</w:t>
            </w:r>
            <w:r>
              <w:rPr>
                <w:rFonts w:hint="eastAsia" w:ascii="宋体" w:hAnsi="宋体" w:eastAsia="宋体" w:cs="宋体"/>
                <w:bCs/>
                <w:color w:val="000000"/>
                <w:sz w:val="24"/>
                <w:szCs w:val="24"/>
                <w:highlight w:val="none"/>
                <w:lang w:eastAsia="zh-CN"/>
              </w:rPr>
              <w:t>工序逻辑</w:t>
            </w:r>
            <w:r>
              <w:rPr>
                <w:rFonts w:hint="eastAsia" w:ascii="宋体" w:hAnsi="宋体" w:eastAsia="宋体" w:cs="宋体"/>
                <w:bCs/>
                <w:color w:val="000000"/>
                <w:sz w:val="24"/>
                <w:szCs w:val="24"/>
                <w:highlight w:val="none"/>
              </w:rPr>
              <w:t>安装非常合理、</w:t>
            </w:r>
            <w:r>
              <w:rPr>
                <w:rFonts w:hint="eastAsia" w:ascii="宋体" w:hAnsi="宋体" w:eastAsia="宋体" w:cs="宋体"/>
                <w:bCs/>
                <w:color w:val="000000"/>
                <w:sz w:val="24"/>
                <w:szCs w:val="24"/>
                <w:highlight w:val="none"/>
                <w:lang w:eastAsia="zh-CN"/>
              </w:rPr>
              <w:t>设备材料供应保障</w:t>
            </w:r>
            <w:r>
              <w:rPr>
                <w:rFonts w:hint="eastAsia" w:ascii="宋体" w:hAnsi="宋体" w:eastAsia="宋体" w:cs="宋体"/>
                <w:bCs/>
                <w:color w:val="000000"/>
                <w:sz w:val="24"/>
                <w:szCs w:val="24"/>
                <w:highlight w:val="none"/>
              </w:rPr>
              <w:t>有力的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lang w:eastAsia="zh-CN"/>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szCs w:val="24"/>
                <w:highlight w:val="none"/>
                <w:lang w:eastAsia="zh-CN"/>
              </w:rPr>
              <w:t>工序逻辑</w:t>
            </w:r>
            <w:r>
              <w:rPr>
                <w:rFonts w:hint="eastAsia" w:ascii="宋体" w:hAnsi="宋体" w:eastAsia="宋体" w:cs="宋体"/>
                <w:bCs/>
                <w:color w:val="000000"/>
                <w:sz w:val="24"/>
                <w:szCs w:val="24"/>
                <w:highlight w:val="none"/>
              </w:rPr>
              <w:t>安装合理、</w:t>
            </w:r>
            <w:r>
              <w:rPr>
                <w:rFonts w:hint="eastAsia" w:ascii="宋体" w:hAnsi="宋体" w:eastAsia="宋体" w:cs="宋体"/>
                <w:bCs/>
                <w:color w:val="000000"/>
                <w:sz w:val="24"/>
                <w:szCs w:val="24"/>
                <w:highlight w:val="none"/>
                <w:lang w:eastAsia="zh-CN"/>
              </w:rPr>
              <w:t>设备材料供应保障</w:t>
            </w:r>
            <w:r>
              <w:rPr>
                <w:rFonts w:hint="eastAsia" w:ascii="宋体" w:hAnsi="宋体" w:eastAsia="宋体" w:cs="宋体"/>
                <w:bCs/>
                <w:color w:val="000000"/>
                <w:sz w:val="24"/>
                <w:szCs w:val="24"/>
                <w:highlight w:val="none"/>
              </w:rPr>
              <w:t>有力的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5</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w:t>
            </w:r>
            <w:r>
              <w:rPr>
                <w:rFonts w:hint="eastAsia" w:ascii="宋体" w:hAnsi="宋体" w:eastAsia="宋体" w:cs="宋体"/>
                <w:bCs/>
                <w:color w:val="000000"/>
                <w:sz w:val="24"/>
                <w:szCs w:val="24"/>
                <w:highlight w:val="none"/>
                <w:lang w:eastAsia="zh-CN"/>
              </w:rPr>
              <w:t>工序逻辑</w:t>
            </w:r>
            <w:r>
              <w:rPr>
                <w:rFonts w:hint="eastAsia" w:ascii="宋体" w:hAnsi="宋体" w:eastAsia="宋体" w:cs="宋体"/>
                <w:bCs/>
                <w:color w:val="000000"/>
                <w:sz w:val="24"/>
                <w:szCs w:val="24"/>
                <w:highlight w:val="none"/>
              </w:rPr>
              <w:t>安装一般、</w:t>
            </w:r>
            <w:r>
              <w:rPr>
                <w:rFonts w:hint="eastAsia" w:ascii="宋体" w:hAnsi="宋体" w:eastAsia="宋体" w:cs="宋体"/>
                <w:bCs/>
                <w:color w:val="000000"/>
                <w:sz w:val="24"/>
                <w:szCs w:val="24"/>
                <w:highlight w:val="none"/>
                <w:lang w:eastAsia="zh-CN"/>
              </w:rPr>
              <w:t>设备材料供应保障</w:t>
            </w:r>
            <w:r>
              <w:rPr>
                <w:rFonts w:hint="eastAsia" w:ascii="宋体" w:hAnsi="宋体" w:eastAsia="宋体" w:cs="宋体"/>
                <w:bCs/>
                <w:color w:val="000000"/>
                <w:sz w:val="24"/>
                <w:szCs w:val="24"/>
                <w:highlight w:val="none"/>
              </w:rPr>
              <w:t>一般的</w:t>
            </w:r>
            <w:r>
              <w:rPr>
                <w:rFonts w:hint="eastAsia" w:ascii="宋体" w:hAnsi="宋体" w:eastAsia="宋体" w:cs="宋体"/>
                <w:bCs/>
                <w:color w:val="000000"/>
                <w:sz w:val="24"/>
                <w:szCs w:val="24"/>
                <w:highlight w:val="none"/>
                <w:lang w:eastAsia="zh-CN"/>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④安装进度计划粗略，表述不明确</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w:t>
            </w:r>
            <w:r>
              <w:rPr>
                <w:rFonts w:hint="eastAsia" w:ascii="宋体" w:hAnsi="宋体" w:eastAsia="宋体" w:cs="宋体"/>
                <w:b/>
                <w:bCs w:val="0"/>
                <w:color w:val="000000"/>
                <w:sz w:val="24"/>
                <w:szCs w:val="24"/>
                <w:highlight w:val="none"/>
              </w:rPr>
              <w:t>得</w:t>
            </w:r>
            <w:r>
              <w:rPr>
                <w:rFonts w:hint="eastAsia" w:ascii="宋体" w:hAnsi="宋体" w:cs="宋体"/>
                <w:b/>
                <w:bCs w:val="0"/>
                <w:color w:val="000000"/>
                <w:sz w:val="24"/>
                <w:szCs w:val="24"/>
                <w:highlight w:val="none"/>
                <w:lang w:val="en-US" w:eastAsia="zh-CN"/>
              </w:rPr>
              <w:t>1</w:t>
            </w:r>
            <w:r>
              <w:rPr>
                <w:rFonts w:hint="eastAsia" w:ascii="宋体" w:hAnsi="宋体" w:eastAsia="宋体" w:cs="宋体"/>
                <w:b/>
                <w:bCs w:val="0"/>
                <w:color w:val="000000"/>
                <w:sz w:val="24"/>
                <w:szCs w:val="24"/>
                <w:highlight w:val="none"/>
              </w:rPr>
              <w:t>分</w:t>
            </w:r>
            <w:r>
              <w:rPr>
                <w:rFonts w:hint="eastAsia" w:ascii="宋体" w:hAnsi="宋体" w:eastAsia="宋体" w:cs="宋体"/>
                <w:bCs/>
                <w:color w:val="000000"/>
                <w:sz w:val="24"/>
                <w:szCs w:val="24"/>
                <w:highlight w:val="none"/>
              </w:rPr>
              <w:t>。</w:t>
            </w:r>
          </w:p>
          <w:p>
            <w:pPr>
              <w:keepNext w:val="0"/>
              <w:keepLines w:val="0"/>
              <w:pageBreakBefore w:val="0"/>
              <w:widowControl/>
              <w:spacing w:line="360" w:lineRule="auto"/>
              <w:ind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未见阐述不得分。</w:t>
            </w:r>
          </w:p>
        </w:tc>
      </w:tr>
    </w:tbl>
    <w:p>
      <w:pPr>
        <w:widowControl/>
        <w:jc w:val="left"/>
        <w:rPr>
          <w:sz w:val="24"/>
          <w:szCs w:val="24"/>
        </w:rPr>
      </w:pPr>
      <w:r>
        <w:rPr>
          <w:sz w:val="24"/>
          <w:szCs w:val="24"/>
          <w:highlight w:val="yellow"/>
        </w:rPr>
        <w:br w:type="page"/>
      </w:r>
    </w:p>
    <w:p>
      <w:pPr>
        <w:pStyle w:val="2"/>
        <w:spacing w:beforeLines="50" w:afterLines="50" w:line="360" w:lineRule="auto"/>
        <w:jc w:val="center"/>
        <w:rPr>
          <w:rFonts w:ascii="黑体" w:hAnsi="黑体" w:eastAsia="黑体"/>
          <w:b w:val="0"/>
        </w:rPr>
      </w:pPr>
      <w:bookmarkStart w:id="13" w:name="_Toc4513"/>
      <w:r>
        <w:rPr>
          <w:rFonts w:hint="eastAsia" w:ascii="黑体" w:hAnsi="黑体" w:eastAsia="黑体"/>
          <w:b w:val="0"/>
        </w:rPr>
        <w:t>第六章  响应文件格式</w:t>
      </w:r>
      <w:bookmarkEnd w:id="13"/>
    </w:p>
    <w:p>
      <w:pPr>
        <w:spacing w:line="500" w:lineRule="exact"/>
        <w:jc w:val="left"/>
        <w:rPr>
          <w:sz w:val="24"/>
          <w:szCs w:val="24"/>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响  应  文  件</w:t>
      </w: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供应商名称 ：</w:t>
      </w:r>
      <w:r>
        <w:rPr>
          <w:rFonts w:hint="eastAsia" w:ascii="宋体" w:hAnsi="宋体" w:eastAsia="宋体" w:cs="Times New Roman"/>
          <w:b/>
          <w:color w:val="000000"/>
          <w:kern w:val="0"/>
          <w:sz w:val="36"/>
          <w:szCs w:val="21"/>
          <w:u w:val="single"/>
        </w:rPr>
        <w:t>（加盖CA电子公章）</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pPr>
        <w:spacing w:line="440" w:lineRule="exact"/>
        <w:jc w:val="center"/>
        <w:rPr>
          <w:rFonts w:ascii="宋体" w:hAnsi="宋体" w:eastAsia="宋体" w:cs="Times New Roman"/>
          <w:b/>
          <w:bCs/>
          <w:color w:val="000000"/>
          <w:kern w:val="0"/>
          <w:sz w:val="32"/>
          <w:szCs w:val="32"/>
        </w:rPr>
      </w:pPr>
    </w:p>
    <w:p>
      <w:pPr>
        <w:spacing w:line="440" w:lineRule="exact"/>
        <w:rPr>
          <w:rFonts w:ascii="宋体" w:hAnsi="宋体" w:eastAsia="宋体" w:cs="Times New Roman"/>
          <w:color w:val="000000"/>
          <w:kern w:val="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r>
    </w:p>
    <w:p>
      <w:pPr>
        <w:keepNext/>
        <w:keepLines/>
        <w:spacing w:before="360" w:after="200" w:line="360" w:lineRule="auto"/>
        <w:jc w:val="left"/>
        <w:outlineLvl w:val="1"/>
        <w:rPr>
          <w:rFonts w:ascii="宋体" w:hAnsi="宋体" w:eastAsia="宋体" w:cs="宋体"/>
          <w:i/>
          <w:kern w:val="0"/>
          <w:sz w:val="36"/>
          <w:szCs w:val="36"/>
          <w:u w:val="single"/>
        </w:rPr>
      </w:pPr>
      <w:r>
        <w:rPr>
          <w:rFonts w:hint="eastAsia" w:ascii="宋体" w:hAnsi="宋体" w:eastAsia="宋体" w:cs="宋体"/>
          <w:i/>
          <w:kern w:val="0"/>
          <w:sz w:val="36"/>
          <w:szCs w:val="36"/>
          <w:u w:val="single"/>
        </w:rPr>
        <w:t>一、法人或者其他组织的营业执照等证明文件，自然人的身份证明</w:t>
      </w:r>
    </w:p>
    <w:p/>
    <w:p/>
    <w:p>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二、上一年度的财务状况报告</w:t>
      </w:r>
    </w:p>
    <w:p>
      <w:pPr>
        <w:spacing w:line="500" w:lineRule="exact"/>
        <w:ind w:firstLine="480" w:firstLineChars="200"/>
        <w:jc w:val="left"/>
        <w:rPr>
          <w:sz w:val="24"/>
          <w:szCs w:val="24"/>
        </w:rPr>
      </w:pPr>
      <w:r>
        <w:rPr>
          <w:rFonts w:hint="eastAsia"/>
          <w:sz w:val="24"/>
          <w:szCs w:val="24"/>
        </w:rPr>
        <w:t>（成立不满一年无需提供）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三、依法缴纳税收和社会保障资金的相关材料</w:t>
      </w:r>
    </w:p>
    <w:p>
      <w:pPr>
        <w:spacing w:line="500" w:lineRule="exact"/>
        <w:ind w:firstLine="480" w:firstLineChars="20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p/>
    <w:p>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pPr>
        <w:autoSpaceDE w:val="0"/>
        <w:autoSpaceDN w:val="0"/>
        <w:adjustRightInd w:val="0"/>
        <w:jc w:val="left"/>
        <w:rPr>
          <w:rFonts w:ascii="MS Mincho" w:hAnsi="Calibri" w:eastAsia="宋体" w:cs="Times New Roman"/>
          <w:color w:val="000000"/>
          <w:szCs w:val="24"/>
        </w:rPr>
      </w:pPr>
    </w:p>
    <w:p>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autoSpaceDE w:val="0"/>
        <w:autoSpaceDN w:val="0"/>
        <w:adjustRightInd w:val="0"/>
        <w:jc w:val="left"/>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供应商（盖章）：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jc w:val="left"/>
        <w:rPr>
          <w:rFonts w:ascii="MS Mincho" w:hAnsi="Calibri" w:eastAsia="宋体" w:cs="Times New Roman"/>
          <w:color w:val="000000"/>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pPr>
        <w:spacing w:line="360" w:lineRule="auto"/>
        <w:jc w:val="left"/>
        <w:rPr>
          <w:rFonts w:ascii="Times New Roman" w:hAnsi="Times New Roman" w:eastAsia="宋体" w:cs="Times New Roman"/>
          <w:color w:val="000000"/>
          <w:sz w:val="24"/>
          <w:szCs w:val="24"/>
        </w:rPr>
      </w:pPr>
    </w:p>
    <w:p>
      <w:pPr>
        <w:spacing w:line="360" w:lineRule="auto"/>
        <w:jc w:val="left"/>
        <w:rPr>
          <w:rFonts w:ascii="Times New Roman" w:hAnsi="Times New Roman" w:eastAsia="宋体" w:cs="Times New Roman"/>
          <w:color w:val="000000"/>
          <w:sz w:val="24"/>
          <w:szCs w:val="24"/>
        </w:rPr>
      </w:pP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六、法律、行政法规规定的其他条件的证明文件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七、落实政府采购政策需满足的资格要求的证明文件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八、特定资格要求的证明文件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九、授权委托书与法定代表人（单位负责人）身份证明</w:t>
      </w:r>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）响应文件和</w:t>
      </w:r>
      <w:r>
        <w:rPr>
          <w:rFonts w:ascii="Calibri" w:hAnsi="Calibri" w:eastAsia="宋体" w:cs="Times New Roman"/>
          <w:sz w:val="24"/>
          <w:szCs w:val="24"/>
        </w:rPr>
        <w:t>处理有关事宜，其法律后果由我方承担。</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供应商</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firstLineChars="200"/>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磋商文件</w:t>
      </w:r>
      <w:r>
        <w:rPr>
          <w:rFonts w:ascii="Calibri" w:hAnsi="Calibri" w:eastAsia="宋体" w:cs="Times New Roman"/>
          <w:sz w:val="24"/>
          <w:szCs w:val="24"/>
        </w:rPr>
        <w:t>注明允许分支机构参与</w:t>
      </w:r>
      <w:r>
        <w:rPr>
          <w:rFonts w:hint="eastAsia" w:ascii="Calibri" w:hAnsi="Calibri" w:eastAsia="宋体" w:cs="Times New Roman"/>
          <w:sz w:val="24"/>
          <w:szCs w:val="24"/>
        </w:rPr>
        <w:t>磋商</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响应文件</w:t>
      </w:r>
      <w:r>
        <w:rPr>
          <w:rFonts w:ascii="Calibri" w:hAnsi="Calibri" w:eastAsia="宋体" w:cs="Times New Roman"/>
          <w:sz w:val="24"/>
          <w:szCs w:val="24"/>
        </w:rPr>
        <w:t>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p/>
    <w:p>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pPr>
        <w:kinsoku w:val="0"/>
        <w:overflowPunct w:val="0"/>
        <w:spacing w:line="200" w:lineRule="exact"/>
        <w:rPr>
          <w:rFonts w:ascii="宋体" w:hAnsi="宋体" w:eastAsia="宋体" w:cs="Times New Roman"/>
          <w:sz w:val="20"/>
          <w:szCs w:val="20"/>
        </w:rPr>
      </w:pPr>
    </w:p>
    <w:p>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67"/>
        </w:tabs>
        <w:kinsoku w:val="0"/>
        <w:overflowPunct w:val="0"/>
        <w:spacing w:before="120" w:line="583" w:lineRule="auto"/>
        <w:ind w:right="4305"/>
        <w:rPr>
          <w:rFonts w:ascii="宋体" w:hAnsi="宋体" w:eastAsia="宋体" w:cs="Times New Roman"/>
          <w:spacing w:val="-3"/>
          <w:sz w:val="24"/>
          <w:szCs w:val="24"/>
        </w:rPr>
      </w:pP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供应商</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pPr>
        <w:autoSpaceDE w:val="0"/>
        <w:autoSpaceDN w:val="0"/>
        <w:adjustRightInd w:val="0"/>
        <w:snapToGrid w:val="0"/>
        <w:spacing w:line="360" w:lineRule="auto"/>
        <w:rPr>
          <w:rFonts w:ascii="Calibri" w:hAnsi="Calibri" w:eastAsia="宋体" w:cs="Times New Roman"/>
          <w:sz w:val="24"/>
          <w:szCs w:val="24"/>
        </w:rPr>
      </w:pPr>
    </w:p>
    <w:p>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snapToGrid w:val="0"/>
        <w:spacing w:line="360" w:lineRule="auto"/>
        <w:rPr>
          <w:rFonts w:ascii="Calibri" w:hAnsi="Calibri" w:eastAsia="宋体" w:cs="Times New Roman"/>
          <w:sz w:val="24"/>
          <w:szCs w:val="24"/>
        </w:rPr>
      </w:pPr>
    </w:p>
    <w:p/>
    <w:p>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rPr>
        <w:t>十、磋商响应函</w:t>
      </w:r>
    </w:p>
    <w:p>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磋商响应函</w:t>
      </w:r>
    </w:p>
    <w:p>
      <w:pPr>
        <w:spacing w:line="500" w:lineRule="exact"/>
        <w:jc w:val="left"/>
        <w:rPr>
          <w:rFonts w:hint="eastAsia" w:ascii="宋体" w:hAnsi="宋体" w:eastAsia="宋体" w:cs="Times New Roman"/>
          <w:color w:val="000000"/>
          <w:kern w:val="0"/>
          <w:sz w:val="24"/>
          <w:szCs w:val="21"/>
          <w:lang w:eastAsia="zh-CN"/>
        </w:rPr>
      </w:pPr>
      <w:r>
        <w:rPr>
          <w:rFonts w:hint="eastAsia" w:ascii="宋体" w:hAnsi="宋体" w:eastAsia="宋体" w:cs="Times New Roman"/>
          <w:color w:val="000000"/>
          <w:kern w:val="0"/>
          <w:sz w:val="24"/>
          <w:szCs w:val="21"/>
        </w:rPr>
        <w:t>致：</w:t>
      </w:r>
      <w:r>
        <w:rPr>
          <w:rFonts w:hint="eastAsia" w:ascii="宋体" w:hAnsi="宋体" w:eastAsia="宋体" w:cs="Times New Roman"/>
          <w:color w:val="000000"/>
          <w:kern w:val="0"/>
          <w:sz w:val="24"/>
          <w:szCs w:val="21"/>
          <w:lang w:eastAsia="zh-CN"/>
        </w:rPr>
        <w:t>东海县政府采购中心</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根据贵方的JSZC-_________________号磋商文件，正式授权下述签字人_________________(姓名)代表我方______________（供应商的名称），全权处理本次项目磋商采购的有关事宜。</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1.按磋商文件规定的各项要求，向买方提供所需货物（包含与货物相关的工程、服务）。</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2.我们完全理解贵方不一定将合同授予最低报价的供应商。</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3.我们已详细审核全部磋商文件及其有效补充文件，我们知道必须放弃提出含糊不清或误解问题的权利。</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4.我们同意从规定的开启日期起遵循本响应文件，并在规定的磋商有效期期满之前均具有约束力。</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.同意向贵方提供贵方可能另外要求的与磋商采购有关的任何证据或资料，并保证我方已提供和将要提供的文件是真实的、准确的。</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.一旦我方成交,我方将根据磋商文件的规定，严格履行合同的责任和义务,并保证在磋商文件规定的时间完成项目，交付买方验收、使用。</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.与本磋商有关的正式通讯地址为：</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供应商开户行：</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十一、中小企业声明函（货物）（分包号：**）</w:t>
      </w:r>
    </w:p>
    <w:p>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（单位名称）</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rPr>
        <w:t>1.</w:t>
      </w:r>
      <w:r>
        <w:rPr>
          <w:rFonts w:hint="eastAsia" w:ascii="宋体" w:hAnsi="宋体" w:eastAsia="宋体" w:cs="Times New Roman"/>
          <w:color w:val="000000"/>
          <w:kern w:val="0"/>
          <w:sz w:val="24"/>
          <w:szCs w:val="24"/>
          <w:u w:val="single"/>
        </w:rPr>
        <w:t>（标的名称）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rPr>
        <w:t>2.</w:t>
      </w:r>
      <w:r>
        <w:rPr>
          <w:rFonts w:hint="eastAsia" w:ascii="宋体" w:hAnsi="宋体" w:eastAsia="宋体" w:cs="Times New Roman"/>
          <w:color w:val="000000"/>
          <w:kern w:val="0"/>
          <w:sz w:val="24"/>
          <w:szCs w:val="24"/>
          <w:u w:val="single"/>
        </w:rPr>
        <w:t xml:space="preserve"> （标的名称）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pPr>
        <w:spacing w:line="560" w:lineRule="exact"/>
        <w:ind w:right="1620"/>
        <w:rPr>
          <w:rFonts w:ascii="宋体" w:hAnsi="宋体" w:eastAsia="宋体" w:cs="Times New Roman"/>
          <w:color w:val="000000"/>
          <w:kern w:val="0"/>
          <w:sz w:val="24"/>
          <w:szCs w:val="24"/>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3、成交供应商的《中小企业声明函》随成交结果公开，接受社会监督。</w:t>
      </w:r>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十二、残疾人福利性单位声明函（分包号：**）</w:t>
      </w:r>
    </w:p>
    <w:p>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）采购活动提供本单位制造的货物，或者提供其他残疾人福利性单位制造的货物（不包括使用非残疾人福利性单位注册商标的货物）。相关企业的具体情况如下：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 xml:space="preserve">，属于残疾人福利性单位； </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，属于残疾人福利性单位；</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w:t>
      </w:r>
    </w:p>
    <w:p>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pPr>
        <w:spacing w:line="500" w:lineRule="exact"/>
        <w:ind w:firstLine="480" w:firstLineChars="200"/>
        <w:rPr>
          <w:rFonts w:ascii="宋体" w:hAnsi="宋体" w:eastAsia="宋体" w:cs="Times New Roman"/>
          <w:color w:val="000000"/>
          <w:kern w:val="0"/>
          <w:sz w:val="24"/>
          <w:szCs w:val="21"/>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
    <w:p>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2、成交供应商的《残疾人福利性单位声明函》随成交结果公开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p/>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十三、联合体协议（参考格式）（分包号：**）</w:t>
      </w:r>
    </w:p>
    <w:p>
      <w:pPr>
        <w:tabs>
          <w:tab w:val="left" w:pos="360"/>
        </w:tabs>
        <w:spacing w:line="360" w:lineRule="auto"/>
        <w:jc w:val="center"/>
        <w:rPr>
          <w:rFonts w:ascii="宋体" w:hAnsi="宋体" w:eastAsia="宋体" w:cs="Times New Roman"/>
          <w:color w:val="000000"/>
          <w:kern w:val="0"/>
          <w:sz w:val="24"/>
          <w:szCs w:val="21"/>
          <w:u w:val="single"/>
        </w:rPr>
      </w:pPr>
      <w:r>
        <w:rPr>
          <w:rFonts w:hint="eastAsia" w:ascii="黑体" w:hAnsi="黑体" w:eastAsia="黑体" w:cs="宋体"/>
          <w:bCs/>
          <w:sz w:val="36"/>
          <w:szCs w:val="28"/>
        </w:rPr>
        <w:t>联合体协议</w:t>
      </w:r>
    </w:p>
    <w:p>
      <w:pPr>
        <w:spacing w:line="500" w:lineRule="exac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u w:val="single"/>
        </w:rPr>
        <w:t>（联合体中各供应商全称）</w:t>
      </w:r>
      <w:r>
        <w:rPr>
          <w:rFonts w:hint="eastAsia" w:ascii="宋体" w:hAnsi="宋体" w:eastAsia="宋体" w:cs="Times New Roman"/>
          <w:color w:val="000000"/>
          <w:kern w:val="0"/>
          <w:sz w:val="24"/>
          <w:szCs w:val="21"/>
        </w:rPr>
        <w:t>在此达成以下协议：</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1</w:t>
      </w:r>
      <w:r>
        <w:rPr>
          <w:rFonts w:hint="eastAsia" w:ascii="宋体" w:hAnsi="宋体" w:eastAsia="宋体" w:cs="Times New Roman"/>
          <w:color w:val="000000"/>
          <w:kern w:val="0"/>
          <w:sz w:val="24"/>
          <w:szCs w:val="21"/>
        </w:rPr>
        <w:t>、我们</w:t>
      </w:r>
      <w:r>
        <w:rPr>
          <w:rFonts w:hint="eastAsia" w:ascii="宋体" w:hAnsi="宋体" w:eastAsia="宋体" w:cs="Times New Roman"/>
          <w:color w:val="000000"/>
          <w:kern w:val="0"/>
          <w:sz w:val="24"/>
          <w:szCs w:val="21"/>
          <w:u w:val="single"/>
        </w:rPr>
        <w:t xml:space="preserve"> （供应商1），（供应商2） ，</w:t>
      </w:r>
      <w:r>
        <w:rPr>
          <w:rFonts w:ascii="宋体" w:hAnsi="宋体" w:eastAsia="宋体" w:cs="Times New Roman"/>
          <w:color w:val="000000"/>
          <w:kern w:val="0"/>
          <w:sz w:val="24"/>
          <w:szCs w:val="21"/>
          <w:u w:val="single"/>
        </w:rPr>
        <w:t>……</w:t>
      </w:r>
      <w:r>
        <w:rPr>
          <w:rFonts w:hint="eastAsia" w:ascii="宋体" w:hAnsi="宋体" w:eastAsia="宋体" w:cs="Times New Roman"/>
          <w:color w:val="000000"/>
          <w:kern w:val="0"/>
          <w:sz w:val="24"/>
          <w:szCs w:val="21"/>
        </w:rPr>
        <w:t>自愿组成联合体，参加</w:t>
      </w:r>
      <w:r>
        <w:rPr>
          <w:rFonts w:hint="eastAsia" w:ascii="宋体" w:hAnsi="宋体" w:eastAsia="宋体" w:cs="Times New Roman"/>
          <w:color w:val="000000"/>
          <w:kern w:val="0"/>
          <w:sz w:val="24"/>
          <w:szCs w:val="24"/>
          <w:lang w:eastAsia="zh-CN"/>
        </w:rPr>
        <w:t>东海县政府采购中心</w:t>
      </w:r>
      <w:r>
        <w:rPr>
          <w:rFonts w:hint="eastAsia" w:ascii="宋体" w:hAnsi="宋体" w:eastAsia="宋体" w:cs="Times New Roman"/>
          <w:color w:val="000000"/>
          <w:kern w:val="0"/>
          <w:sz w:val="24"/>
          <w:szCs w:val="21"/>
        </w:rPr>
        <w:t>组织的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1"/>
        </w:rPr>
        <w:t>的政府采购活动，我联合体指定</w:t>
      </w:r>
      <w:r>
        <w:rPr>
          <w:rFonts w:hint="eastAsia" w:ascii="宋体" w:hAnsi="宋体" w:eastAsia="宋体" w:cs="Times New Roman"/>
          <w:color w:val="000000"/>
          <w:kern w:val="0"/>
          <w:sz w:val="24"/>
          <w:szCs w:val="21"/>
          <w:u w:val="single"/>
        </w:rPr>
        <w:t>（供应商*）</w:t>
      </w:r>
      <w:r>
        <w:rPr>
          <w:rFonts w:hint="eastAsia" w:ascii="宋体" w:hAnsi="宋体" w:eastAsia="宋体" w:cs="Times New Roman"/>
          <w:color w:val="000000"/>
          <w:kern w:val="0"/>
          <w:sz w:val="24"/>
          <w:szCs w:val="21"/>
        </w:rPr>
        <w:t>为牵头单位（牵头单位必须为联合体成员）。</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2</w:t>
      </w:r>
      <w:r>
        <w:rPr>
          <w:rFonts w:hint="eastAsia" w:ascii="宋体" w:hAnsi="宋体" w:eastAsia="宋体" w:cs="Times New Roman"/>
          <w:color w:val="000000"/>
          <w:kern w:val="0"/>
          <w:sz w:val="24"/>
          <w:szCs w:val="21"/>
        </w:rPr>
        <w:t>、若我们联合中标、成交，</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1</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2</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部分工作，并承担相应的责任……。（注：联合体中各供应商都应明示所承担的工作和相应的责任）。</w:t>
      </w: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3</w:t>
      </w:r>
      <w:r>
        <w:rPr>
          <w:rFonts w:hint="eastAsia" w:ascii="宋体" w:hAnsi="宋体" w:eastAsia="宋体" w:cs="Times New Roman"/>
          <w:color w:val="000000"/>
          <w:kern w:val="0"/>
          <w:sz w:val="24"/>
          <w:szCs w:val="21"/>
        </w:rPr>
        <w:t>、其中</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（小型、微型企业/残疾人福利性单位/监狱企业全称）为</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rPr>
        <w:t>%</w:t>
      </w:r>
      <w:r>
        <w:rPr>
          <w:rFonts w:hint="eastAsia" w:ascii="宋体" w:hAnsi="宋体" w:eastAsia="宋体" w:cs="Times New Roman"/>
          <w:color w:val="000000"/>
          <w:kern w:val="0"/>
          <w:sz w:val="24"/>
          <w:szCs w:val="21"/>
        </w:rPr>
        <w:t>。（可选）</w:t>
      </w:r>
    </w:p>
    <w:p>
      <w:pPr>
        <w:spacing w:line="500" w:lineRule="exact"/>
        <w:ind w:firstLine="480" w:firstLineChars="200"/>
        <w:rPr>
          <w:rFonts w:ascii="宋体" w:hAnsi="宋体" w:eastAsia="宋体" w:cs="Times New Roman"/>
          <w:color w:val="000000"/>
          <w:kern w:val="0"/>
          <w:sz w:val="24"/>
          <w:szCs w:val="21"/>
        </w:rPr>
      </w:pPr>
    </w:p>
    <w:p>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 xml:space="preserve">                   </w:t>
      </w:r>
      <w:r>
        <w:rPr>
          <w:rFonts w:hint="eastAsia"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供应商1全称（公章）：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供应商2全称（公章）：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pPr>
        <w:spacing w:line="360" w:lineRule="auto"/>
        <w:ind w:firstLine="480" w:firstLineChars="200"/>
        <w:rPr>
          <w:rFonts w:ascii="宋体" w:hAnsi="宋体" w:eastAsia="宋体" w:cs="Times New Roman"/>
          <w:sz w:val="24"/>
          <w:szCs w:val="24"/>
        </w:rPr>
      </w:pPr>
    </w:p>
    <w:p>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w:t>
      </w:r>
    </w:p>
    <w:p>
      <w:pPr>
        <w:spacing w:line="500" w:lineRule="exact"/>
        <w:ind w:firstLine="480" w:firstLineChars="200"/>
        <w:rPr>
          <w:rFonts w:ascii="宋体" w:hAnsi="宋体" w:eastAsia="宋体" w:cs="Times New Roman"/>
          <w:sz w:val="24"/>
          <w:szCs w:val="24"/>
        </w:rPr>
      </w:pPr>
    </w:p>
    <w:p>
      <w:pPr>
        <w:spacing w:line="500" w:lineRule="exact"/>
        <w:ind w:firstLine="480" w:firstLineChars="200"/>
      </w:pPr>
      <w:r>
        <w:rPr>
          <w:rFonts w:hint="eastAsia" w:ascii="宋体" w:hAnsi="宋体" w:eastAsia="宋体" w:cs="Times New Roman"/>
          <w:color w:val="000000"/>
          <w:kern w:val="0"/>
          <w:sz w:val="24"/>
          <w:szCs w:val="21"/>
        </w:rPr>
        <w:t>备注：本磋商文件中要求加盖公章的内容，仅需加盖牵头单位的公章。</w:t>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十四、分项报价表（分包号：**）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分项报价表</w:t>
      </w:r>
    </w:p>
    <w:p>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序号</w:t>
            </w:r>
          </w:p>
        </w:tc>
        <w:tc>
          <w:tcPr>
            <w:tcW w:w="1204"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货物（标的）名称</w:t>
            </w:r>
          </w:p>
        </w:tc>
        <w:tc>
          <w:tcPr>
            <w:tcW w:w="663"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品牌</w:t>
            </w:r>
          </w:p>
        </w:tc>
        <w:tc>
          <w:tcPr>
            <w:tcW w:w="794"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规格型号</w:t>
            </w:r>
          </w:p>
        </w:tc>
        <w:tc>
          <w:tcPr>
            <w:tcW w:w="701"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w:t>
            </w:r>
          </w:p>
        </w:tc>
        <w:tc>
          <w:tcPr>
            <w:tcW w:w="1120" w:type="dxa"/>
            <w:gridSpan w:val="2"/>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制造商企业类型</w:t>
            </w:r>
          </w:p>
        </w:tc>
        <w:tc>
          <w:tcPr>
            <w:tcW w:w="701"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单价</w:t>
            </w:r>
          </w:p>
        </w:tc>
        <w:tc>
          <w:tcPr>
            <w:tcW w:w="701"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数量</w:t>
            </w:r>
          </w:p>
        </w:tc>
        <w:tc>
          <w:tcPr>
            <w:tcW w:w="1120"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计量单位</w:t>
            </w:r>
          </w:p>
        </w:tc>
        <w:tc>
          <w:tcPr>
            <w:tcW w:w="980"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单项合计价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1</w:t>
            </w:r>
          </w:p>
        </w:tc>
        <w:tc>
          <w:tcPr>
            <w:tcW w:w="1204" w:type="dxa"/>
            <w:noWrap/>
            <w:vAlign w:val="center"/>
          </w:tcPr>
          <w:p>
            <w:pPr>
              <w:widowControl/>
              <w:spacing w:line="360" w:lineRule="auto"/>
              <w:rPr>
                <w:rFonts w:ascii="Times New Roman" w:hAnsi="Times New Roman" w:eastAsia="宋体" w:cs="Times New Roman"/>
                <w:color w:val="000000"/>
                <w:kern w:val="0"/>
                <w:szCs w:val="24"/>
              </w:rPr>
            </w:pPr>
          </w:p>
        </w:tc>
        <w:tc>
          <w:tcPr>
            <w:tcW w:w="663" w:type="dxa"/>
            <w:noWrap/>
            <w:vAlign w:val="center"/>
          </w:tcPr>
          <w:p>
            <w:pPr>
              <w:widowControl/>
              <w:spacing w:line="360" w:lineRule="auto"/>
              <w:rPr>
                <w:rFonts w:ascii="Times New Roman" w:hAnsi="Times New Roman" w:eastAsia="宋体" w:cs="Times New Roman"/>
                <w:color w:val="000000"/>
                <w:kern w:val="0"/>
                <w:szCs w:val="24"/>
              </w:rPr>
            </w:pPr>
          </w:p>
        </w:tc>
        <w:tc>
          <w:tcPr>
            <w:tcW w:w="794" w:type="dxa"/>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1" w:type="dxa"/>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noWrap/>
            <w:vAlign w:val="center"/>
          </w:tcPr>
          <w:p>
            <w:pPr>
              <w:widowControl/>
              <w:spacing w:line="360" w:lineRule="auto"/>
              <w:rPr>
                <w:rFonts w:ascii="Times New Roman" w:hAnsi="Times New Roman" w:eastAsia="宋体" w:cs="Times New Roman"/>
                <w:color w:val="000000"/>
                <w:kern w:val="0"/>
                <w:szCs w:val="24"/>
              </w:rPr>
            </w:pPr>
          </w:p>
        </w:tc>
        <w:tc>
          <w:tcPr>
            <w:tcW w:w="980"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2</w:t>
            </w:r>
          </w:p>
        </w:tc>
        <w:tc>
          <w:tcPr>
            <w:tcW w:w="1204" w:type="dxa"/>
            <w:noWrap/>
            <w:vAlign w:val="center"/>
          </w:tcPr>
          <w:p>
            <w:pPr>
              <w:widowControl/>
              <w:spacing w:line="360" w:lineRule="auto"/>
              <w:rPr>
                <w:rFonts w:ascii="Times New Roman" w:hAnsi="Times New Roman" w:eastAsia="宋体" w:cs="Times New Roman"/>
                <w:color w:val="000000"/>
                <w:kern w:val="0"/>
                <w:szCs w:val="24"/>
              </w:rPr>
            </w:pPr>
          </w:p>
        </w:tc>
        <w:tc>
          <w:tcPr>
            <w:tcW w:w="663" w:type="dxa"/>
            <w:noWrap/>
            <w:vAlign w:val="center"/>
          </w:tcPr>
          <w:p>
            <w:pPr>
              <w:widowControl/>
              <w:spacing w:line="360" w:lineRule="auto"/>
              <w:rPr>
                <w:rFonts w:ascii="Times New Roman" w:hAnsi="Times New Roman" w:eastAsia="宋体" w:cs="Times New Roman"/>
                <w:color w:val="000000"/>
                <w:kern w:val="0"/>
                <w:szCs w:val="24"/>
              </w:rPr>
            </w:pPr>
          </w:p>
        </w:tc>
        <w:tc>
          <w:tcPr>
            <w:tcW w:w="794" w:type="dxa"/>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1" w:type="dxa"/>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noWrap/>
            <w:vAlign w:val="center"/>
          </w:tcPr>
          <w:p>
            <w:pPr>
              <w:widowControl/>
              <w:spacing w:line="360" w:lineRule="auto"/>
              <w:rPr>
                <w:rFonts w:ascii="Times New Roman" w:hAnsi="Times New Roman" w:eastAsia="宋体" w:cs="Times New Roman"/>
                <w:color w:val="000000"/>
                <w:kern w:val="0"/>
                <w:szCs w:val="24"/>
              </w:rPr>
            </w:pPr>
          </w:p>
        </w:tc>
        <w:tc>
          <w:tcPr>
            <w:tcW w:w="980"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3</w:t>
            </w:r>
          </w:p>
        </w:tc>
        <w:tc>
          <w:tcPr>
            <w:tcW w:w="1204" w:type="dxa"/>
            <w:noWrap/>
            <w:vAlign w:val="center"/>
          </w:tcPr>
          <w:p>
            <w:pPr>
              <w:widowControl/>
              <w:spacing w:line="360" w:lineRule="auto"/>
              <w:rPr>
                <w:rFonts w:ascii="Times New Roman" w:hAnsi="Times New Roman" w:eastAsia="宋体" w:cs="Times New Roman"/>
                <w:color w:val="000000"/>
                <w:kern w:val="0"/>
                <w:szCs w:val="24"/>
              </w:rPr>
            </w:pPr>
          </w:p>
        </w:tc>
        <w:tc>
          <w:tcPr>
            <w:tcW w:w="663" w:type="dxa"/>
            <w:noWrap/>
            <w:vAlign w:val="center"/>
          </w:tcPr>
          <w:p>
            <w:pPr>
              <w:widowControl/>
              <w:spacing w:line="360" w:lineRule="auto"/>
              <w:rPr>
                <w:rFonts w:ascii="Times New Roman" w:hAnsi="Times New Roman" w:eastAsia="宋体" w:cs="Times New Roman"/>
                <w:color w:val="000000"/>
                <w:kern w:val="0"/>
                <w:szCs w:val="24"/>
              </w:rPr>
            </w:pPr>
          </w:p>
        </w:tc>
        <w:tc>
          <w:tcPr>
            <w:tcW w:w="794" w:type="dxa"/>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1" w:type="dxa"/>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noWrap/>
            <w:vAlign w:val="center"/>
          </w:tcPr>
          <w:p>
            <w:pPr>
              <w:widowControl/>
              <w:spacing w:line="360" w:lineRule="auto"/>
              <w:rPr>
                <w:rFonts w:ascii="Times New Roman" w:hAnsi="Times New Roman" w:eastAsia="宋体" w:cs="Times New Roman"/>
                <w:color w:val="000000"/>
                <w:kern w:val="0"/>
                <w:szCs w:val="24"/>
              </w:rPr>
            </w:pPr>
          </w:p>
        </w:tc>
        <w:tc>
          <w:tcPr>
            <w:tcW w:w="980"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pPr>
              <w:widowControl/>
              <w:spacing w:line="360" w:lineRule="auto"/>
              <w:jc w:val="center"/>
              <w:rPr>
                <w:rFonts w:ascii="Times New Roman" w:hAnsi="Times New Roman" w:eastAsia="宋体" w:cs="Times New Roman"/>
                <w:color w:val="000000"/>
                <w:kern w:val="0"/>
                <w:szCs w:val="24"/>
              </w:rPr>
            </w:pPr>
            <w:r>
              <w:rPr>
                <w:rFonts w:ascii="Times New Roman" w:hAnsi="Times New Roman" w:eastAsia="宋体" w:cs="Times New Roman"/>
                <w:color w:val="000000"/>
                <w:kern w:val="0"/>
                <w:szCs w:val="24"/>
              </w:rPr>
              <w:t>…</w:t>
            </w:r>
          </w:p>
        </w:tc>
        <w:tc>
          <w:tcPr>
            <w:tcW w:w="1204" w:type="dxa"/>
            <w:noWrap/>
            <w:vAlign w:val="center"/>
          </w:tcPr>
          <w:p>
            <w:pPr>
              <w:widowControl/>
              <w:spacing w:line="360" w:lineRule="auto"/>
              <w:rPr>
                <w:rFonts w:ascii="Times New Roman" w:hAnsi="Times New Roman" w:eastAsia="宋体" w:cs="Times New Roman"/>
                <w:color w:val="000000"/>
                <w:kern w:val="0"/>
                <w:szCs w:val="24"/>
              </w:rPr>
            </w:pPr>
          </w:p>
        </w:tc>
        <w:tc>
          <w:tcPr>
            <w:tcW w:w="663" w:type="dxa"/>
            <w:noWrap/>
            <w:vAlign w:val="center"/>
          </w:tcPr>
          <w:p>
            <w:pPr>
              <w:widowControl/>
              <w:spacing w:line="360" w:lineRule="auto"/>
              <w:rPr>
                <w:rFonts w:ascii="Times New Roman" w:hAnsi="Times New Roman" w:eastAsia="宋体" w:cs="Times New Roman"/>
                <w:color w:val="000000"/>
                <w:kern w:val="0"/>
                <w:szCs w:val="24"/>
              </w:rPr>
            </w:pPr>
          </w:p>
        </w:tc>
        <w:tc>
          <w:tcPr>
            <w:tcW w:w="794" w:type="dxa"/>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701" w:type="dxa"/>
            <w:noWrap/>
            <w:vAlign w:val="center"/>
          </w:tcPr>
          <w:p>
            <w:pPr>
              <w:widowControl/>
              <w:spacing w:line="360" w:lineRule="auto"/>
              <w:rPr>
                <w:rFonts w:ascii="Times New Roman" w:hAnsi="Times New Roman" w:eastAsia="宋体" w:cs="Times New Roman"/>
                <w:color w:val="000000"/>
                <w:kern w:val="0"/>
                <w:szCs w:val="24"/>
              </w:rPr>
            </w:pPr>
          </w:p>
        </w:tc>
        <w:tc>
          <w:tcPr>
            <w:tcW w:w="1120" w:type="dxa"/>
            <w:noWrap/>
            <w:vAlign w:val="center"/>
          </w:tcPr>
          <w:p>
            <w:pPr>
              <w:widowControl/>
              <w:spacing w:line="360" w:lineRule="auto"/>
              <w:rPr>
                <w:rFonts w:ascii="Times New Roman" w:hAnsi="Times New Roman" w:eastAsia="宋体" w:cs="Times New Roman"/>
                <w:color w:val="000000"/>
                <w:kern w:val="0"/>
                <w:szCs w:val="24"/>
              </w:rPr>
            </w:pPr>
          </w:p>
        </w:tc>
        <w:tc>
          <w:tcPr>
            <w:tcW w:w="980"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总计（元）</w:t>
            </w:r>
          </w:p>
        </w:tc>
        <w:tc>
          <w:tcPr>
            <w:tcW w:w="4015" w:type="dxa"/>
            <w:gridSpan w:val="5"/>
            <w:vAlign w:val="center"/>
          </w:tcPr>
          <w:p>
            <w:pPr>
              <w:widowControl/>
              <w:spacing w:line="360" w:lineRule="auto"/>
              <w:rPr>
                <w:rFonts w:ascii="Times New Roman" w:hAnsi="Times New Roman" w:eastAsia="宋体" w:cs="Times New Roman"/>
                <w:color w:val="000000"/>
                <w:kern w:val="0"/>
                <w:szCs w:val="24"/>
              </w:rPr>
            </w:pPr>
          </w:p>
        </w:tc>
      </w:tr>
    </w:tbl>
    <w:p>
      <w:pPr>
        <w:spacing w:line="360" w:lineRule="auto"/>
        <w:ind w:firstLine="420" w:firstLineChars="200"/>
        <w:rPr>
          <w:rFonts w:ascii="Times New Roman" w:hAnsi="Times New Roman" w:eastAsia="宋体" w:cs="Times New Roman"/>
          <w:color w:val="000000"/>
          <w:szCs w:val="24"/>
        </w:rPr>
      </w:pP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供应商（盖章）：</w:t>
      </w: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pPr>
        <w:spacing w:line="500" w:lineRule="exact"/>
        <w:ind w:firstLine="480" w:firstLineChars="200"/>
        <w:rPr>
          <w:rFonts w:ascii="宋体" w:hAnsi="宋体" w:eastAsia="宋体" w:cs="Times New Roman"/>
          <w:color w:val="000000"/>
          <w:kern w:val="0"/>
          <w:sz w:val="24"/>
          <w:szCs w:val="24"/>
          <w:highlight w:val="yellow"/>
        </w:rPr>
      </w:pP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3、请供应商如实、正确填写本表，所填内容将作为评审的依据，其内容应与对应的证明资料相符。</w:t>
      </w:r>
    </w:p>
    <w:p>
      <w:pPr>
        <w:spacing w:line="500" w:lineRule="exact"/>
        <w:ind w:firstLine="420" w:firstLineChars="20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pPr>
        <w:spacing w:line="500" w:lineRule="exact"/>
        <w:ind w:firstLine="480" w:firstLineChars="200"/>
        <w:rPr>
          <w:rFonts w:ascii="宋体" w:hAnsi="宋体" w:eastAsia="宋体" w:cs="Times New Roman"/>
          <w:color w:val="000000"/>
          <w:kern w:val="0"/>
          <w:sz w:val="24"/>
          <w:szCs w:val="24"/>
          <w:highlight w:val="yellow"/>
        </w:rPr>
      </w:pPr>
    </w:p>
    <w:p>
      <w:pPr>
        <w:spacing w:line="500" w:lineRule="exact"/>
        <w:ind w:firstLine="480" w:firstLineChars="200"/>
      </w:pPr>
      <w:r>
        <w:rPr>
          <w:rFonts w:hint="eastAsia" w:ascii="宋体" w:hAnsi="宋体" w:eastAsia="宋体" w:cs="Times New Roman"/>
          <w:color w:val="000000"/>
          <w:kern w:val="0"/>
          <w:sz w:val="24"/>
          <w:szCs w:val="24"/>
          <w:highlight w:val="yellow"/>
        </w:rPr>
        <w:t>（备注：该表仅适用于项目采用货币报价的情形。项目采用折扣率报价的，如需要填写分项报价表，请项目经办人自行设计表格。磋商文件定稿后该备注删除。）</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十五、技术要求响应及偏离表（分包号：**）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spacing w:line="480" w:lineRule="auto"/>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项目名称：东海县自然资源和规划局机关办公楼电梯采购更换项目</w:t>
      </w:r>
    </w:p>
    <w:p>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项目编号：      分包号：</w:t>
      </w:r>
      <w:r>
        <w:rPr>
          <w:rFonts w:ascii="宋体" w:hAnsi="宋体" w:eastAsia="宋体" w:cs="Times New Roman"/>
          <w:bCs/>
          <w:color w:val="000000"/>
          <w:sz w:val="24"/>
          <w:szCs w:val="24"/>
        </w:rPr>
        <w:t xml:space="preserve"> </w:t>
      </w:r>
    </w:p>
    <w:tbl>
      <w:tblPr>
        <w:tblStyle w:val="17"/>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4601"/>
        <w:gridCol w:w="1696"/>
        <w:gridCol w:w="16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460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磋商文件要求</w:t>
            </w:r>
          </w:p>
        </w:tc>
        <w:tc>
          <w:tcPr>
            <w:tcW w:w="1696"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响应情况</w:t>
            </w:r>
          </w:p>
        </w:tc>
        <w:tc>
          <w:tcPr>
            <w:tcW w:w="1694"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额定速度：≥1.5m/s</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额定载重：≥1050kg</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轿门、前壁、侧前壁、侧后壁、后左壁、后右壁：304发纹不锈钢，厚度1.5mm（不锈钢板材为电梯制造商原厂标配部件，采用304不锈钢整体折弯成型，不得采用复合贴面板材）</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eastAsia="zh-CN"/>
              </w:rPr>
            </w:pPr>
            <w:r>
              <w:rPr>
                <w:rFonts w:hint="eastAsia" w:ascii="宋体" w:hAnsi="宋体" w:eastAsia="宋体" w:cs="Times New Roman"/>
                <w:color w:val="000000"/>
                <w:kern w:val="0"/>
                <w:sz w:val="24"/>
                <w:szCs w:val="24"/>
                <w:lang w:val="en-US" w:eastAsia="zh-CN"/>
              </w:rPr>
              <w:t>4</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侧中壁、后中壁：304压纹不锈钢，厚度1.5mm（不锈钢板材为电梯制造商原厂标配部件，采用304不锈钢整体折弯成型，不得采用复合贴面板材）</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5</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15寸多媒体液晶_设置于主操纵箱</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6</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残疾人操纵箱_</w:t>
            </w:r>
            <w:r>
              <w:rPr>
                <w:rFonts w:hint="eastAsia" w:ascii="Calibri" w:hAnsi="Calibri" w:eastAsia="等线" w:cs="Calibri"/>
                <w:i w:val="0"/>
                <w:iCs w:val="0"/>
                <w:color w:val="000000"/>
                <w:kern w:val="0"/>
                <w:sz w:val="22"/>
                <w:szCs w:val="22"/>
                <w:u w:val="none"/>
                <w:lang w:val="en-US" w:eastAsia="zh-CN" w:bidi="ar"/>
              </w:rPr>
              <w:t>304</w:t>
            </w:r>
            <w:r>
              <w:rPr>
                <w:rFonts w:hint="default" w:ascii="Calibri" w:hAnsi="Calibri" w:eastAsia="等线" w:cs="Calibri"/>
                <w:i w:val="0"/>
                <w:iCs w:val="0"/>
                <w:color w:val="000000"/>
                <w:kern w:val="0"/>
                <w:sz w:val="22"/>
                <w:szCs w:val="22"/>
                <w:u w:val="none"/>
                <w:lang w:val="en-US" w:eastAsia="zh-CN" w:bidi="ar"/>
              </w:rPr>
              <w:t>发纹不锈钢</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7</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轿厢地板：拼花大理石地板（投标人提供三种样式供招标人选定，原厂产品，造价包含在报价内）</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8</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全集选控制运行功能</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9</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并联控制功能（独立外呼）</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10</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消防员专用功能1层</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11</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轿内报站钟功能</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12</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停电自动平层功能</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13</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五方通话功能（需接入96333平台）</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14</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智能光幕保护功能</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15</w:t>
            </w:r>
          </w:p>
        </w:tc>
        <w:tc>
          <w:tcPr>
            <w:tcW w:w="4601" w:type="dxa"/>
            <w:shd w:val="clear" w:color="auto" w:fill="auto"/>
            <w:vAlign w:val="center"/>
          </w:tcPr>
          <w:p>
            <w:pPr>
              <w:keepNext w:val="0"/>
              <w:keepLines w:val="0"/>
              <w:widowControl/>
              <w:suppressLineNumbers w:val="0"/>
              <w:jc w:val="left"/>
              <w:textAlignment w:val="center"/>
              <w:rPr>
                <w:rFonts w:hint="default" w:ascii="Calibri" w:hAnsi="Calibri" w:eastAsia="等线" w:cs="Calibri"/>
                <w:i w:val="0"/>
                <w:iCs w:val="0"/>
                <w:color w:val="000000"/>
                <w:kern w:val="2"/>
                <w:sz w:val="22"/>
                <w:szCs w:val="22"/>
                <w:u w:val="none"/>
                <w:lang w:val="en-US" w:eastAsia="zh-CN" w:bidi="ar-SA"/>
              </w:rPr>
            </w:pPr>
            <w:r>
              <w:rPr>
                <w:rFonts w:hint="default" w:ascii="Calibri" w:hAnsi="Calibri" w:eastAsia="等线" w:cs="Calibri"/>
                <w:i w:val="0"/>
                <w:iCs w:val="0"/>
                <w:color w:val="000000"/>
                <w:kern w:val="0"/>
                <w:sz w:val="22"/>
                <w:szCs w:val="22"/>
                <w:u w:val="none"/>
                <w:lang w:val="en-US" w:eastAsia="zh-CN" w:bidi="ar"/>
              </w:rPr>
              <w:t>①轿厢反绳轮②对重反绳轮、③层门装置的导向轮④底坑涨紧轮⑤轿厢及对重缓冲器等使用耐磨耐用的金属材质</w:t>
            </w:r>
          </w:p>
        </w:tc>
        <w:tc>
          <w:tcPr>
            <w:tcW w:w="1696" w:type="dxa"/>
            <w:vAlign w:val="center"/>
          </w:tcPr>
          <w:p>
            <w:pPr>
              <w:jc w:val="center"/>
              <w:rPr>
                <w:rFonts w:ascii="宋体" w:hAnsi="宋体" w:eastAsia="宋体" w:cs="Times New Roman"/>
                <w:color w:val="000000"/>
                <w:kern w:val="0"/>
                <w:sz w:val="24"/>
                <w:szCs w:val="24"/>
              </w:rPr>
            </w:pPr>
          </w:p>
        </w:tc>
        <w:tc>
          <w:tcPr>
            <w:tcW w:w="1694"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hint="default" w:ascii="宋体" w:hAnsi="宋体" w:eastAsia="宋体" w:cs="Times New Roman"/>
          <w:color w:val="000000"/>
          <w:kern w:val="0"/>
          <w:sz w:val="24"/>
          <w:szCs w:val="24"/>
          <w:lang w:val="en-US" w:eastAsia="zh-CN"/>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i/>
          <w:iCs/>
          <w:kern w:val="0"/>
          <w:sz w:val="36"/>
          <w:u w:val="single"/>
        </w:rPr>
      </w:pPr>
      <w:bookmarkStart w:id="14" w:name="_Hlt26955054"/>
      <w:bookmarkEnd w:id="14"/>
      <w:r>
        <w:rPr>
          <w:rFonts w:hint="eastAsia" w:ascii="Arial" w:hAnsi="Arial" w:eastAsia="宋体" w:cs="Arial"/>
          <w:i/>
          <w:iCs/>
          <w:kern w:val="0"/>
          <w:sz w:val="36"/>
          <w:u w:val="single"/>
        </w:rPr>
        <w:t>十六、商务要求响应及偏离表（分包号：**）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pPr>
              <w:jc w:val="center"/>
              <w:rPr>
                <w:rFonts w:ascii="宋体" w:hAnsi="宋体" w:eastAsia="宋体" w:cs="Times New Roman"/>
                <w:color w:val="000000"/>
                <w:kern w:val="0"/>
                <w:sz w:val="24"/>
                <w:szCs w:val="24"/>
              </w:rPr>
            </w:pPr>
            <w:bookmarkStart w:id="15" w:name="_Hlt26609391"/>
            <w:bookmarkEnd w:id="15"/>
            <w:bookmarkStart w:id="16" w:name="_Hlt24879081"/>
            <w:bookmarkEnd w:id="16"/>
            <w:bookmarkStart w:id="17" w:name="_Hlt26580838"/>
            <w:bookmarkEnd w:id="17"/>
            <w:bookmarkStart w:id="18" w:name="_Hlt26671343"/>
            <w:bookmarkEnd w:id="18"/>
            <w:bookmarkStart w:id="19" w:name="_Hlt26671372"/>
            <w:bookmarkEnd w:id="19"/>
            <w:bookmarkStart w:id="20" w:name="_Hlt26782999"/>
            <w:bookmarkEnd w:id="20"/>
            <w:bookmarkStart w:id="21" w:name="_Hlt26955056"/>
            <w:bookmarkEnd w:id="21"/>
            <w:bookmarkStart w:id="22" w:name="_Hlt26955064"/>
            <w:bookmarkEnd w:id="22"/>
            <w:r>
              <w:rPr>
                <w:rFonts w:hint="eastAsia" w:ascii="宋体" w:hAnsi="宋体" w:eastAsia="宋体" w:cs="Times New Roman"/>
                <w:color w:val="000000"/>
                <w:kern w:val="0"/>
                <w:sz w:val="24"/>
                <w:szCs w:val="24"/>
              </w:rPr>
              <w:t>序号</w:t>
            </w:r>
          </w:p>
        </w:tc>
        <w:tc>
          <w:tcPr>
            <w:tcW w:w="3263"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磋商文件要求</w:t>
            </w:r>
          </w:p>
        </w:tc>
        <w:tc>
          <w:tcPr>
            <w:tcW w:w="3034"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响应情况</w:t>
            </w:r>
          </w:p>
        </w:tc>
        <w:tc>
          <w:tcPr>
            <w:tcW w:w="139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Pr>
        <w:spacing w:line="500" w:lineRule="exact"/>
        <w:rPr>
          <w:rFonts w:ascii="Times New Roman" w:hAnsi="Times New Roman" w:eastAsia="宋体" w:cs="Times New Roman"/>
          <w:color w:val="000000"/>
          <w:sz w:val="24"/>
          <w:szCs w:val="24"/>
        </w:rPr>
      </w:pPr>
    </w:p>
    <w:p/>
    <w:p>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十七、类似项目业绩一览表（分包号：**）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kern w:val="0"/>
                <w:sz w:val="24"/>
                <w:szCs w:val="24"/>
              </w:rPr>
            </w:pPr>
          </w:p>
        </w:tc>
        <w:tc>
          <w:tcPr>
            <w:tcW w:w="2686" w:type="dxa"/>
            <w:vAlign w:val="center"/>
          </w:tcPr>
          <w:p>
            <w:pPr>
              <w:jc w:val="center"/>
              <w:rPr>
                <w:rFonts w:ascii="宋体" w:hAnsi="宋体" w:eastAsia="宋体" w:cs="Times New Roman"/>
                <w:color w:val="000000"/>
                <w:kern w:val="0"/>
                <w:sz w:val="24"/>
                <w:szCs w:val="24"/>
              </w:rPr>
            </w:pPr>
          </w:p>
        </w:tc>
        <w:tc>
          <w:tcPr>
            <w:tcW w:w="1850" w:type="dxa"/>
          </w:tcPr>
          <w:p>
            <w:pPr>
              <w:jc w:val="center"/>
              <w:rPr>
                <w:rFonts w:ascii="宋体" w:hAnsi="宋体" w:eastAsia="宋体" w:cs="Times New Roman"/>
                <w:color w:val="000000"/>
                <w:kern w:val="0"/>
                <w:sz w:val="24"/>
                <w:szCs w:val="24"/>
              </w:rPr>
            </w:pPr>
          </w:p>
        </w:tc>
        <w:tc>
          <w:tcPr>
            <w:tcW w:w="1985" w:type="dxa"/>
            <w:vAlign w:val="center"/>
          </w:tcPr>
          <w:p>
            <w:pPr>
              <w:jc w:val="center"/>
              <w:rPr>
                <w:rFonts w:ascii="宋体" w:hAnsi="宋体" w:eastAsia="宋体" w:cs="Times New Roman"/>
                <w:color w:val="000000"/>
                <w:kern w:val="0"/>
                <w:sz w:val="24"/>
                <w:szCs w:val="24"/>
              </w:rPr>
            </w:pPr>
          </w:p>
        </w:tc>
        <w:tc>
          <w:tcPr>
            <w:tcW w:w="1309"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bookmarkStart w:id="23" w:name="_GoBack"/>
      <w:bookmarkEnd w:id="23"/>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十八、项目团队人员一览表（分包号：**）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学历</w:t>
            </w:r>
          </w:p>
        </w:tc>
        <w:tc>
          <w:tcPr>
            <w:tcW w:w="1134" w:type="dxa"/>
            <w:vAlign w:val="center"/>
          </w:tcPr>
          <w:p>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年龄</w:t>
            </w:r>
          </w:p>
        </w:tc>
        <w:tc>
          <w:tcPr>
            <w:tcW w:w="160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根据项目需求、评分办法确定一览表格式</w:t>
            </w:r>
          </w:p>
        </w:tc>
        <w:tc>
          <w:tcPr>
            <w:tcW w:w="1134"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根据项目需求、评分办法确定一览表格式</w:t>
            </w:r>
          </w:p>
        </w:tc>
        <w:tc>
          <w:tcPr>
            <w:tcW w:w="160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p>
        </w:tc>
        <w:tc>
          <w:tcPr>
            <w:tcW w:w="1134" w:type="dxa"/>
            <w:vAlign w:val="center"/>
          </w:tcPr>
          <w:p>
            <w:pPr>
              <w:jc w:val="center"/>
              <w:rPr>
                <w:rFonts w:ascii="宋体" w:hAnsi="宋体" w:eastAsia="宋体" w:cs="Times New Roman"/>
                <w:color w:val="000000"/>
                <w:kern w:val="0"/>
                <w:sz w:val="24"/>
                <w:szCs w:val="24"/>
              </w:rPr>
            </w:pPr>
          </w:p>
        </w:tc>
        <w:tc>
          <w:tcPr>
            <w:tcW w:w="160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kern w:val="0"/>
                <w:sz w:val="24"/>
                <w:szCs w:val="24"/>
              </w:rPr>
            </w:pPr>
          </w:p>
        </w:tc>
        <w:tc>
          <w:tcPr>
            <w:tcW w:w="1446" w:type="dxa"/>
            <w:vAlign w:val="center"/>
          </w:tcPr>
          <w:p>
            <w:pPr>
              <w:jc w:val="center"/>
              <w:rPr>
                <w:rFonts w:ascii="宋体" w:hAnsi="宋体" w:eastAsia="宋体" w:cs="Times New Roman"/>
                <w:color w:val="000000"/>
                <w:kern w:val="0"/>
                <w:sz w:val="24"/>
                <w:szCs w:val="24"/>
              </w:rPr>
            </w:pPr>
          </w:p>
        </w:tc>
        <w:tc>
          <w:tcPr>
            <w:tcW w:w="2239" w:type="dxa"/>
          </w:tcPr>
          <w:p>
            <w:pPr>
              <w:jc w:val="center"/>
              <w:rPr>
                <w:rFonts w:ascii="宋体" w:hAnsi="宋体" w:eastAsia="宋体" w:cs="Times New Roman"/>
                <w:color w:val="000000"/>
                <w:kern w:val="0"/>
                <w:sz w:val="24"/>
                <w:szCs w:val="24"/>
              </w:rPr>
            </w:pPr>
          </w:p>
        </w:tc>
        <w:tc>
          <w:tcPr>
            <w:tcW w:w="1134" w:type="dxa"/>
          </w:tcPr>
          <w:p>
            <w:pPr>
              <w:jc w:val="center"/>
              <w:rPr>
                <w:rFonts w:ascii="宋体" w:hAnsi="宋体" w:eastAsia="宋体" w:cs="Times New Roman"/>
                <w:color w:val="000000"/>
                <w:kern w:val="0"/>
                <w:sz w:val="24"/>
                <w:szCs w:val="24"/>
              </w:rPr>
            </w:pPr>
          </w:p>
        </w:tc>
        <w:tc>
          <w:tcPr>
            <w:tcW w:w="1134" w:type="dxa"/>
            <w:vAlign w:val="center"/>
          </w:tcPr>
          <w:p>
            <w:pPr>
              <w:jc w:val="center"/>
              <w:rPr>
                <w:rFonts w:ascii="宋体" w:hAnsi="宋体" w:eastAsia="宋体" w:cs="Times New Roman"/>
                <w:color w:val="000000"/>
                <w:kern w:val="0"/>
                <w:sz w:val="24"/>
                <w:szCs w:val="24"/>
              </w:rPr>
            </w:pPr>
          </w:p>
        </w:tc>
        <w:tc>
          <w:tcPr>
            <w:tcW w:w="1601"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Pr>
        <w:widowControl/>
        <w:jc w:val="left"/>
        <w:rPr>
          <w:rFonts w:ascii="黑体" w:hAnsi="黑体" w:eastAsia="黑体" w:cs="仿宋"/>
          <w:bCs/>
          <w:color w:val="000000"/>
          <w:kern w:val="0"/>
          <w:sz w:val="40"/>
          <w:szCs w:val="32"/>
        </w:rPr>
      </w:pPr>
      <w:r>
        <w:rPr>
          <w:rFonts w:ascii="黑体" w:hAnsi="黑体" w:eastAsia="黑体" w:cs="仿宋"/>
          <w:bCs/>
          <w:color w:val="000000"/>
          <w:kern w:val="0"/>
          <w:sz w:val="40"/>
          <w:szCs w:val="32"/>
        </w:rPr>
        <w:br w:type="page"/>
      </w:r>
    </w:p>
    <w:p>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pPr>
        <w:widowControl/>
        <w:spacing w:line="500" w:lineRule="exact"/>
        <w:ind w:firstLine="480"/>
        <w:jc w:val="left"/>
        <w:rPr>
          <w:sz w:val="24"/>
          <w:szCs w:val="24"/>
        </w:rPr>
      </w:pPr>
      <w:r>
        <w:rPr>
          <w:rFonts w:hint="eastAsia" w:ascii="宋体" w:hAnsi="宋体" w:eastAsia="宋体" w:cs="Times New Roman"/>
          <w:b/>
          <w:color w:val="FF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方正仿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13"/>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3B55F59"/>
    <w:multiLevelType w:val="singleLevel"/>
    <w:tmpl w:val="F3B55F59"/>
    <w:lvl w:ilvl="0" w:tentative="0">
      <w:start w:val="1"/>
      <w:numFmt w:val="decimal"/>
      <w:suff w:val="nothing"/>
      <w:lvlText w:val="%1、"/>
      <w:lvlJc w:val="left"/>
    </w:lvl>
  </w:abstractNum>
  <w:abstractNum w:abstractNumId="5">
    <w:nsid w:val="7A0F6431"/>
    <w:multiLevelType w:val="singleLevel"/>
    <w:tmpl w:val="7A0F6431"/>
    <w:lvl w:ilvl="0" w:tentative="0">
      <w:start w:val="1"/>
      <w:numFmt w:val="decimal"/>
      <w:suff w:val="space"/>
      <w:lvlText w:val="%1."/>
      <w:lvlJc w:val="left"/>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MzA4Y2NlYmU0NWIzNWIxYTE2ZWQ3NWFhM2M0OTUifQ=="/>
  </w:docVars>
  <w:rsids>
    <w:rsidRoot w:val="00650ECF"/>
    <w:rsid w:val="00020927"/>
    <w:rsid w:val="00020FD1"/>
    <w:rsid w:val="000211B8"/>
    <w:rsid w:val="00021B04"/>
    <w:rsid w:val="00031567"/>
    <w:rsid w:val="00034494"/>
    <w:rsid w:val="000431DE"/>
    <w:rsid w:val="00057588"/>
    <w:rsid w:val="00070AAE"/>
    <w:rsid w:val="000716E2"/>
    <w:rsid w:val="00073803"/>
    <w:rsid w:val="000743C9"/>
    <w:rsid w:val="00080423"/>
    <w:rsid w:val="00082324"/>
    <w:rsid w:val="00084128"/>
    <w:rsid w:val="00085067"/>
    <w:rsid w:val="00090007"/>
    <w:rsid w:val="00097D02"/>
    <w:rsid w:val="000A1172"/>
    <w:rsid w:val="000A55F0"/>
    <w:rsid w:val="000A7B4F"/>
    <w:rsid w:val="000B0236"/>
    <w:rsid w:val="000B681E"/>
    <w:rsid w:val="000C2197"/>
    <w:rsid w:val="000C4223"/>
    <w:rsid w:val="000D287C"/>
    <w:rsid w:val="000D3711"/>
    <w:rsid w:val="000D4335"/>
    <w:rsid w:val="000D43A0"/>
    <w:rsid w:val="000D52E7"/>
    <w:rsid w:val="000D64E0"/>
    <w:rsid w:val="000D6AE0"/>
    <w:rsid w:val="000D7B23"/>
    <w:rsid w:val="0010051D"/>
    <w:rsid w:val="001031C6"/>
    <w:rsid w:val="00111447"/>
    <w:rsid w:val="00111CE2"/>
    <w:rsid w:val="00111F90"/>
    <w:rsid w:val="0011455B"/>
    <w:rsid w:val="00117129"/>
    <w:rsid w:val="00121652"/>
    <w:rsid w:val="00122CA7"/>
    <w:rsid w:val="00124CDB"/>
    <w:rsid w:val="0016144F"/>
    <w:rsid w:val="001707E4"/>
    <w:rsid w:val="00170931"/>
    <w:rsid w:val="0017368A"/>
    <w:rsid w:val="001749ED"/>
    <w:rsid w:val="00175B2D"/>
    <w:rsid w:val="00176F5D"/>
    <w:rsid w:val="00177F91"/>
    <w:rsid w:val="0018088B"/>
    <w:rsid w:val="00186AA1"/>
    <w:rsid w:val="00191054"/>
    <w:rsid w:val="001952ED"/>
    <w:rsid w:val="001A49E9"/>
    <w:rsid w:val="001B3D99"/>
    <w:rsid w:val="001B4899"/>
    <w:rsid w:val="001C7396"/>
    <w:rsid w:val="001D2D37"/>
    <w:rsid w:val="001D65BF"/>
    <w:rsid w:val="001D7BE0"/>
    <w:rsid w:val="001D7DDB"/>
    <w:rsid w:val="001E17F5"/>
    <w:rsid w:val="001E5A8F"/>
    <w:rsid w:val="001F3F67"/>
    <w:rsid w:val="001F73E9"/>
    <w:rsid w:val="00216C92"/>
    <w:rsid w:val="00231199"/>
    <w:rsid w:val="0023477A"/>
    <w:rsid w:val="00234E1E"/>
    <w:rsid w:val="00240997"/>
    <w:rsid w:val="002515E5"/>
    <w:rsid w:val="00260933"/>
    <w:rsid w:val="002610A2"/>
    <w:rsid w:val="00267064"/>
    <w:rsid w:val="0026747F"/>
    <w:rsid w:val="00286CFF"/>
    <w:rsid w:val="002945E0"/>
    <w:rsid w:val="0029572C"/>
    <w:rsid w:val="002C3CBD"/>
    <w:rsid w:val="002D0731"/>
    <w:rsid w:val="002D11C9"/>
    <w:rsid w:val="002D7D71"/>
    <w:rsid w:val="002E0F44"/>
    <w:rsid w:val="002E2567"/>
    <w:rsid w:val="002E3357"/>
    <w:rsid w:val="002F2BE8"/>
    <w:rsid w:val="002F3C10"/>
    <w:rsid w:val="00302BA1"/>
    <w:rsid w:val="003106F0"/>
    <w:rsid w:val="00322D61"/>
    <w:rsid w:val="00327788"/>
    <w:rsid w:val="00331D1C"/>
    <w:rsid w:val="003321E7"/>
    <w:rsid w:val="0033380D"/>
    <w:rsid w:val="00334AA7"/>
    <w:rsid w:val="003414A5"/>
    <w:rsid w:val="0034170D"/>
    <w:rsid w:val="003426AA"/>
    <w:rsid w:val="00347C08"/>
    <w:rsid w:val="0036088A"/>
    <w:rsid w:val="00360BE3"/>
    <w:rsid w:val="00382263"/>
    <w:rsid w:val="003847DD"/>
    <w:rsid w:val="00386C9C"/>
    <w:rsid w:val="00391AB0"/>
    <w:rsid w:val="0039499C"/>
    <w:rsid w:val="00395311"/>
    <w:rsid w:val="00397D04"/>
    <w:rsid w:val="003A0DD3"/>
    <w:rsid w:val="003A2C9E"/>
    <w:rsid w:val="003A4A0C"/>
    <w:rsid w:val="003B4B92"/>
    <w:rsid w:val="003B7DDF"/>
    <w:rsid w:val="003C5666"/>
    <w:rsid w:val="003D22E5"/>
    <w:rsid w:val="003D5BF3"/>
    <w:rsid w:val="003E0884"/>
    <w:rsid w:val="003E6F4C"/>
    <w:rsid w:val="003E71D1"/>
    <w:rsid w:val="003E733E"/>
    <w:rsid w:val="003F293D"/>
    <w:rsid w:val="003F69AF"/>
    <w:rsid w:val="003F7CC2"/>
    <w:rsid w:val="004136BE"/>
    <w:rsid w:val="00415E0B"/>
    <w:rsid w:val="00416A75"/>
    <w:rsid w:val="0042030A"/>
    <w:rsid w:val="004212EE"/>
    <w:rsid w:val="00427293"/>
    <w:rsid w:val="00430426"/>
    <w:rsid w:val="00430519"/>
    <w:rsid w:val="00431E25"/>
    <w:rsid w:val="00432575"/>
    <w:rsid w:val="00440D9E"/>
    <w:rsid w:val="00444482"/>
    <w:rsid w:val="00445C9D"/>
    <w:rsid w:val="004534D2"/>
    <w:rsid w:val="00456EC1"/>
    <w:rsid w:val="0046021F"/>
    <w:rsid w:val="00461902"/>
    <w:rsid w:val="00465156"/>
    <w:rsid w:val="004710B1"/>
    <w:rsid w:val="00485854"/>
    <w:rsid w:val="004A673C"/>
    <w:rsid w:val="004B1219"/>
    <w:rsid w:val="004B33F0"/>
    <w:rsid w:val="004B4B75"/>
    <w:rsid w:val="004B52A5"/>
    <w:rsid w:val="004C3289"/>
    <w:rsid w:val="004C482C"/>
    <w:rsid w:val="004C4E49"/>
    <w:rsid w:val="004D1F44"/>
    <w:rsid w:val="004D2123"/>
    <w:rsid w:val="004D7673"/>
    <w:rsid w:val="004E6F5D"/>
    <w:rsid w:val="004E7C65"/>
    <w:rsid w:val="004F36BE"/>
    <w:rsid w:val="004F500D"/>
    <w:rsid w:val="0050476B"/>
    <w:rsid w:val="00511292"/>
    <w:rsid w:val="00523CC6"/>
    <w:rsid w:val="00525A91"/>
    <w:rsid w:val="00526FBF"/>
    <w:rsid w:val="005357B9"/>
    <w:rsid w:val="00540021"/>
    <w:rsid w:val="005449B8"/>
    <w:rsid w:val="00547882"/>
    <w:rsid w:val="00554857"/>
    <w:rsid w:val="0056242B"/>
    <w:rsid w:val="005647D0"/>
    <w:rsid w:val="00570C69"/>
    <w:rsid w:val="00572EB8"/>
    <w:rsid w:val="00573370"/>
    <w:rsid w:val="00573AA7"/>
    <w:rsid w:val="0058001B"/>
    <w:rsid w:val="00594993"/>
    <w:rsid w:val="00595665"/>
    <w:rsid w:val="005A1AEC"/>
    <w:rsid w:val="005A3219"/>
    <w:rsid w:val="005A5F55"/>
    <w:rsid w:val="005A7226"/>
    <w:rsid w:val="005C155C"/>
    <w:rsid w:val="005D26EB"/>
    <w:rsid w:val="005D2770"/>
    <w:rsid w:val="005D6FCC"/>
    <w:rsid w:val="005D7B37"/>
    <w:rsid w:val="005E2E19"/>
    <w:rsid w:val="005F2A21"/>
    <w:rsid w:val="00613096"/>
    <w:rsid w:val="00620E9C"/>
    <w:rsid w:val="006258E6"/>
    <w:rsid w:val="00626A6E"/>
    <w:rsid w:val="00632E9C"/>
    <w:rsid w:val="0063377D"/>
    <w:rsid w:val="006376DA"/>
    <w:rsid w:val="00643A40"/>
    <w:rsid w:val="00650ECF"/>
    <w:rsid w:val="006523D8"/>
    <w:rsid w:val="006619FE"/>
    <w:rsid w:val="00662BA9"/>
    <w:rsid w:val="00663D37"/>
    <w:rsid w:val="0067403A"/>
    <w:rsid w:val="00676CD2"/>
    <w:rsid w:val="00681580"/>
    <w:rsid w:val="00690E88"/>
    <w:rsid w:val="00691D20"/>
    <w:rsid w:val="006A231C"/>
    <w:rsid w:val="006B2B3D"/>
    <w:rsid w:val="006B304D"/>
    <w:rsid w:val="006B3B0D"/>
    <w:rsid w:val="006B5CE9"/>
    <w:rsid w:val="006C10B6"/>
    <w:rsid w:val="006C5827"/>
    <w:rsid w:val="006D0FEC"/>
    <w:rsid w:val="006E0A22"/>
    <w:rsid w:val="006E1081"/>
    <w:rsid w:val="006F3388"/>
    <w:rsid w:val="006F3DCB"/>
    <w:rsid w:val="00700F8E"/>
    <w:rsid w:val="007049DF"/>
    <w:rsid w:val="007116DC"/>
    <w:rsid w:val="00715498"/>
    <w:rsid w:val="00716642"/>
    <w:rsid w:val="00716CE3"/>
    <w:rsid w:val="0071734E"/>
    <w:rsid w:val="00717CF6"/>
    <w:rsid w:val="00720764"/>
    <w:rsid w:val="0072492E"/>
    <w:rsid w:val="00726CC3"/>
    <w:rsid w:val="00733A02"/>
    <w:rsid w:val="00740802"/>
    <w:rsid w:val="00744474"/>
    <w:rsid w:val="00750CC6"/>
    <w:rsid w:val="0075597D"/>
    <w:rsid w:val="0076558C"/>
    <w:rsid w:val="00781CCB"/>
    <w:rsid w:val="00785D62"/>
    <w:rsid w:val="00787B45"/>
    <w:rsid w:val="00787F75"/>
    <w:rsid w:val="007974AC"/>
    <w:rsid w:val="007A4F88"/>
    <w:rsid w:val="007A6267"/>
    <w:rsid w:val="007B218E"/>
    <w:rsid w:val="007B2C5D"/>
    <w:rsid w:val="007B7E83"/>
    <w:rsid w:val="007C1687"/>
    <w:rsid w:val="007C5DC0"/>
    <w:rsid w:val="007C7885"/>
    <w:rsid w:val="007D0E58"/>
    <w:rsid w:val="007D2291"/>
    <w:rsid w:val="007D49A3"/>
    <w:rsid w:val="007D6A9B"/>
    <w:rsid w:val="007D76DA"/>
    <w:rsid w:val="007E0659"/>
    <w:rsid w:val="007F0330"/>
    <w:rsid w:val="007F0622"/>
    <w:rsid w:val="007F2A14"/>
    <w:rsid w:val="00801321"/>
    <w:rsid w:val="00806A1A"/>
    <w:rsid w:val="008079AB"/>
    <w:rsid w:val="00816CD4"/>
    <w:rsid w:val="00826AED"/>
    <w:rsid w:val="00833884"/>
    <w:rsid w:val="00837333"/>
    <w:rsid w:val="00846FC5"/>
    <w:rsid w:val="00863144"/>
    <w:rsid w:val="008676BB"/>
    <w:rsid w:val="008866D4"/>
    <w:rsid w:val="00887220"/>
    <w:rsid w:val="00892C5A"/>
    <w:rsid w:val="008A27B0"/>
    <w:rsid w:val="008A67B6"/>
    <w:rsid w:val="008B0364"/>
    <w:rsid w:val="008B098E"/>
    <w:rsid w:val="008B3DFD"/>
    <w:rsid w:val="008C0BAF"/>
    <w:rsid w:val="008C16F9"/>
    <w:rsid w:val="008C38D0"/>
    <w:rsid w:val="008C496A"/>
    <w:rsid w:val="008C64C4"/>
    <w:rsid w:val="008C6E0E"/>
    <w:rsid w:val="008D12F1"/>
    <w:rsid w:val="008E5CB5"/>
    <w:rsid w:val="008F0138"/>
    <w:rsid w:val="00903269"/>
    <w:rsid w:val="009152A7"/>
    <w:rsid w:val="00915800"/>
    <w:rsid w:val="00936091"/>
    <w:rsid w:val="00957A6D"/>
    <w:rsid w:val="0096466B"/>
    <w:rsid w:val="009746F9"/>
    <w:rsid w:val="009754E1"/>
    <w:rsid w:val="00977605"/>
    <w:rsid w:val="00987B6A"/>
    <w:rsid w:val="00987F09"/>
    <w:rsid w:val="0099063C"/>
    <w:rsid w:val="0099277F"/>
    <w:rsid w:val="00994BE2"/>
    <w:rsid w:val="009A1372"/>
    <w:rsid w:val="009A1DF7"/>
    <w:rsid w:val="009A6648"/>
    <w:rsid w:val="009B096B"/>
    <w:rsid w:val="009B5560"/>
    <w:rsid w:val="009B67A1"/>
    <w:rsid w:val="009C553D"/>
    <w:rsid w:val="009E053F"/>
    <w:rsid w:val="009F0C09"/>
    <w:rsid w:val="00A006C3"/>
    <w:rsid w:val="00A032DF"/>
    <w:rsid w:val="00A045A4"/>
    <w:rsid w:val="00A058AE"/>
    <w:rsid w:val="00A14470"/>
    <w:rsid w:val="00A20F7D"/>
    <w:rsid w:val="00A21093"/>
    <w:rsid w:val="00A224AB"/>
    <w:rsid w:val="00A36DA2"/>
    <w:rsid w:val="00A41382"/>
    <w:rsid w:val="00A41F3E"/>
    <w:rsid w:val="00A53026"/>
    <w:rsid w:val="00A55B41"/>
    <w:rsid w:val="00A629DB"/>
    <w:rsid w:val="00A73447"/>
    <w:rsid w:val="00A7672F"/>
    <w:rsid w:val="00A77916"/>
    <w:rsid w:val="00A80099"/>
    <w:rsid w:val="00A847DE"/>
    <w:rsid w:val="00A85517"/>
    <w:rsid w:val="00A85B38"/>
    <w:rsid w:val="00A92605"/>
    <w:rsid w:val="00A96663"/>
    <w:rsid w:val="00AA2F43"/>
    <w:rsid w:val="00AA36F4"/>
    <w:rsid w:val="00AA48C3"/>
    <w:rsid w:val="00AA549B"/>
    <w:rsid w:val="00AB17CD"/>
    <w:rsid w:val="00AD061C"/>
    <w:rsid w:val="00AD138B"/>
    <w:rsid w:val="00AE6986"/>
    <w:rsid w:val="00AF4AB0"/>
    <w:rsid w:val="00AF4EFB"/>
    <w:rsid w:val="00AF54CA"/>
    <w:rsid w:val="00AF633B"/>
    <w:rsid w:val="00B02674"/>
    <w:rsid w:val="00B07039"/>
    <w:rsid w:val="00B10D95"/>
    <w:rsid w:val="00B344D1"/>
    <w:rsid w:val="00B34E63"/>
    <w:rsid w:val="00B42C0E"/>
    <w:rsid w:val="00B53707"/>
    <w:rsid w:val="00B572CE"/>
    <w:rsid w:val="00B62782"/>
    <w:rsid w:val="00B65085"/>
    <w:rsid w:val="00B674CE"/>
    <w:rsid w:val="00B734D7"/>
    <w:rsid w:val="00B768E5"/>
    <w:rsid w:val="00BA550F"/>
    <w:rsid w:val="00BA6074"/>
    <w:rsid w:val="00BA702D"/>
    <w:rsid w:val="00BB0852"/>
    <w:rsid w:val="00BC6FAE"/>
    <w:rsid w:val="00BC7AAC"/>
    <w:rsid w:val="00BD3482"/>
    <w:rsid w:val="00BE3481"/>
    <w:rsid w:val="00BE71ED"/>
    <w:rsid w:val="00BE755B"/>
    <w:rsid w:val="00BF0475"/>
    <w:rsid w:val="00BF3CFC"/>
    <w:rsid w:val="00BF5B2A"/>
    <w:rsid w:val="00C01999"/>
    <w:rsid w:val="00C034F8"/>
    <w:rsid w:val="00C03BAE"/>
    <w:rsid w:val="00C070CB"/>
    <w:rsid w:val="00C1727A"/>
    <w:rsid w:val="00C21E29"/>
    <w:rsid w:val="00C22379"/>
    <w:rsid w:val="00C22B7B"/>
    <w:rsid w:val="00C24359"/>
    <w:rsid w:val="00C27D9F"/>
    <w:rsid w:val="00C31411"/>
    <w:rsid w:val="00C42188"/>
    <w:rsid w:val="00C44D6D"/>
    <w:rsid w:val="00C57061"/>
    <w:rsid w:val="00C57E64"/>
    <w:rsid w:val="00C61730"/>
    <w:rsid w:val="00C70FC4"/>
    <w:rsid w:val="00C7205F"/>
    <w:rsid w:val="00C754EF"/>
    <w:rsid w:val="00C75759"/>
    <w:rsid w:val="00C80F87"/>
    <w:rsid w:val="00C90B81"/>
    <w:rsid w:val="00C90DF4"/>
    <w:rsid w:val="00C96112"/>
    <w:rsid w:val="00CA0891"/>
    <w:rsid w:val="00CA08C0"/>
    <w:rsid w:val="00CA143A"/>
    <w:rsid w:val="00CA1F4D"/>
    <w:rsid w:val="00CA53A4"/>
    <w:rsid w:val="00CA6875"/>
    <w:rsid w:val="00CC2B3D"/>
    <w:rsid w:val="00CD49EB"/>
    <w:rsid w:val="00CD7948"/>
    <w:rsid w:val="00CE07C6"/>
    <w:rsid w:val="00CE4F59"/>
    <w:rsid w:val="00CF0F23"/>
    <w:rsid w:val="00CF3DCA"/>
    <w:rsid w:val="00CF487D"/>
    <w:rsid w:val="00D0136F"/>
    <w:rsid w:val="00D0158D"/>
    <w:rsid w:val="00D05E98"/>
    <w:rsid w:val="00D069D1"/>
    <w:rsid w:val="00D15E63"/>
    <w:rsid w:val="00D177C0"/>
    <w:rsid w:val="00D2609C"/>
    <w:rsid w:val="00D266B1"/>
    <w:rsid w:val="00D27616"/>
    <w:rsid w:val="00D27EC5"/>
    <w:rsid w:val="00D3330C"/>
    <w:rsid w:val="00D55CF7"/>
    <w:rsid w:val="00D57678"/>
    <w:rsid w:val="00D62441"/>
    <w:rsid w:val="00D647D0"/>
    <w:rsid w:val="00D77B6A"/>
    <w:rsid w:val="00D8502C"/>
    <w:rsid w:val="00D860F1"/>
    <w:rsid w:val="00D8792E"/>
    <w:rsid w:val="00D95EF9"/>
    <w:rsid w:val="00D967AE"/>
    <w:rsid w:val="00D972A5"/>
    <w:rsid w:val="00DA3ADE"/>
    <w:rsid w:val="00DB6274"/>
    <w:rsid w:val="00DB66F4"/>
    <w:rsid w:val="00DC35C6"/>
    <w:rsid w:val="00DC5025"/>
    <w:rsid w:val="00DE10CE"/>
    <w:rsid w:val="00DE324C"/>
    <w:rsid w:val="00DE3709"/>
    <w:rsid w:val="00E02522"/>
    <w:rsid w:val="00E12FF0"/>
    <w:rsid w:val="00E2377F"/>
    <w:rsid w:val="00E25FBB"/>
    <w:rsid w:val="00E324ED"/>
    <w:rsid w:val="00E428F0"/>
    <w:rsid w:val="00E4653F"/>
    <w:rsid w:val="00E64C5E"/>
    <w:rsid w:val="00E70FA6"/>
    <w:rsid w:val="00E86138"/>
    <w:rsid w:val="00E8618A"/>
    <w:rsid w:val="00E863C6"/>
    <w:rsid w:val="00E91EEC"/>
    <w:rsid w:val="00E92B14"/>
    <w:rsid w:val="00E945AD"/>
    <w:rsid w:val="00E959ED"/>
    <w:rsid w:val="00EB1EA7"/>
    <w:rsid w:val="00EB31D2"/>
    <w:rsid w:val="00EB50CA"/>
    <w:rsid w:val="00ED0FF1"/>
    <w:rsid w:val="00ED3031"/>
    <w:rsid w:val="00ED4175"/>
    <w:rsid w:val="00ED7DF6"/>
    <w:rsid w:val="00ED7E77"/>
    <w:rsid w:val="00EE5AE8"/>
    <w:rsid w:val="00EF1874"/>
    <w:rsid w:val="00EF6E0B"/>
    <w:rsid w:val="00EF777E"/>
    <w:rsid w:val="00F03A25"/>
    <w:rsid w:val="00F074CD"/>
    <w:rsid w:val="00F1130D"/>
    <w:rsid w:val="00F22407"/>
    <w:rsid w:val="00F24AD7"/>
    <w:rsid w:val="00F331CF"/>
    <w:rsid w:val="00F45D81"/>
    <w:rsid w:val="00F53136"/>
    <w:rsid w:val="00F55470"/>
    <w:rsid w:val="00F61CCB"/>
    <w:rsid w:val="00F66323"/>
    <w:rsid w:val="00F71639"/>
    <w:rsid w:val="00F7347F"/>
    <w:rsid w:val="00F73F25"/>
    <w:rsid w:val="00F7547D"/>
    <w:rsid w:val="00F80039"/>
    <w:rsid w:val="00F8115F"/>
    <w:rsid w:val="00F81796"/>
    <w:rsid w:val="00F862E7"/>
    <w:rsid w:val="00F92B77"/>
    <w:rsid w:val="00F947E0"/>
    <w:rsid w:val="00FA43A2"/>
    <w:rsid w:val="00FA5614"/>
    <w:rsid w:val="00FA6641"/>
    <w:rsid w:val="00FA668D"/>
    <w:rsid w:val="00FB2497"/>
    <w:rsid w:val="00FC49CE"/>
    <w:rsid w:val="00FC5E6F"/>
    <w:rsid w:val="00FD0E6E"/>
    <w:rsid w:val="00FD5177"/>
    <w:rsid w:val="00FE2AD4"/>
    <w:rsid w:val="00FE2B6B"/>
    <w:rsid w:val="00FE3D58"/>
    <w:rsid w:val="00FE4A73"/>
    <w:rsid w:val="00FE65ED"/>
    <w:rsid w:val="00FF10A3"/>
    <w:rsid w:val="094D74D4"/>
    <w:rsid w:val="0BF127E9"/>
    <w:rsid w:val="0C605634"/>
    <w:rsid w:val="0CE2359B"/>
    <w:rsid w:val="0F1959A1"/>
    <w:rsid w:val="0FF56606"/>
    <w:rsid w:val="10DC252B"/>
    <w:rsid w:val="11AF2AB1"/>
    <w:rsid w:val="12DB66FD"/>
    <w:rsid w:val="152721B3"/>
    <w:rsid w:val="161C1F83"/>
    <w:rsid w:val="1A514D80"/>
    <w:rsid w:val="1A530AF8"/>
    <w:rsid w:val="1CFA110A"/>
    <w:rsid w:val="21BD7EF8"/>
    <w:rsid w:val="230A1F70"/>
    <w:rsid w:val="266B71CA"/>
    <w:rsid w:val="281E1EFD"/>
    <w:rsid w:val="2CAB0320"/>
    <w:rsid w:val="2D3B1C62"/>
    <w:rsid w:val="2E0A3A43"/>
    <w:rsid w:val="2E625356"/>
    <w:rsid w:val="2F7C5FA4"/>
    <w:rsid w:val="306B3A2E"/>
    <w:rsid w:val="30DF7440"/>
    <w:rsid w:val="32F708AC"/>
    <w:rsid w:val="33735CBA"/>
    <w:rsid w:val="34126635"/>
    <w:rsid w:val="34797769"/>
    <w:rsid w:val="36B360DB"/>
    <w:rsid w:val="38A33810"/>
    <w:rsid w:val="3A1617EB"/>
    <w:rsid w:val="3A750E8B"/>
    <w:rsid w:val="3AAB50C8"/>
    <w:rsid w:val="40A06538"/>
    <w:rsid w:val="418751B6"/>
    <w:rsid w:val="422653B3"/>
    <w:rsid w:val="483264AF"/>
    <w:rsid w:val="49991E38"/>
    <w:rsid w:val="4A3C6604"/>
    <w:rsid w:val="4B4F0D50"/>
    <w:rsid w:val="4C8E3592"/>
    <w:rsid w:val="4D721832"/>
    <w:rsid w:val="4E6D2884"/>
    <w:rsid w:val="518D08B8"/>
    <w:rsid w:val="53CC2C77"/>
    <w:rsid w:val="576B0FFE"/>
    <w:rsid w:val="577A6AC4"/>
    <w:rsid w:val="58715B7D"/>
    <w:rsid w:val="5A5A7AF6"/>
    <w:rsid w:val="5AF26F96"/>
    <w:rsid w:val="5B685136"/>
    <w:rsid w:val="5DDD2679"/>
    <w:rsid w:val="5E310B53"/>
    <w:rsid w:val="600A4E1D"/>
    <w:rsid w:val="60702597"/>
    <w:rsid w:val="611F2C6E"/>
    <w:rsid w:val="6155202D"/>
    <w:rsid w:val="623F614C"/>
    <w:rsid w:val="64D11873"/>
    <w:rsid w:val="66E15A5B"/>
    <w:rsid w:val="67474BB5"/>
    <w:rsid w:val="6A640B33"/>
    <w:rsid w:val="70A85FD9"/>
    <w:rsid w:val="7A225D2C"/>
    <w:rsid w:val="7A2B3800"/>
    <w:rsid w:val="7BFC23F6"/>
    <w:rsid w:val="7CEE33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autoRedefine/>
    <w:unhideWhenUsed/>
    <w:qFormat/>
    <w:uiPriority w:val="9"/>
    <w:pPr>
      <w:keepNext/>
      <w:keepLines/>
      <w:spacing w:before="260" w:after="260" w:line="416" w:lineRule="auto"/>
      <w:outlineLvl w:val="2"/>
    </w:pPr>
    <w:rPr>
      <w:b/>
      <w:bCs/>
      <w:sz w:val="32"/>
      <w:szCs w:val="32"/>
    </w:rPr>
  </w:style>
  <w:style w:type="paragraph" w:styleId="5">
    <w:name w:val="heading 7"/>
    <w:basedOn w:val="1"/>
    <w:next w:val="1"/>
    <w:autoRedefine/>
    <w:qFormat/>
    <w:uiPriority w:val="1"/>
    <w:pPr>
      <w:ind w:left="213"/>
      <w:outlineLvl w:val="6"/>
    </w:pPr>
    <w:rPr>
      <w:b/>
      <w:bCs/>
      <w:szCs w:val="21"/>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6">
    <w:name w:val="Document Map"/>
    <w:basedOn w:val="1"/>
    <w:link w:val="26"/>
    <w:autoRedefine/>
    <w:semiHidden/>
    <w:unhideWhenUsed/>
    <w:qFormat/>
    <w:uiPriority w:val="99"/>
    <w:rPr>
      <w:rFonts w:ascii="宋体" w:eastAsia="宋体"/>
      <w:sz w:val="18"/>
      <w:szCs w:val="18"/>
    </w:rPr>
  </w:style>
  <w:style w:type="paragraph" w:styleId="7">
    <w:name w:val="annotation text"/>
    <w:basedOn w:val="1"/>
    <w:link w:val="30"/>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8">
    <w:name w:val="Body Text"/>
    <w:basedOn w:val="1"/>
    <w:next w:val="1"/>
    <w:link w:val="36"/>
    <w:autoRedefine/>
    <w:unhideWhenUsed/>
    <w:qFormat/>
    <w:uiPriority w:val="0"/>
    <w:pPr>
      <w:spacing w:after="120"/>
    </w:pPr>
    <w:rPr>
      <w:rFonts w:ascii="Calibri" w:hAnsi="Calibri" w:eastAsia="宋体" w:cs="Times New Roman"/>
    </w:rPr>
  </w:style>
  <w:style w:type="paragraph" w:styleId="9">
    <w:name w:val="Body Text Indent"/>
    <w:basedOn w:val="1"/>
    <w:link w:val="37"/>
    <w:autoRedefine/>
    <w:qFormat/>
    <w:uiPriority w:val="0"/>
    <w:pPr>
      <w:spacing w:after="120"/>
      <w:ind w:left="420" w:leftChars="200"/>
    </w:pPr>
    <w:rPr>
      <w:rFonts w:ascii="Times New Roman" w:hAnsi="Times New Roman" w:eastAsia="宋体" w:cs="Times New Roman"/>
      <w:szCs w:val="24"/>
    </w:rPr>
  </w:style>
  <w:style w:type="paragraph" w:styleId="10">
    <w:name w:val="Plain Text"/>
    <w:basedOn w:val="1"/>
    <w:link w:val="34"/>
    <w:autoRedefine/>
    <w:qFormat/>
    <w:uiPriority w:val="0"/>
    <w:rPr>
      <w:rFonts w:ascii="宋体" w:hAnsi="Courier New" w:eastAsia="宋体" w:cs="Times New Roman"/>
      <w:szCs w:val="20"/>
    </w:rPr>
  </w:style>
  <w:style w:type="paragraph" w:styleId="11">
    <w:name w:val="Date"/>
    <w:basedOn w:val="1"/>
    <w:next w:val="1"/>
    <w:link w:val="29"/>
    <w:autoRedefine/>
    <w:semiHidden/>
    <w:unhideWhenUsed/>
    <w:qFormat/>
    <w:uiPriority w:val="99"/>
    <w:pPr>
      <w:ind w:left="100" w:leftChars="2500"/>
    </w:pPr>
  </w:style>
  <w:style w:type="paragraph" w:styleId="12">
    <w:name w:val="Balloon Text"/>
    <w:basedOn w:val="1"/>
    <w:link w:val="31"/>
    <w:autoRedefine/>
    <w:semiHidden/>
    <w:unhideWhenUsed/>
    <w:qFormat/>
    <w:uiPriority w:val="99"/>
    <w:rPr>
      <w:sz w:val="18"/>
      <w:szCs w:val="18"/>
    </w:rPr>
  </w:style>
  <w:style w:type="paragraph" w:styleId="13">
    <w:name w:val="footer"/>
    <w:basedOn w:val="1"/>
    <w:link w:val="24"/>
    <w:autoRedefine/>
    <w:unhideWhenUsed/>
    <w:qFormat/>
    <w:uiPriority w:val="99"/>
    <w:pPr>
      <w:tabs>
        <w:tab w:val="center" w:pos="4153"/>
        <w:tab w:val="right" w:pos="8306"/>
      </w:tabs>
      <w:snapToGrid w:val="0"/>
      <w:jc w:val="left"/>
    </w:pPr>
    <w:rPr>
      <w:sz w:val="18"/>
      <w:szCs w:val="18"/>
    </w:rPr>
  </w:style>
  <w:style w:type="paragraph" w:styleId="14">
    <w:name w:val="header"/>
    <w:basedOn w:val="1"/>
    <w:link w:val="23"/>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unhideWhenUsed/>
    <w:qFormat/>
    <w:uiPriority w:val="39"/>
    <w:pPr>
      <w:tabs>
        <w:tab w:val="right" w:leader="dot" w:pos="8296"/>
      </w:tabs>
      <w:jc w:val="center"/>
    </w:pPr>
    <w:rPr>
      <w:rFonts w:ascii="黑体" w:hAnsi="黑体" w:eastAsia="黑体"/>
      <w:sz w:val="44"/>
      <w:szCs w:val="32"/>
    </w:rPr>
  </w:style>
  <w:style w:type="paragraph" w:styleId="16">
    <w:name w:val="Body Text First Indent"/>
    <w:basedOn w:val="8"/>
    <w:autoRedefine/>
    <w:unhideWhenUsed/>
    <w:qFormat/>
    <w:uiPriority w:val="99"/>
    <w:pPr>
      <w:widowControl/>
      <w:ind w:firstLine="420"/>
      <w:jc w:val="left"/>
    </w:pPr>
    <w:rPr>
      <w:rFonts w:ascii="Arial" w:hAnsi="Arial" w:eastAsia="Arial" w:cs="Arial"/>
      <w:color w:val="000000"/>
      <w:szCs w:val="21"/>
      <w:lang w:eastAsia="en-US"/>
    </w:rPr>
  </w:style>
  <w:style w:type="table" w:styleId="18">
    <w:name w:val="Table Grid"/>
    <w:basedOn w:val="1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autoRedefine/>
    <w:qFormat/>
    <w:uiPriority w:val="22"/>
    <w:rPr>
      <w:b/>
    </w:rPr>
  </w:style>
  <w:style w:type="character" w:styleId="21">
    <w:name w:val="Hyperlink"/>
    <w:autoRedefine/>
    <w:qFormat/>
    <w:uiPriority w:val="99"/>
    <w:rPr>
      <w:color w:val="0000FF"/>
      <w:u w:val="none"/>
    </w:rPr>
  </w:style>
  <w:style w:type="character" w:styleId="22">
    <w:name w:val="annotation reference"/>
    <w:autoRedefine/>
    <w:qFormat/>
    <w:uiPriority w:val="0"/>
    <w:rPr>
      <w:sz w:val="21"/>
      <w:szCs w:val="21"/>
    </w:rPr>
  </w:style>
  <w:style w:type="character" w:customStyle="1" w:styleId="23">
    <w:name w:val="页眉 Char"/>
    <w:basedOn w:val="19"/>
    <w:link w:val="14"/>
    <w:autoRedefine/>
    <w:semiHidden/>
    <w:qFormat/>
    <w:uiPriority w:val="99"/>
    <w:rPr>
      <w:sz w:val="18"/>
      <w:szCs w:val="18"/>
    </w:rPr>
  </w:style>
  <w:style w:type="character" w:customStyle="1" w:styleId="24">
    <w:name w:val="页脚 Char"/>
    <w:basedOn w:val="19"/>
    <w:link w:val="13"/>
    <w:autoRedefine/>
    <w:qFormat/>
    <w:uiPriority w:val="99"/>
    <w:rPr>
      <w:sz w:val="18"/>
      <w:szCs w:val="18"/>
    </w:rPr>
  </w:style>
  <w:style w:type="character" w:customStyle="1" w:styleId="25">
    <w:name w:val="标题 1 Char"/>
    <w:basedOn w:val="19"/>
    <w:link w:val="2"/>
    <w:autoRedefine/>
    <w:qFormat/>
    <w:uiPriority w:val="9"/>
    <w:rPr>
      <w:b/>
      <w:bCs/>
      <w:kern w:val="44"/>
      <w:sz w:val="44"/>
      <w:szCs w:val="44"/>
    </w:rPr>
  </w:style>
  <w:style w:type="character" w:customStyle="1" w:styleId="26">
    <w:name w:val="文档结构图 Char"/>
    <w:basedOn w:val="19"/>
    <w:link w:val="6"/>
    <w:autoRedefine/>
    <w:semiHidden/>
    <w:qFormat/>
    <w:uiPriority w:val="99"/>
    <w:rPr>
      <w:rFonts w:ascii="宋体" w:eastAsia="宋体"/>
      <w:sz w:val="18"/>
      <w:szCs w:val="18"/>
    </w:rPr>
  </w:style>
  <w:style w:type="character" w:customStyle="1" w:styleId="27">
    <w:name w:val="标题 2 Char"/>
    <w:basedOn w:val="19"/>
    <w:link w:val="3"/>
    <w:autoRedefine/>
    <w:qFormat/>
    <w:uiPriority w:val="9"/>
    <w:rPr>
      <w:rFonts w:asciiTheme="majorHAnsi" w:hAnsiTheme="majorHAnsi" w:eastAsiaTheme="majorEastAsia" w:cstheme="majorBidi"/>
      <w:b/>
      <w:bCs/>
      <w:sz w:val="32"/>
      <w:szCs w:val="32"/>
    </w:rPr>
  </w:style>
  <w:style w:type="character" w:customStyle="1" w:styleId="28">
    <w:name w:val="标题 3 Char"/>
    <w:basedOn w:val="19"/>
    <w:link w:val="4"/>
    <w:autoRedefine/>
    <w:qFormat/>
    <w:uiPriority w:val="9"/>
    <w:rPr>
      <w:b/>
      <w:bCs/>
      <w:sz w:val="32"/>
      <w:szCs w:val="32"/>
    </w:rPr>
  </w:style>
  <w:style w:type="character" w:customStyle="1" w:styleId="29">
    <w:name w:val="日期 Char"/>
    <w:basedOn w:val="19"/>
    <w:link w:val="11"/>
    <w:autoRedefine/>
    <w:semiHidden/>
    <w:qFormat/>
    <w:uiPriority w:val="99"/>
  </w:style>
  <w:style w:type="character" w:customStyle="1" w:styleId="30">
    <w:name w:val="批注文字 Char"/>
    <w:basedOn w:val="19"/>
    <w:link w:val="7"/>
    <w:autoRedefine/>
    <w:qFormat/>
    <w:uiPriority w:val="0"/>
    <w:rPr>
      <w:rFonts w:ascii="Times New Roman" w:hAnsi="Times New Roman" w:eastAsia="宋体" w:cs="Times New Roman"/>
      <w:szCs w:val="24"/>
    </w:rPr>
  </w:style>
  <w:style w:type="character" w:customStyle="1" w:styleId="31">
    <w:name w:val="批注框文本 Char"/>
    <w:basedOn w:val="19"/>
    <w:link w:val="12"/>
    <w:autoRedefine/>
    <w:semiHidden/>
    <w:qFormat/>
    <w:uiPriority w:val="99"/>
    <w:rPr>
      <w:sz w:val="18"/>
      <w:szCs w:val="18"/>
    </w:rPr>
  </w:style>
  <w:style w:type="paragraph" w:customStyle="1" w:styleId="32">
    <w:name w:val="Default"/>
    <w:link w:val="33"/>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3">
    <w:name w:val="Default Char"/>
    <w:link w:val="32"/>
    <w:autoRedefine/>
    <w:qFormat/>
    <w:locked/>
    <w:uiPriority w:val="99"/>
    <w:rPr>
      <w:rFonts w:ascii="MS Mincho" w:hAnsi="Calibri" w:eastAsia="宋体" w:cs="Times New Roman"/>
      <w:color w:val="000000"/>
      <w:szCs w:val="24"/>
    </w:rPr>
  </w:style>
  <w:style w:type="character" w:customStyle="1" w:styleId="34">
    <w:name w:val="纯文本 Char"/>
    <w:basedOn w:val="19"/>
    <w:link w:val="10"/>
    <w:autoRedefine/>
    <w:qFormat/>
    <w:uiPriority w:val="0"/>
    <w:rPr>
      <w:rFonts w:ascii="宋体" w:hAnsi="Courier New" w:eastAsia="宋体" w:cs="Times New Roman"/>
      <w:szCs w:val="20"/>
    </w:rPr>
  </w:style>
  <w:style w:type="paragraph" w:customStyle="1" w:styleId="3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character" w:customStyle="1" w:styleId="36">
    <w:name w:val="正文文本 Char"/>
    <w:basedOn w:val="19"/>
    <w:link w:val="8"/>
    <w:autoRedefine/>
    <w:qFormat/>
    <w:uiPriority w:val="0"/>
    <w:rPr>
      <w:rFonts w:ascii="Calibri" w:hAnsi="Calibri" w:eastAsia="宋体" w:cs="Times New Roman"/>
    </w:rPr>
  </w:style>
  <w:style w:type="character" w:customStyle="1" w:styleId="37">
    <w:name w:val="正文文本缩进 Char"/>
    <w:basedOn w:val="19"/>
    <w:link w:val="9"/>
    <w:autoRedefine/>
    <w:qFormat/>
    <w:uiPriority w:val="0"/>
    <w:rPr>
      <w:rFonts w:ascii="Times New Roman" w:hAnsi="Times New Roman" w:eastAsia="宋体" w:cs="Times New Roman"/>
      <w:szCs w:val="24"/>
    </w:rPr>
  </w:style>
  <w:style w:type="paragraph" w:customStyle="1" w:styleId="38">
    <w:name w:val="列出段落1"/>
    <w:basedOn w:val="1"/>
    <w:autoRedefine/>
    <w:qFormat/>
    <w:uiPriority w:val="0"/>
    <w:pPr>
      <w:ind w:firstLine="420" w:firstLineChars="200"/>
    </w:pPr>
    <w:rPr>
      <w:rFonts w:ascii="Times New Roman" w:hAnsi="Times New Roman" w:eastAsia="宋体" w:cs="Times New Roman"/>
      <w:szCs w:val="21"/>
    </w:rPr>
  </w:style>
  <w:style w:type="paragraph" w:customStyle="1" w:styleId="39">
    <w:name w:val="标题 11"/>
    <w:basedOn w:val="1"/>
    <w:next w:val="1"/>
    <w:autoRedefine/>
    <w:qFormat/>
    <w:uiPriority w:val="9"/>
    <w:pPr>
      <w:keepNext/>
      <w:keepLines/>
      <w:spacing w:before="340" w:after="330" w:line="578" w:lineRule="auto"/>
      <w:outlineLvl w:val="0"/>
    </w:pPr>
    <w:rPr>
      <w:b/>
      <w:bCs/>
      <w:sz w:val="44"/>
      <w:szCs w:val="44"/>
    </w:rPr>
  </w:style>
  <w:style w:type="paragraph" w:customStyle="1" w:styleId="40">
    <w:name w:val="标题 21"/>
    <w:basedOn w:val="1"/>
    <w:next w:val="1"/>
    <w:autoRedefine/>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41">
    <w:name w:val="标题 31"/>
    <w:basedOn w:val="1"/>
    <w:next w:val="1"/>
    <w:autoRedefine/>
    <w:qFormat/>
    <w:uiPriority w:val="9"/>
    <w:pPr>
      <w:keepNext/>
      <w:keepLines/>
      <w:spacing w:before="260" w:after="260" w:line="416" w:lineRule="auto"/>
      <w:outlineLvl w:val="2"/>
    </w:pPr>
    <w:rPr>
      <w:b/>
      <w:bCs/>
      <w:sz w:val="32"/>
      <w:szCs w:val="32"/>
    </w:rPr>
  </w:style>
  <w:style w:type="paragraph" w:customStyle="1" w:styleId="42">
    <w:name w:val="Table Paragraph"/>
    <w:basedOn w:val="1"/>
    <w:autoRedefine/>
    <w:qFormat/>
    <w:uiPriority w:val="1"/>
  </w:style>
  <w:style w:type="paragraph" w:styleId="43">
    <w:name w:val="List Paragraph"/>
    <w:basedOn w:val="1"/>
    <w:autoRedefine/>
    <w:qFormat/>
    <w:uiPriority w:val="1"/>
    <w:pPr>
      <w:ind w:left="700" w:hanging="530"/>
    </w:pPr>
  </w:style>
  <w:style w:type="paragraph" w:customStyle="1" w:styleId="44">
    <w:name w:val="段"/>
    <w:next w:val="1"/>
    <w:autoRedefine/>
    <w:qFormat/>
    <w:uiPriority w:val="0"/>
    <w:pPr>
      <w:ind w:firstLine="200"/>
      <w:jc w:val="both"/>
    </w:pPr>
    <w:rPr>
      <w:rFonts w:ascii="宋体" w:hAnsi="Times New Roman" w:eastAsia="宋体" w:cs="Times New Roman"/>
      <w:sz w:val="21"/>
      <w:lang w:val="en-US" w:eastAsia="zh-CN" w:bidi="ar-SA"/>
    </w:rPr>
  </w:style>
  <w:style w:type="paragraph" w:customStyle="1" w:styleId="45">
    <w:name w:val="正文文本缩进1"/>
    <w:basedOn w:val="1"/>
    <w:autoRedefine/>
    <w:qFormat/>
    <w:uiPriority w:val="0"/>
    <w:pPr>
      <w:spacing w:after="120"/>
      <w:ind w:left="420"/>
    </w:pPr>
    <w:rPr>
      <w:rFonts w:ascii="Times New Roman" w:hAnsi="Times New Roman" w:eastAsia="宋体" w:cs="Times New Roman"/>
      <w:szCs w:val="24"/>
    </w:rPr>
  </w:style>
  <w:style w:type="paragraph" w:customStyle="1" w:styleId="46">
    <w:name w:val="Table Text"/>
    <w:basedOn w:val="1"/>
    <w:autoRedefine/>
    <w:semiHidden/>
    <w:qFormat/>
    <w:uiPriority w:val="0"/>
    <w:rPr>
      <w:rFonts w:ascii="华文细黑" w:hAnsi="华文细黑" w:eastAsia="华文细黑" w:cs="华文细黑"/>
      <w:sz w:val="16"/>
      <w:szCs w:val="16"/>
      <w:lang w:val="en-US" w:eastAsia="en-US" w:bidi="ar-SA"/>
    </w:rPr>
  </w:style>
  <w:style w:type="table" w:customStyle="1" w:styleId="4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D57A25-FBF7-42EB-AB68-1759DFE4944A}">
  <ds:schemaRefs/>
</ds:datastoreItem>
</file>

<file path=docProps/app.xml><?xml version="1.0" encoding="utf-8"?>
<Properties xmlns="http://schemas.openxmlformats.org/officeDocument/2006/extended-properties" xmlns:vt="http://schemas.openxmlformats.org/officeDocument/2006/docPropsVTypes">
  <Template>Normal</Template>
  <Pages>74</Pages>
  <Words>2999</Words>
  <Characters>3219</Characters>
  <Lines>256</Lines>
  <Paragraphs>72</Paragraphs>
  <TotalTime>20</TotalTime>
  <ScaleCrop>false</ScaleCrop>
  <LinksUpToDate>false</LinksUpToDate>
  <CharactersWithSpaces>3278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“苏采云”竞争性磋商货物范本</cp:category>
  <dcterms:created xsi:type="dcterms:W3CDTF">2024-01-04T03:50:00Z</dcterms:created>
  <dc:creator>连云港市公共资源交易中心</dc:creator>
  <dc:description>2024年5月21日修订</dc:description>
  <cp:lastModifiedBy>晶饰福珠宝（诚招代理）</cp:lastModifiedBy>
  <cp:lastPrinted>2026-06-09T07:25:00Z</cp:lastPrinted>
  <dcterms:modified xsi:type="dcterms:W3CDTF">2026-07-02T03:00:46Z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520548180D8E4DC6BA676E4CE59806E9_13</vt:lpwstr>
  </property>
</Properties>
</file>