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4C8B3">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苏州工业园区</w:t>
      </w:r>
    </w:p>
    <w:p w14:paraId="29AC95C4">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城维项目人员工资专用账户协议</w:t>
      </w:r>
    </w:p>
    <w:p w14:paraId="287D355A">
      <w:pPr>
        <w:spacing w:line="560" w:lineRule="exact"/>
        <w:rPr>
          <w:rFonts w:asciiTheme="majorEastAsia" w:hAnsiTheme="majorEastAsia" w:eastAsiaTheme="majorEastAsia" w:cstheme="majorEastAsia"/>
          <w:sz w:val="24"/>
        </w:rPr>
      </w:pPr>
    </w:p>
    <w:p w14:paraId="4CBA4751">
      <w:pPr>
        <w:adjustRightInd w:val="0"/>
        <w:snapToGrid w:val="0"/>
        <w:spacing w:line="56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甲方1：苏州工业园区综合行政执法局</w:t>
      </w:r>
    </w:p>
    <w:p w14:paraId="0F1CE0FA">
      <w:pPr>
        <w:adjustRightInd w:val="0"/>
        <w:snapToGrid w:val="0"/>
        <w:spacing w:line="56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甲方2：苏州工业园区市政服务集团有限公司</w:t>
      </w:r>
    </w:p>
    <w:p w14:paraId="05027D49">
      <w:pPr>
        <w:adjustRightInd w:val="0"/>
        <w:snapToGrid w:val="0"/>
        <w:spacing w:line="56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乙方（承包单位）：</w:t>
      </w:r>
    </w:p>
    <w:p w14:paraId="7334673E">
      <w:pPr>
        <w:adjustRightInd w:val="0"/>
        <w:snapToGrid w:val="0"/>
        <w:spacing w:line="56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丙方（监管银行）：</w:t>
      </w:r>
    </w:p>
    <w:p w14:paraId="08619785">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为按时足额支付苏州工业园区城维项目人员工资，维护企业生产经营秩序和社会稳定，根据有关规定，各方在协商一致、平等自愿的基础上，就苏州工业园区城维项目人员工资专用账户（以下简称专用账户）相关事宜签订本协议，并共同遵守。</w:t>
      </w:r>
    </w:p>
    <w:p w14:paraId="55EFC652">
      <w:pPr>
        <w:adjustRightInd w:val="0"/>
        <w:snapToGrid w:val="0"/>
        <w:spacing w:after="290" w:afterLines="100" w:line="560" w:lineRule="exact"/>
        <w:ind w:firstLine="480" w:firstLineChars="20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一、定义</w:t>
      </w:r>
    </w:p>
    <w:tbl>
      <w:tblPr>
        <w:tblStyle w:val="7"/>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7205"/>
      </w:tblGrid>
      <w:tr w14:paraId="2289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494A969B">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甲方1</w:t>
            </w:r>
          </w:p>
        </w:tc>
        <w:tc>
          <w:tcPr>
            <w:tcW w:w="7205" w:type="dxa"/>
            <w:vAlign w:val="center"/>
          </w:tcPr>
          <w:p w14:paraId="3BC34E27">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苏州工业园区城维项目主管部门</w:t>
            </w:r>
          </w:p>
        </w:tc>
      </w:tr>
      <w:tr w14:paraId="5B86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05979FCD">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甲方2</w:t>
            </w:r>
          </w:p>
        </w:tc>
        <w:tc>
          <w:tcPr>
            <w:tcW w:w="7205" w:type="dxa"/>
            <w:vAlign w:val="center"/>
          </w:tcPr>
          <w:p w14:paraId="5E1EF689">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受甲方委托，代表甲方对城维项目进行管理</w:t>
            </w:r>
          </w:p>
        </w:tc>
      </w:tr>
      <w:tr w14:paraId="1F8F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74D838C5">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乙方</w:t>
            </w:r>
          </w:p>
        </w:tc>
        <w:tc>
          <w:tcPr>
            <w:tcW w:w="7205" w:type="dxa"/>
            <w:vAlign w:val="center"/>
          </w:tcPr>
          <w:p w14:paraId="5A555D44">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承担苏州工业园区城维项目具体实施的单位</w:t>
            </w:r>
          </w:p>
        </w:tc>
      </w:tr>
      <w:tr w14:paraId="42AE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170" w:type="dxa"/>
            <w:vAlign w:val="center"/>
          </w:tcPr>
          <w:p w14:paraId="43CC4C0C">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丙方</w:t>
            </w:r>
          </w:p>
        </w:tc>
        <w:tc>
          <w:tcPr>
            <w:tcW w:w="7205" w:type="dxa"/>
            <w:vAlign w:val="center"/>
          </w:tcPr>
          <w:p w14:paraId="572EBB51">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受甲乙委托，设立专用账户，提供相关服务并实施资金监管的银行</w:t>
            </w:r>
          </w:p>
        </w:tc>
      </w:tr>
      <w:tr w14:paraId="6171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07F479F0">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专用账户</w:t>
            </w:r>
          </w:p>
        </w:tc>
        <w:tc>
          <w:tcPr>
            <w:tcW w:w="7205" w:type="dxa"/>
            <w:vAlign w:val="center"/>
          </w:tcPr>
          <w:p w14:paraId="2E9565B2">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用于支付项目人员工资</w:t>
            </w:r>
          </w:p>
        </w:tc>
      </w:tr>
      <w:tr w14:paraId="676F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2539E878">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城维项目</w:t>
            </w:r>
          </w:p>
        </w:tc>
        <w:tc>
          <w:tcPr>
            <w:tcW w:w="7205" w:type="dxa"/>
            <w:vAlign w:val="center"/>
          </w:tcPr>
          <w:p w14:paraId="15624C22">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城市公用事业、公共设施维护与建设项目。范围包括城市的道路、桥梁、排水、城市交通管理、路灯等公共设施；园林、苗圃、公共绿化地等绿化设施；公共厕所、清扫垃圾、街道洒水、扫雪等公共环境卫生等</w:t>
            </w:r>
          </w:p>
        </w:tc>
      </w:tr>
      <w:tr w14:paraId="661B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5F9179D9">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监管平台</w:t>
            </w:r>
          </w:p>
        </w:tc>
        <w:tc>
          <w:tcPr>
            <w:tcW w:w="7205" w:type="dxa"/>
            <w:vAlign w:val="center"/>
          </w:tcPr>
          <w:p w14:paraId="06ED4E23">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丙方为提供优质服务而开发的，用以监管专用账户，向甲乙区别公开账户信息的平台，本协议中统称为“苏州工业园区城维项目工资监管平台”，具体名称由丙方自行拟定</w:t>
            </w:r>
          </w:p>
        </w:tc>
      </w:tr>
      <w:tr w14:paraId="5EE1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4DBC6386">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阻止类指标</w:t>
            </w:r>
          </w:p>
        </w:tc>
        <w:tc>
          <w:tcPr>
            <w:tcW w:w="7205" w:type="dxa"/>
            <w:vAlign w:val="center"/>
          </w:tcPr>
          <w:p w14:paraId="548EA735">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包含专用账户向其他对公账户转账、发薪金额过高等</w:t>
            </w:r>
          </w:p>
        </w:tc>
      </w:tr>
      <w:tr w14:paraId="446A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70" w:type="dxa"/>
            <w:vAlign w:val="center"/>
          </w:tcPr>
          <w:p w14:paraId="079AC261">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警示类指标</w:t>
            </w:r>
          </w:p>
        </w:tc>
        <w:tc>
          <w:tcPr>
            <w:tcW w:w="7205" w:type="dxa"/>
            <w:vAlign w:val="center"/>
          </w:tcPr>
          <w:p w14:paraId="26099E35">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highlight w:val="yellow"/>
              </w:rPr>
              <w:t>包含每月发薪次数、发薪逾期、资金不足、账户冻结</w:t>
            </w:r>
            <w:r>
              <w:rPr>
                <w:rFonts w:hint="eastAsia" w:asciiTheme="majorEastAsia" w:hAnsiTheme="majorEastAsia" w:eastAsiaTheme="majorEastAsia" w:cstheme="majorEastAsia"/>
                <w:sz w:val="18"/>
                <w:szCs w:val="18"/>
                <w:highlight w:val="yellow"/>
                <w:lang w:eastAsia="zh-CN"/>
              </w:rPr>
              <w:t>、</w:t>
            </w:r>
            <w:r>
              <w:rPr>
                <w:rFonts w:hint="eastAsia" w:asciiTheme="majorEastAsia" w:hAnsiTheme="majorEastAsia" w:eastAsiaTheme="majorEastAsia" w:cstheme="majorEastAsia"/>
                <w:sz w:val="18"/>
                <w:szCs w:val="18"/>
                <w:highlight w:val="yellow"/>
                <w:lang w:val="en-US" w:eastAsia="zh-CN"/>
              </w:rPr>
              <w:t>职工发薪金额限制</w:t>
            </w:r>
            <w:r>
              <w:rPr>
                <w:rFonts w:hint="eastAsia" w:asciiTheme="majorEastAsia" w:hAnsiTheme="majorEastAsia" w:eastAsiaTheme="majorEastAsia" w:cstheme="majorEastAsia"/>
                <w:sz w:val="18"/>
                <w:szCs w:val="18"/>
                <w:highlight w:val="yellow"/>
              </w:rPr>
              <w:t>等</w:t>
            </w:r>
          </w:p>
        </w:tc>
      </w:tr>
    </w:tbl>
    <w:p w14:paraId="6D472598">
      <w:pPr>
        <w:adjustRightInd w:val="0"/>
        <w:snapToGrid w:val="0"/>
        <w:spacing w:before="290" w:beforeLines="100"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二、设立</w:t>
      </w:r>
    </w:p>
    <w:p w14:paraId="7EB85197">
      <w:pPr>
        <w:adjustRightInd w:val="0"/>
        <w:snapToGrid w:val="0"/>
        <w:spacing w:after="290" w:afterLines="100"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1.乙方在丙方开立专用账户。乙方应当根据丙方业务操作要求，提供相应资料。专用账户名称为：乙方名称+城维项目名称+“工资账户”。乙方名称和城维项目名称可使用规范化简称。开户信息如下：</w:t>
      </w:r>
    </w:p>
    <w:p w14:paraId="21F5615F">
      <w:pPr>
        <w:adjustRightInd w:val="0"/>
        <w:snapToGrid w:val="0"/>
        <w:spacing w:after="290" w:afterLines="100" w:line="560" w:lineRule="exact"/>
        <w:ind w:firstLine="480" w:firstLineChars="200"/>
        <w:rPr>
          <w:rFonts w:asciiTheme="majorEastAsia" w:hAnsiTheme="majorEastAsia" w:eastAsiaTheme="majorEastAsia" w:cstheme="majorEastAsia"/>
          <w:sz w:val="24"/>
        </w:rPr>
      </w:pPr>
    </w:p>
    <w:p w14:paraId="52BEFA99">
      <w:pPr>
        <w:adjustRightInd w:val="0"/>
        <w:snapToGrid w:val="0"/>
        <w:spacing w:after="290" w:afterLines="100" w:line="560" w:lineRule="exact"/>
        <w:ind w:firstLine="480" w:firstLineChars="200"/>
        <w:rPr>
          <w:rFonts w:asciiTheme="majorEastAsia" w:hAnsiTheme="majorEastAsia" w:eastAsiaTheme="majorEastAsia" w:cstheme="majorEastAsia"/>
          <w:sz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04"/>
      </w:tblGrid>
      <w:tr w14:paraId="799A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68414715">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项目名称</w:t>
            </w:r>
          </w:p>
        </w:tc>
        <w:tc>
          <w:tcPr>
            <w:tcW w:w="6804" w:type="dxa"/>
          </w:tcPr>
          <w:p w14:paraId="74BDA575">
            <w:pPr>
              <w:adjustRightInd w:val="0"/>
              <w:snapToGrid w:val="0"/>
              <w:jc w:val="left"/>
              <w:rPr>
                <w:rFonts w:asciiTheme="majorEastAsia" w:hAnsiTheme="majorEastAsia" w:eastAsiaTheme="majorEastAsia" w:cstheme="majorEastAsia"/>
                <w:sz w:val="18"/>
                <w:szCs w:val="18"/>
              </w:rPr>
            </w:pPr>
          </w:p>
        </w:tc>
      </w:tr>
      <w:tr w14:paraId="35D6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1058DAD5">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乙方名称</w:t>
            </w:r>
          </w:p>
        </w:tc>
        <w:tc>
          <w:tcPr>
            <w:tcW w:w="6804" w:type="dxa"/>
          </w:tcPr>
          <w:p w14:paraId="5D4E5E6F">
            <w:pPr>
              <w:adjustRightInd w:val="0"/>
              <w:snapToGrid w:val="0"/>
              <w:jc w:val="left"/>
              <w:rPr>
                <w:rFonts w:asciiTheme="majorEastAsia" w:hAnsiTheme="majorEastAsia" w:eastAsiaTheme="majorEastAsia" w:cstheme="majorEastAsia"/>
                <w:sz w:val="18"/>
                <w:szCs w:val="18"/>
              </w:rPr>
            </w:pPr>
          </w:p>
        </w:tc>
      </w:tr>
      <w:tr w14:paraId="1132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1797817C">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开户银行名称</w:t>
            </w:r>
          </w:p>
        </w:tc>
        <w:tc>
          <w:tcPr>
            <w:tcW w:w="6804" w:type="dxa"/>
          </w:tcPr>
          <w:p w14:paraId="6F95DF03">
            <w:pPr>
              <w:adjustRightInd w:val="0"/>
              <w:snapToGrid w:val="0"/>
              <w:jc w:val="left"/>
              <w:rPr>
                <w:rFonts w:asciiTheme="majorEastAsia" w:hAnsiTheme="majorEastAsia" w:eastAsiaTheme="majorEastAsia" w:cstheme="majorEastAsia"/>
                <w:sz w:val="18"/>
                <w:szCs w:val="18"/>
              </w:rPr>
            </w:pPr>
          </w:p>
        </w:tc>
      </w:tr>
      <w:tr w14:paraId="1AA5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6DE4E1FB">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专用账户名称</w:t>
            </w:r>
          </w:p>
        </w:tc>
        <w:tc>
          <w:tcPr>
            <w:tcW w:w="6804" w:type="dxa"/>
          </w:tcPr>
          <w:p w14:paraId="028E3243">
            <w:pPr>
              <w:adjustRightInd w:val="0"/>
              <w:snapToGrid w:val="0"/>
              <w:jc w:val="left"/>
              <w:rPr>
                <w:rFonts w:asciiTheme="majorEastAsia" w:hAnsiTheme="majorEastAsia" w:eastAsiaTheme="majorEastAsia" w:cstheme="majorEastAsia"/>
                <w:sz w:val="18"/>
                <w:szCs w:val="18"/>
              </w:rPr>
            </w:pPr>
          </w:p>
        </w:tc>
      </w:tr>
      <w:tr w14:paraId="12F6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5278EC34">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专用账户账号</w:t>
            </w:r>
          </w:p>
        </w:tc>
        <w:tc>
          <w:tcPr>
            <w:tcW w:w="6804" w:type="dxa"/>
          </w:tcPr>
          <w:p w14:paraId="57011208">
            <w:pPr>
              <w:adjustRightInd w:val="0"/>
              <w:snapToGrid w:val="0"/>
              <w:jc w:val="left"/>
              <w:rPr>
                <w:rFonts w:asciiTheme="majorEastAsia" w:hAnsiTheme="majorEastAsia" w:eastAsiaTheme="majorEastAsia" w:cstheme="majorEastAsia"/>
                <w:sz w:val="18"/>
                <w:szCs w:val="18"/>
              </w:rPr>
            </w:pPr>
          </w:p>
        </w:tc>
      </w:tr>
    </w:tbl>
    <w:p w14:paraId="251F18FB">
      <w:pPr>
        <w:adjustRightInd w:val="0"/>
        <w:snapToGrid w:val="0"/>
        <w:spacing w:before="290" w:beforeLines="100"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2.专用账户不得有提取现金、出售银行票据和商业票据等自主支付功能。</w:t>
      </w:r>
    </w:p>
    <w:p w14:paraId="0B6F5DB9">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3.响应支持数字人民币政策要求，专用账户开设后应设立数字人民币账户，数字人民币账户可提现至专用账户，账户功能不得超过专用账户限制。</w:t>
      </w:r>
    </w:p>
    <w:p w14:paraId="36A1A143">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4.具体银行业务约定由乙丙方另行约定。</w:t>
      </w:r>
    </w:p>
    <w:p w14:paraId="29323075">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三、使用</w:t>
      </w:r>
    </w:p>
    <w:p w14:paraId="3579111B">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1.乙方及时将工资支付表上传监管平台，丙方对工资支付表进行形式审核后完成支付。</w:t>
      </w:r>
    </w:p>
    <w:p w14:paraId="0CD39F6D">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2.丙方支持城维项目人员使用本人具有金融功能的社会保障卡或现有银行卡领取工资。</w:t>
      </w:r>
    </w:p>
    <w:p w14:paraId="25821666">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四、监管</w:t>
      </w:r>
    </w:p>
    <w:p w14:paraId="4ABD099F">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1.丙方负责对工资专户进行监管、确保资金安全；丙方负责监管平台的日常维护与升级；丙方授权甲方人员登录使用监管平台。 </w:t>
      </w:r>
    </w:p>
    <w:p w14:paraId="3DA32948">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2.丙方应在专用账户开立之日起5个工作日内，将专用账户信息、项目名称、项目联系人及联系方式等开户资料上传监管平台。</w:t>
      </w:r>
    </w:p>
    <w:p w14:paraId="76CB26C0">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3.丙方对上传的工资支付表进行自动对比分析，做出合规性判断，对有明显转移资金的不合理支付款项予以阻止（阻止类指标），对其他不合理现象发送警示信息但不阻止支付款项（警示类指标）。</w:t>
      </w:r>
      <w:bookmarkStart w:id="0" w:name="_GoBack"/>
      <w:r>
        <w:rPr>
          <w:rFonts w:hint="eastAsia" w:asciiTheme="majorEastAsia" w:hAnsiTheme="majorEastAsia" w:eastAsiaTheme="majorEastAsia" w:cstheme="majorEastAsia"/>
          <w:sz w:val="24"/>
        </w:rPr>
        <w:t>丙方应及时向甲方发送阻止类和警示类指标信息。</w:t>
      </w:r>
    </w:p>
    <w:bookmarkEnd w:id="0"/>
    <w:p w14:paraId="05AD2B0F">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4.丙方根据甲方实际业务监管需求，及时调整预警指标数量和数值设置。</w:t>
      </w:r>
    </w:p>
    <w:p w14:paraId="0EFFD7C1">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5.丙方负责统计专用账户中资金变动情况，在资金变动当日将信息及相关资料上传至监管平台，备案保存，供各方查阅。</w:t>
      </w:r>
    </w:p>
    <w:p w14:paraId="302276D8">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6.甲方进行城维项目、专用账户的审计和检查，乙丙方应予配合。</w:t>
      </w:r>
    </w:p>
    <w:p w14:paraId="5E593893">
      <w:pPr>
        <w:adjustRightInd w:val="0"/>
        <w:snapToGrid w:val="0"/>
        <w:spacing w:line="560" w:lineRule="exact"/>
        <w:ind w:firstLine="480" w:firstLineChars="20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五、销户</w:t>
      </w:r>
    </w:p>
    <w:p w14:paraId="2387E374">
      <w:pPr>
        <w:adjustRightInd w:val="0"/>
        <w:snapToGrid w:val="0"/>
        <w:spacing w:after="290" w:afterLines="100"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项目履行完毕并已足额支付项目人员工资后，乙方凭甲方开具的项目履约完毕证明和乙方已足额支付项目人员工资承诺，向丙方申请撤销专用账户，丙方为其办理销户。撤销后如有余额，划转至乙方账户，账户信息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04"/>
      </w:tblGrid>
      <w:tr w14:paraId="230A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3132BED8">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乙方名称</w:t>
            </w:r>
          </w:p>
        </w:tc>
        <w:tc>
          <w:tcPr>
            <w:tcW w:w="6804" w:type="dxa"/>
          </w:tcPr>
          <w:p w14:paraId="6C981842">
            <w:pPr>
              <w:adjustRightInd w:val="0"/>
              <w:snapToGrid w:val="0"/>
              <w:jc w:val="left"/>
              <w:rPr>
                <w:rFonts w:asciiTheme="majorEastAsia" w:hAnsiTheme="majorEastAsia" w:eastAsiaTheme="majorEastAsia" w:cstheme="majorEastAsia"/>
                <w:sz w:val="18"/>
                <w:szCs w:val="18"/>
              </w:rPr>
            </w:pPr>
          </w:p>
        </w:tc>
      </w:tr>
      <w:tr w14:paraId="690C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2E3132E9">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开户银行名称</w:t>
            </w:r>
          </w:p>
        </w:tc>
        <w:tc>
          <w:tcPr>
            <w:tcW w:w="6804" w:type="dxa"/>
          </w:tcPr>
          <w:p w14:paraId="10CC7FD6">
            <w:pPr>
              <w:adjustRightInd w:val="0"/>
              <w:snapToGrid w:val="0"/>
              <w:jc w:val="left"/>
              <w:rPr>
                <w:rFonts w:asciiTheme="majorEastAsia" w:hAnsiTheme="majorEastAsia" w:eastAsiaTheme="majorEastAsia" w:cstheme="majorEastAsia"/>
                <w:sz w:val="18"/>
                <w:szCs w:val="18"/>
              </w:rPr>
            </w:pPr>
          </w:p>
        </w:tc>
      </w:tr>
      <w:tr w14:paraId="4FBC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19CA4424">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开户银行账号</w:t>
            </w:r>
          </w:p>
        </w:tc>
        <w:tc>
          <w:tcPr>
            <w:tcW w:w="6804" w:type="dxa"/>
          </w:tcPr>
          <w:p w14:paraId="5297B966">
            <w:pPr>
              <w:adjustRightInd w:val="0"/>
              <w:snapToGrid w:val="0"/>
              <w:jc w:val="left"/>
              <w:rPr>
                <w:rFonts w:asciiTheme="majorEastAsia" w:hAnsiTheme="majorEastAsia" w:eastAsiaTheme="majorEastAsia" w:cstheme="majorEastAsia"/>
                <w:sz w:val="18"/>
                <w:szCs w:val="18"/>
              </w:rPr>
            </w:pPr>
          </w:p>
        </w:tc>
      </w:tr>
    </w:tbl>
    <w:p w14:paraId="293E857A">
      <w:pPr>
        <w:adjustRightInd w:val="0"/>
        <w:snapToGrid w:val="0"/>
        <w:spacing w:before="290" w:beforeLines="100"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2.专用账户撤销后，丙方应将相关资料及时上传监管平台，专用账户撤销，丙方全额解付资金后，终止丙方对专用账户的监管责任。</w:t>
      </w:r>
    </w:p>
    <w:p w14:paraId="55520D3E">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六、责任</w:t>
      </w:r>
    </w:p>
    <w:p w14:paraId="51A8520F">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在项目履行过程中，乙方对工资支付表信息内容真实性、有效性、完整性、及时性负责。乙方因用工量增加、服务费支付时间与工资发放时间有差异等原因，导致专用账户余额不足以足额支付当月工资时，应及时向专用账户补足差额。乙方挪用、套用资金的，按相关规定追究责任。</w:t>
      </w:r>
    </w:p>
    <w:p w14:paraId="26F284FC">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因丙方故意或重大过失导致丙方未按约定的条件办理支付，造成甲方或乙方损失的，丙方应承担赔偿责任；上述情况每年度累计发生三次及以上的，甲方有权终止协议，丙方应配合乙方办理销户。因丙方重大过错未能及时发放工资，造成群体性事件，导致甲方或乙方损失的，丙方应承担赔偿责任，甲方有权终止部分或全部合作。非因丙方过错导致无法办理支付的，丙方免责。</w:t>
      </w:r>
    </w:p>
    <w:p w14:paraId="133E12D1">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若任何一方因不可抗力不能履行本协议，应根据不可抗力的影响程度，部分或全部免除该方的责任。任何一方遭到不可抗力时，应及时通知其他方，并在合理期限内提供遭到不可抗力影响的证明，同时采取适当措施防止损失的扩大和保护资金的完整。</w:t>
      </w:r>
    </w:p>
    <w:p w14:paraId="52EAD58C">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4.除法律、法规规定或专户资金监管特殊需要外，未经全体同意，任一方不得泄露涉及其他方的商业秘密。</w:t>
      </w:r>
    </w:p>
    <w:p w14:paraId="2E9855FC">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七、其他</w:t>
      </w:r>
    </w:p>
    <w:p w14:paraId="2119AB3F">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1.本协议经各方法定代表人/负责人或其授权代理人签字，并加盖公章之日起生效，自专用账户撤销之日起终止。</w:t>
      </w:r>
    </w:p>
    <w:p w14:paraId="751585C5">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2.本协议一式四份，各方各执一份。变更协议需经协商一致，并签订书面补充协议。补充协议对本协议作变更的，以补充协议为准；存在多份补充协议的，以生成在后的补充协议为准。</w:t>
      </w:r>
    </w:p>
    <w:p w14:paraId="17EB1A76">
      <w:pPr>
        <w:adjustRightInd w:val="0"/>
        <w:snapToGrid w:val="0"/>
        <w:spacing w:after="290" w:afterLines="100"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3.为便于日常联系监管平台工作，各方各指定联络人一名，见如下：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1452"/>
        <w:gridCol w:w="3044"/>
        <w:gridCol w:w="2974"/>
      </w:tblGrid>
      <w:tr w14:paraId="0AF6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4"/>
          </w:tcPr>
          <w:p w14:paraId="14CA5B63">
            <w:pPr>
              <w:tabs>
                <w:tab w:val="left" w:pos="3113"/>
              </w:tabs>
              <w:adjustRightInd w:val="0"/>
              <w:snapToGrid w:val="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联络人</w:t>
            </w:r>
          </w:p>
        </w:tc>
      </w:tr>
      <w:tr w14:paraId="0CC3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2" w:type="dxa"/>
          </w:tcPr>
          <w:p w14:paraId="69F9F58C">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合同方</w:t>
            </w:r>
          </w:p>
        </w:tc>
        <w:tc>
          <w:tcPr>
            <w:tcW w:w="1452" w:type="dxa"/>
          </w:tcPr>
          <w:p w14:paraId="6E172EAE">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姓名</w:t>
            </w:r>
          </w:p>
        </w:tc>
        <w:tc>
          <w:tcPr>
            <w:tcW w:w="3044" w:type="dxa"/>
          </w:tcPr>
          <w:p w14:paraId="42530B1A">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联系电话（手机）</w:t>
            </w:r>
          </w:p>
        </w:tc>
        <w:tc>
          <w:tcPr>
            <w:tcW w:w="2974" w:type="dxa"/>
          </w:tcPr>
          <w:p w14:paraId="71AE1119">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邮箱</w:t>
            </w:r>
          </w:p>
        </w:tc>
      </w:tr>
      <w:tr w14:paraId="1BAD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2" w:type="dxa"/>
          </w:tcPr>
          <w:p w14:paraId="62600500">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甲方1</w:t>
            </w:r>
          </w:p>
        </w:tc>
        <w:tc>
          <w:tcPr>
            <w:tcW w:w="1452" w:type="dxa"/>
          </w:tcPr>
          <w:p w14:paraId="07CE47F1">
            <w:pPr>
              <w:adjustRightInd w:val="0"/>
              <w:snapToGrid w:val="0"/>
              <w:rPr>
                <w:rFonts w:asciiTheme="majorEastAsia" w:hAnsiTheme="majorEastAsia" w:eastAsiaTheme="majorEastAsia" w:cstheme="majorEastAsia"/>
                <w:szCs w:val="21"/>
              </w:rPr>
            </w:pPr>
          </w:p>
        </w:tc>
        <w:tc>
          <w:tcPr>
            <w:tcW w:w="3044" w:type="dxa"/>
          </w:tcPr>
          <w:p w14:paraId="1629F6DD">
            <w:pPr>
              <w:adjustRightInd w:val="0"/>
              <w:snapToGrid w:val="0"/>
              <w:rPr>
                <w:rFonts w:asciiTheme="majorEastAsia" w:hAnsiTheme="majorEastAsia" w:eastAsiaTheme="majorEastAsia" w:cstheme="majorEastAsia"/>
                <w:szCs w:val="21"/>
              </w:rPr>
            </w:pPr>
          </w:p>
        </w:tc>
        <w:tc>
          <w:tcPr>
            <w:tcW w:w="2974" w:type="dxa"/>
          </w:tcPr>
          <w:p w14:paraId="765EBABC">
            <w:pPr>
              <w:adjustRightInd w:val="0"/>
              <w:snapToGrid w:val="0"/>
              <w:rPr>
                <w:rFonts w:asciiTheme="majorEastAsia" w:hAnsiTheme="majorEastAsia" w:eastAsiaTheme="majorEastAsia" w:cstheme="majorEastAsia"/>
                <w:szCs w:val="21"/>
              </w:rPr>
            </w:pPr>
          </w:p>
        </w:tc>
      </w:tr>
      <w:tr w14:paraId="2265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2" w:type="dxa"/>
          </w:tcPr>
          <w:p w14:paraId="1A2E20B0">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甲方2</w:t>
            </w:r>
          </w:p>
        </w:tc>
        <w:tc>
          <w:tcPr>
            <w:tcW w:w="1452" w:type="dxa"/>
          </w:tcPr>
          <w:p w14:paraId="27C46DEC">
            <w:pPr>
              <w:adjustRightInd w:val="0"/>
              <w:snapToGrid w:val="0"/>
              <w:rPr>
                <w:rFonts w:asciiTheme="majorEastAsia" w:hAnsiTheme="majorEastAsia" w:eastAsiaTheme="majorEastAsia" w:cstheme="majorEastAsia"/>
                <w:szCs w:val="21"/>
              </w:rPr>
            </w:pPr>
          </w:p>
        </w:tc>
        <w:tc>
          <w:tcPr>
            <w:tcW w:w="3044" w:type="dxa"/>
          </w:tcPr>
          <w:p w14:paraId="127151B4">
            <w:pPr>
              <w:adjustRightInd w:val="0"/>
              <w:snapToGrid w:val="0"/>
              <w:rPr>
                <w:rFonts w:asciiTheme="majorEastAsia" w:hAnsiTheme="majorEastAsia" w:eastAsiaTheme="majorEastAsia" w:cstheme="majorEastAsia"/>
                <w:szCs w:val="21"/>
              </w:rPr>
            </w:pPr>
          </w:p>
        </w:tc>
        <w:tc>
          <w:tcPr>
            <w:tcW w:w="2974" w:type="dxa"/>
          </w:tcPr>
          <w:p w14:paraId="48AB8E6B">
            <w:pPr>
              <w:adjustRightInd w:val="0"/>
              <w:snapToGrid w:val="0"/>
              <w:rPr>
                <w:rFonts w:asciiTheme="majorEastAsia" w:hAnsiTheme="majorEastAsia" w:eastAsiaTheme="majorEastAsia" w:cstheme="majorEastAsia"/>
                <w:szCs w:val="21"/>
              </w:rPr>
            </w:pPr>
          </w:p>
        </w:tc>
      </w:tr>
      <w:tr w14:paraId="21FA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2" w:type="dxa"/>
          </w:tcPr>
          <w:p w14:paraId="19750220">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乙方</w:t>
            </w:r>
          </w:p>
        </w:tc>
        <w:tc>
          <w:tcPr>
            <w:tcW w:w="1452" w:type="dxa"/>
          </w:tcPr>
          <w:p w14:paraId="2FED062B">
            <w:pPr>
              <w:adjustRightInd w:val="0"/>
              <w:snapToGrid w:val="0"/>
              <w:rPr>
                <w:rFonts w:asciiTheme="majorEastAsia" w:hAnsiTheme="majorEastAsia" w:eastAsiaTheme="majorEastAsia" w:cstheme="majorEastAsia"/>
                <w:szCs w:val="21"/>
              </w:rPr>
            </w:pPr>
          </w:p>
        </w:tc>
        <w:tc>
          <w:tcPr>
            <w:tcW w:w="3044" w:type="dxa"/>
          </w:tcPr>
          <w:p w14:paraId="01E923A9">
            <w:pPr>
              <w:adjustRightInd w:val="0"/>
              <w:snapToGrid w:val="0"/>
              <w:rPr>
                <w:rFonts w:asciiTheme="majorEastAsia" w:hAnsiTheme="majorEastAsia" w:eastAsiaTheme="majorEastAsia" w:cstheme="majorEastAsia"/>
                <w:szCs w:val="21"/>
              </w:rPr>
            </w:pPr>
          </w:p>
        </w:tc>
        <w:tc>
          <w:tcPr>
            <w:tcW w:w="2974" w:type="dxa"/>
          </w:tcPr>
          <w:p w14:paraId="65FDEAC0">
            <w:pPr>
              <w:adjustRightInd w:val="0"/>
              <w:snapToGrid w:val="0"/>
              <w:rPr>
                <w:rFonts w:asciiTheme="majorEastAsia" w:hAnsiTheme="majorEastAsia" w:eastAsiaTheme="majorEastAsia" w:cstheme="majorEastAsia"/>
                <w:szCs w:val="21"/>
              </w:rPr>
            </w:pPr>
          </w:p>
        </w:tc>
      </w:tr>
      <w:tr w14:paraId="6243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2" w:type="dxa"/>
          </w:tcPr>
          <w:p w14:paraId="2A476CB6">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丙方</w:t>
            </w:r>
          </w:p>
        </w:tc>
        <w:tc>
          <w:tcPr>
            <w:tcW w:w="1452" w:type="dxa"/>
          </w:tcPr>
          <w:p w14:paraId="46B7F476">
            <w:pPr>
              <w:adjustRightInd w:val="0"/>
              <w:snapToGrid w:val="0"/>
              <w:rPr>
                <w:rFonts w:asciiTheme="majorEastAsia" w:hAnsiTheme="majorEastAsia" w:eastAsiaTheme="majorEastAsia" w:cstheme="majorEastAsia"/>
                <w:szCs w:val="21"/>
              </w:rPr>
            </w:pPr>
          </w:p>
        </w:tc>
        <w:tc>
          <w:tcPr>
            <w:tcW w:w="3044" w:type="dxa"/>
          </w:tcPr>
          <w:p w14:paraId="00ABEEC6">
            <w:pPr>
              <w:adjustRightInd w:val="0"/>
              <w:snapToGrid w:val="0"/>
              <w:rPr>
                <w:rFonts w:asciiTheme="majorEastAsia" w:hAnsiTheme="majorEastAsia" w:eastAsiaTheme="majorEastAsia" w:cstheme="majorEastAsia"/>
                <w:szCs w:val="21"/>
              </w:rPr>
            </w:pPr>
          </w:p>
        </w:tc>
        <w:tc>
          <w:tcPr>
            <w:tcW w:w="2974" w:type="dxa"/>
          </w:tcPr>
          <w:p w14:paraId="7FD988BF">
            <w:pPr>
              <w:adjustRightInd w:val="0"/>
              <w:snapToGrid w:val="0"/>
              <w:rPr>
                <w:rFonts w:asciiTheme="majorEastAsia" w:hAnsiTheme="majorEastAsia" w:eastAsiaTheme="majorEastAsia" w:cstheme="majorEastAsia"/>
                <w:szCs w:val="21"/>
              </w:rPr>
            </w:pPr>
          </w:p>
        </w:tc>
      </w:tr>
    </w:tbl>
    <w:p w14:paraId="662BAEE2">
      <w:pPr>
        <w:adjustRightInd w:val="0"/>
        <w:snapToGrid w:val="0"/>
        <w:rPr>
          <w:rFonts w:asciiTheme="majorEastAsia" w:hAnsiTheme="majorEastAsia" w:eastAsiaTheme="majorEastAsia" w:cstheme="majorEastAsia"/>
          <w:sz w:val="24"/>
        </w:rPr>
      </w:pPr>
    </w:p>
    <w:p w14:paraId="5AB12689">
      <w:pPr>
        <w:adjustRightInd w:val="0"/>
        <w:snapToGrid w:val="0"/>
        <w:rPr>
          <w:rFonts w:asciiTheme="majorEastAsia" w:hAnsiTheme="majorEastAsia" w:eastAsiaTheme="majorEastAsia" w:cstheme="majorEastAsia"/>
          <w:sz w:val="24"/>
        </w:rPr>
      </w:pPr>
    </w:p>
    <w:p w14:paraId="237D2EDA">
      <w:pPr>
        <w:adjustRightInd w:val="0"/>
        <w:snapToGrid w:val="0"/>
        <w:rPr>
          <w:rFonts w:asciiTheme="majorEastAsia" w:hAnsiTheme="majorEastAsia" w:eastAsiaTheme="majorEastAsia" w:cstheme="majorEastAsia"/>
          <w:sz w:val="24"/>
        </w:rPr>
      </w:pPr>
    </w:p>
    <w:p w14:paraId="6C4622F6">
      <w:pPr>
        <w:adjustRightInd w:val="0"/>
        <w:snapToGrid w:val="0"/>
        <w:rPr>
          <w:rFonts w:asciiTheme="majorEastAsia" w:hAnsiTheme="majorEastAsia" w:eastAsiaTheme="majorEastAsia" w:cstheme="majorEastAsia"/>
          <w:sz w:val="24"/>
        </w:rPr>
      </w:pPr>
    </w:p>
    <w:p w14:paraId="149C791B">
      <w:pPr>
        <w:adjustRightInd w:val="0"/>
        <w:snapToGrid w:val="0"/>
        <w:rPr>
          <w:rFonts w:asciiTheme="majorEastAsia" w:hAnsiTheme="majorEastAsia" w:eastAsiaTheme="majorEastAsia" w:cstheme="majorEastAsia"/>
          <w:sz w:val="24"/>
        </w:rPr>
      </w:pPr>
    </w:p>
    <w:p w14:paraId="49E2A228">
      <w:pPr>
        <w:adjustRightInd w:val="0"/>
        <w:snapToGrid w:val="0"/>
        <w:rPr>
          <w:rFonts w:asciiTheme="majorEastAsia" w:hAnsiTheme="majorEastAsia" w:eastAsiaTheme="majorEastAsia" w:cstheme="majorEastAsia"/>
          <w:sz w:val="24"/>
        </w:rPr>
      </w:pPr>
    </w:p>
    <w:p w14:paraId="7B1F162B">
      <w:pPr>
        <w:adjustRightInd w:val="0"/>
        <w:snapToGrid w:val="0"/>
        <w:rPr>
          <w:rFonts w:asciiTheme="majorEastAsia" w:hAnsiTheme="majorEastAsia" w:eastAsiaTheme="majorEastAsia" w:cstheme="majorEastAsia"/>
          <w:sz w:val="24"/>
        </w:rPr>
      </w:pPr>
    </w:p>
    <w:p w14:paraId="0D8B0D88">
      <w:pPr>
        <w:adjustRightInd w:val="0"/>
        <w:snapToGrid w:val="0"/>
        <w:rPr>
          <w:rFonts w:asciiTheme="majorEastAsia" w:hAnsiTheme="majorEastAsia" w:eastAsiaTheme="majorEastAsia" w:cstheme="majorEastAsia"/>
          <w:sz w:val="24"/>
        </w:rPr>
      </w:pPr>
    </w:p>
    <w:p w14:paraId="7E1D8AD2">
      <w:pPr>
        <w:adjustRightInd w:val="0"/>
        <w:snapToGrid w:val="0"/>
        <w:rPr>
          <w:rFonts w:asciiTheme="majorEastAsia" w:hAnsiTheme="majorEastAsia" w:eastAsiaTheme="majorEastAsia" w:cstheme="majorEastAsia"/>
          <w:sz w:val="24"/>
        </w:rPr>
      </w:pPr>
    </w:p>
    <w:p w14:paraId="7CCFAB04">
      <w:pPr>
        <w:adjustRightInd w:val="0"/>
        <w:snapToGrid w:val="0"/>
        <w:rPr>
          <w:rFonts w:asciiTheme="majorEastAsia" w:hAnsiTheme="majorEastAsia" w:eastAsiaTheme="majorEastAsia" w:cstheme="majorEastAsia"/>
          <w:sz w:val="24"/>
        </w:rPr>
      </w:pPr>
    </w:p>
    <w:p w14:paraId="337E4461">
      <w:pPr>
        <w:adjustRightInd w:val="0"/>
        <w:snapToGrid w:val="0"/>
        <w:rPr>
          <w:rFonts w:asciiTheme="majorEastAsia" w:hAnsiTheme="majorEastAsia" w:eastAsiaTheme="majorEastAsia" w:cstheme="majorEastAsia"/>
          <w:sz w:val="24"/>
        </w:rPr>
      </w:pPr>
    </w:p>
    <w:p w14:paraId="4C95B0E9">
      <w:pPr>
        <w:adjustRightInd w:val="0"/>
        <w:snapToGrid w:val="0"/>
        <w:rPr>
          <w:rFonts w:asciiTheme="majorEastAsia" w:hAnsiTheme="majorEastAsia" w:eastAsiaTheme="majorEastAsia" w:cstheme="majorEastAsia"/>
          <w:sz w:val="24"/>
        </w:rPr>
      </w:pPr>
    </w:p>
    <w:p w14:paraId="154E433C">
      <w:pPr>
        <w:adjustRightInd w:val="0"/>
        <w:snapToGrid w:val="0"/>
        <w:rPr>
          <w:rFonts w:asciiTheme="majorEastAsia" w:hAnsiTheme="majorEastAsia" w:eastAsiaTheme="majorEastAsia" w:cstheme="majorEastAsia"/>
          <w:sz w:val="24"/>
        </w:rPr>
      </w:pPr>
    </w:p>
    <w:p w14:paraId="20428722">
      <w:pPr>
        <w:adjustRightInd w:val="0"/>
        <w:snapToGrid w:val="0"/>
        <w:rPr>
          <w:rFonts w:asciiTheme="majorEastAsia" w:hAnsiTheme="majorEastAsia" w:eastAsiaTheme="majorEastAsia" w:cstheme="majorEastAsia"/>
          <w:sz w:val="24"/>
        </w:rPr>
      </w:pPr>
    </w:p>
    <w:p w14:paraId="553AACAE">
      <w:pPr>
        <w:adjustRightInd w:val="0"/>
        <w:snapToGrid w:val="0"/>
        <w:rPr>
          <w:rFonts w:asciiTheme="majorEastAsia" w:hAnsiTheme="majorEastAsia" w:eastAsiaTheme="majorEastAsia" w:cstheme="majorEastAsia"/>
          <w:sz w:val="24"/>
        </w:rPr>
      </w:pPr>
    </w:p>
    <w:p w14:paraId="57730B5B">
      <w:pPr>
        <w:adjustRightInd w:val="0"/>
        <w:snapToGrid w:val="0"/>
        <w:rPr>
          <w:rFonts w:asciiTheme="majorEastAsia" w:hAnsiTheme="majorEastAsia" w:eastAsiaTheme="majorEastAsia" w:cstheme="majorEastAsia"/>
          <w:sz w:val="24"/>
        </w:rPr>
      </w:pPr>
    </w:p>
    <w:p w14:paraId="41A485B6">
      <w:pPr>
        <w:adjustRightInd w:val="0"/>
        <w:snapToGrid w:val="0"/>
        <w:rPr>
          <w:rFonts w:asciiTheme="majorEastAsia" w:hAnsiTheme="majorEastAsia" w:eastAsiaTheme="majorEastAsia" w:cstheme="majorEastAsia"/>
          <w:sz w:val="24"/>
        </w:rPr>
      </w:pPr>
    </w:p>
    <w:p w14:paraId="3C8A7B5A">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（签字页）</w:t>
      </w:r>
    </w:p>
    <w:p w14:paraId="6B9BC8E4">
      <w:pPr>
        <w:adjustRightInd w:val="0"/>
        <w:snapToGrid w:val="0"/>
        <w:rPr>
          <w:rFonts w:asciiTheme="majorEastAsia" w:hAnsiTheme="majorEastAsia" w:eastAsiaTheme="majorEastAsia" w:cstheme="majorEastAsia"/>
          <w:sz w:val="24"/>
        </w:rPr>
      </w:pPr>
    </w:p>
    <w:p w14:paraId="7F041053">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甲方1（盖章）：                      法定代表人/负责人（签字或盖章）：</w:t>
      </w:r>
    </w:p>
    <w:p w14:paraId="037717B6">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授权代理人（签字或盖章）：</w:t>
      </w:r>
    </w:p>
    <w:p w14:paraId="70E04548">
      <w:pPr>
        <w:adjustRightInd w:val="0"/>
        <w:snapToGrid w:val="0"/>
        <w:jc w:val="righ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协议签订日期：       年    月    日</w:t>
      </w:r>
    </w:p>
    <w:p w14:paraId="6ADA72D9">
      <w:pPr>
        <w:adjustRightInd w:val="0"/>
        <w:snapToGrid w:val="0"/>
        <w:ind w:firstLine="1200" w:firstLineChars="500"/>
        <w:rPr>
          <w:rFonts w:asciiTheme="majorEastAsia" w:hAnsiTheme="majorEastAsia" w:eastAsiaTheme="majorEastAsia" w:cstheme="majorEastAsia"/>
          <w:sz w:val="24"/>
        </w:rPr>
      </w:pPr>
    </w:p>
    <w:p w14:paraId="2E7B86E5">
      <w:pPr>
        <w:adjustRightInd w:val="0"/>
        <w:snapToGrid w:val="0"/>
        <w:ind w:firstLine="1200" w:firstLineChars="500"/>
        <w:rPr>
          <w:rFonts w:asciiTheme="majorEastAsia" w:hAnsiTheme="majorEastAsia" w:eastAsiaTheme="majorEastAsia" w:cstheme="majorEastAsia"/>
          <w:sz w:val="24"/>
        </w:rPr>
      </w:pPr>
    </w:p>
    <w:p w14:paraId="78E3DCFE">
      <w:pPr>
        <w:adjustRightInd w:val="0"/>
        <w:snapToGrid w:val="0"/>
        <w:ind w:firstLine="1200" w:firstLineChars="500"/>
        <w:rPr>
          <w:rFonts w:asciiTheme="majorEastAsia" w:hAnsiTheme="majorEastAsia" w:eastAsiaTheme="majorEastAsia" w:cstheme="majorEastAsia"/>
          <w:sz w:val="24"/>
        </w:rPr>
      </w:pPr>
    </w:p>
    <w:p w14:paraId="3CE047C8">
      <w:pPr>
        <w:adjustRightInd w:val="0"/>
        <w:snapToGrid w:val="0"/>
        <w:ind w:firstLine="1200" w:firstLineChars="500"/>
        <w:rPr>
          <w:rFonts w:asciiTheme="majorEastAsia" w:hAnsiTheme="majorEastAsia" w:eastAsiaTheme="majorEastAsia" w:cstheme="majorEastAsia"/>
          <w:sz w:val="24"/>
        </w:rPr>
      </w:pPr>
    </w:p>
    <w:p w14:paraId="5D8237E8">
      <w:pPr>
        <w:adjustRightInd w:val="0"/>
        <w:snapToGrid w:val="0"/>
        <w:ind w:firstLine="1200" w:firstLineChars="500"/>
        <w:rPr>
          <w:rFonts w:asciiTheme="majorEastAsia" w:hAnsiTheme="majorEastAsia" w:eastAsiaTheme="majorEastAsia" w:cstheme="majorEastAsia"/>
          <w:sz w:val="24"/>
        </w:rPr>
      </w:pPr>
    </w:p>
    <w:p w14:paraId="4395216B">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甲方2（盖章）：                      法定代表人/负责人（签字或盖章）：</w:t>
      </w:r>
    </w:p>
    <w:p w14:paraId="20A873E3">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r>
        <w:rPr>
          <w:rFonts w:asciiTheme="majorEastAsia" w:hAnsiTheme="majorEastAsia" w:eastAsiaTheme="majorEastAsia" w:cstheme="majorEastAsia"/>
          <w:sz w:val="24"/>
        </w:rPr>
        <w:t xml:space="preserve"> </w:t>
      </w:r>
      <w:r>
        <w:rPr>
          <w:rFonts w:hint="eastAsia" w:asciiTheme="majorEastAsia" w:hAnsiTheme="majorEastAsia" w:eastAsiaTheme="majorEastAsia" w:cstheme="majorEastAsia"/>
          <w:sz w:val="24"/>
        </w:rPr>
        <w:t>授权代理人（签字或盖章）：</w:t>
      </w:r>
    </w:p>
    <w:p w14:paraId="4FF5B154">
      <w:pPr>
        <w:adjustRightInd w:val="0"/>
        <w:snapToGrid w:val="0"/>
        <w:ind w:firstLine="4080" w:firstLineChars="17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协议签订日期：       年    月    日</w:t>
      </w:r>
    </w:p>
    <w:p w14:paraId="03DD7199">
      <w:pPr>
        <w:adjustRightInd w:val="0"/>
        <w:snapToGrid w:val="0"/>
        <w:rPr>
          <w:rFonts w:asciiTheme="majorEastAsia" w:hAnsiTheme="majorEastAsia" w:eastAsiaTheme="majorEastAsia" w:cstheme="majorEastAsia"/>
          <w:sz w:val="24"/>
        </w:rPr>
      </w:pPr>
    </w:p>
    <w:p w14:paraId="1B4BF452">
      <w:pPr>
        <w:adjustRightInd w:val="0"/>
        <w:snapToGrid w:val="0"/>
        <w:rPr>
          <w:rFonts w:asciiTheme="majorEastAsia" w:hAnsiTheme="majorEastAsia" w:eastAsiaTheme="majorEastAsia" w:cstheme="majorEastAsia"/>
          <w:sz w:val="24"/>
        </w:rPr>
      </w:pPr>
    </w:p>
    <w:p w14:paraId="058E829A">
      <w:pPr>
        <w:adjustRightInd w:val="0"/>
        <w:snapToGrid w:val="0"/>
        <w:rPr>
          <w:rFonts w:asciiTheme="majorEastAsia" w:hAnsiTheme="majorEastAsia" w:eastAsiaTheme="majorEastAsia" w:cstheme="majorEastAsia"/>
          <w:sz w:val="24"/>
        </w:rPr>
      </w:pPr>
    </w:p>
    <w:p w14:paraId="20D1103E">
      <w:pPr>
        <w:adjustRightInd w:val="0"/>
        <w:snapToGrid w:val="0"/>
        <w:rPr>
          <w:rFonts w:asciiTheme="majorEastAsia" w:hAnsiTheme="majorEastAsia" w:eastAsiaTheme="majorEastAsia" w:cstheme="majorEastAsia"/>
          <w:sz w:val="24"/>
        </w:rPr>
      </w:pPr>
    </w:p>
    <w:p w14:paraId="07FC2A61">
      <w:pPr>
        <w:adjustRightInd w:val="0"/>
        <w:snapToGrid w:val="0"/>
        <w:rPr>
          <w:rFonts w:asciiTheme="majorEastAsia" w:hAnsiTheme="majorEastAsia" w:eastAsiaTheme="majorEastAsia" w:cstheme="majorEastAsia"/>
          <w:sz w:val="24"/>
        </w:rPr>
      </w:pPr>
    </w:p>
    <w:p w14:paraId="1F5A94D3">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乙方（盖章）：                      法定代表人/负责人（签字或盖章）：</w:t>
      </w:r>
    </w:p>
    <w:p w14:paraId="64A6052E">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授权代理人（签字或盖章）：</w:t>
      </w:r>
    </w:p>
    <w:p w14:paraId="7536930A">
      <w:pPr>
        <w:adjustRightInd w:val="0"/>
        <w:snapToGrid w:val="0"/>
        <w:ind w:firstLine="4080" w:firstLineChars="17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协议签订日期：       年    月    日</w:t>
      </w:r>
    </w:p>
    <w:p w14:paraId="0CA59D4E">
      <w:pPr>
        <w:adjustRightInd w:val="0"/>
        <w:snapToGrid w:val="0"/>
        <w:jc w:val="right"/>
        <w:rPr>
          <w:rFonts w:asciiTheme="majorEastAsia" w:hAnsiTheme="majorEastAsia" w:eastAsiaTheme="majorEastAsia" w:cstheme="majorEastAsia"/>
          <w:sz w:val="24"/>
        </w:rPr>
      </w:pPr>
    </w:p>
    <w:p w14:paraId="5550847C">
      <w:pPr>
        <w:adjustRightInd w:val="0"/>
        <w:snapToGrid w:val="0"/>
        <w:jc w:val="right"/>
        <w:rPr>
          <w:rFonts w:asciiTheme="majorEastAsia" w:hAnsiTheme="majorEastAsia" w:eastAsiaTheme="majorEastAsia" w:cstheme="majorEastAsia"/>
          <w:sz w:val="24"/>
        </w:rPr>
      </w:pPr>
    </w:p>
    <w:p w14:paraId="6B781C22">
      <w:pPr>
        <w:adjustRightInd w:val="0"/>
        <w:snapToGrid w:val="0"/>
        <w:jc w:val="right"/>
        <w:rPr>
          <w:rFonts w:asciiTheme="majorEastAsia" w:hAnsiTheme="majorEastAsia" w:eastAsiaTheme="majorEastAsia" w:cstheme="majorEastAsia"/>
          <w:sz w:val="24"/>
        </w:rPr>
      </w:pPr>
    </w:p>
    <w:p w14:paraId="037291FE">
      <w:pPr>
        <w:adjustRightInd w:val="0"/>
        <w:snapToGrid w:val="0"/>
        <w:jc w:val="right"/>
        <w:rPr>
          <w:rFonts w:asciiTheme="majorEastAsia" w:hAnsiTheme="majorEastAsia" w:eastAsiaTheme="majorEastAsia" w:cstheme="majorEastAsia"/>
          <w:sz w:val="24"/>
        </w:rPr>
      </w:pPr>
    </w:p>
    <w:p w14:paraId="055A83A8">
      <w:pPr>
        <w:adjustRightInd w:val="0"/>
        <w:snapToGrid w:val="0"/>
        <w:rPr>
          <w:rFonts w:asciiTheme="majorEastAsia" w:hAnsiTheme="majorEastAsia" w:eastAsiaTheme="majorEastAsia" w:cstheme="majorEastAsia"/>
          <w:sz w:val="24"/>
        </w:rPr>
      </w:pPr>
    </w:p>
    <w:p w14:paraId="24F5DFCD">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丙方（盖章）：                      法定代表人/负责人（签字或盖章）：</w:t>
      </w:r>
    </w:p>
    <w:p w14:paraId="3C34F825">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授权代理人（签字或盖章）：</w:t>
      </w:r>
    </w:p>
    <w:p w14:paraId="5CF5F9DF">
      <w:pPr>
        <w:adjustRightInd w:val="0"/>
        <w:snapToGrid w:val="0"/>
        <w:ind w:firstLine="4080" w:firstLineChars="17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协议签订日期：       年    月    日</w:t>
      </w:r>
    </w:p>
    <w:p w14:paraId="403AC1A4">
      <w:pPr>
        <w:adjustRightInd w:val="0"/>
        <w:snapToGrid w:val="0"/>
        <w:jc w:val="left"/>
        <w:rPr>
          <w:rFonts w:asciiTheme="majorEastAsia" w:hAnsiTheme="majorEastAsia" w:eastAsiaTheme="majorEastAsia" w:cstheme="majorEastAsia"/>
          <w:sz w:val="28"/>
          <w:szCs w:val="28"/>
        </w:rPr>
      </w:pPr>
    </w:p>
    <w:p w14:paraId="60A59277">
      <w:pPr>
        <w:adjustRightInd w:val="0"/>
        <w:snapToGrid w:val="0"/>
        <w:ind w:firstLine="1400" w:firstLineChars="500"/>
        <w:rPr>
          <w:rFonts w:asciiTheme="majorEastAsia" w:hAnsiTheme="majorEastAsia" w:eastAsiaTheme="majorEastAsia" w:cstheme="majorEastAsia"/>
          <w:sz w:val="28"/>
          <w:szCs w:val="28"/>
        </w:rPr>
      </w:pPr>
    </w:p>
    <w:p w14:paraId="0CF2ED48">
      <w:pPr>
        <w:adjustRightInd w:val="0"/>
        <w:snapToGrid w:val="0"/>
        <w:rPr>
          <w:rFonts w:asciiTheme="majorEastAsia" w:hAnsiTheme="majorEastAsia" w:eastAsiaTheme="majorEastAsia" w:cstheme="majorEastAsia"/>
          <w:sz w:val="28"/>
          <w:szCs w:val="28"/>
        </w:rPr>
      </w:pPr>
    </w:p>
    <w:sectPr>
      <w:footerReference r:id="rId3" w:type="default"/>
      <w:pgSz w:w="11906" w:h="16838"/>
      <w:pgMar w:top="1440" w:right="1800" w:bottom="1440" w:left="1800" w:header="851" w:footer="992" w:gutter="0"/>
      <w:cols w:space="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5375144"/>
    </w:sdtPr>
    <w:sdtContent>
      <w:p w14:paraId="49D3C4E9">
        <w:pPr>
          <w:pStyle w:val="4"/>
          <w:jc w:val="center"/>
        </w:pPr>
        <w:r>
          <w:fldChar w:fldCharType="begin"/>
        </w:r>
        <w:r>
          <w:instrText xml:space="preserve">PAGE   \* MERGEFORMAT</w:instrText>
        </w:r>
        <w:r>
          <w:fldChar w:fldCharType="separate"/>
        </w:r>
        <w:r>
          <w:rPr>
            <w:lang w:val="zh-CN"/>
          </w:rPr>
          <w:t>3</w:t>
        </w:r>
        <w:r>
          <w:fldChar w:fldCharType="end"/>
        </w:r>
      </w:p>
    </w:sdtContent>
  </w:sdt>
  <w:p w14:paraId="658A40B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2YjY2ZjI4ODg5MGZjMjk5NjlmNjMzM2Q0MDE5ZTUifQ=="/>
  </w:docVars>
  <w:rsids>
    <w:rsidRoot w:val="54ED471E"/>
    <w:rsid w:val="00054510"/>
    <w:rsid w:val="00065F29"/>
    <w:rsid w:val="00082F6E"/>
    <w:rsid w:val="00091676"/>
    <w:rsid w:val="000A1223"/>
    <w:rsid w:val="000F2FF8"/>
    <w:rsid w:val="000F301D"/>
    <w:rsid w:val="000F3E25"/>
    <w:rsid w:val="0010117D"/>
    <w:rsid w:val="0010687E"/>
    <w:rsid w:val="001325DC"/>
    <w:rsid w:val="001737C0"/>
    <w:rsid w:val="0018256D"/>
    <w:rsid w:val="00185406"/>
    <w:rsid w:val="00192CDB"/>
    <w:rsid w:val="00196306"/>
    <w:rsid w:val="001B4527"/>
    <w:rsid w:val="001D4B3D"/>
    <w:rsid w:val="001D642C"/>
    <w:rsid w:val="00223764"/>
    <w:rsid w:val="00230A72"/>
    <w:rsid w:val="002456B5"/>
    <w:rsid w:val="00253652"/>
    <w:rsid w:val="0026504B"/>
    <w:rsid w:val="002718F4"/>
    <w:rsid w:val="00273BA7"/>
    <w:rsid w:val="002752BC"/>
    <w:rsid w:val="002A2D24"/>
    <w:rsid w:val="002D613F"/>
    <w:rsid w:val="00303804"/>
    <w:rsid w:val="003348BB"/>
    <w:rsid w:val="0035469B"/>
    <w:rsid w:val="003832BD"/>
    <w:rsid w:val="0038436D"/>
    <w:rsid w:val="00385E58"/>
    <w:rsid w:val="003878B0"/>
    <w:rsid w:val="00392593"/>
    <w:rsid w:val="003A3993"/>
    <w:rsid w:val="003B1130"/>
    <w:rsid w:val="003E48EA"/>
    <w:rsid w:val="00437670"/>
    <w:rsid w:val="00490ACC"/>
    <w:rsid w:val="004E00EC"/>
    <w:rsid w:val="004F1B07"/>
    <w:rsid w:val="004F7E45"/>
    <w:rsid w:val="00526896"/>
    <w:rsid w:val="0054059F"/>
    <w:rsid w:val="00545F6E"/>
    <w:rsid w:val="00570F06"/>
    <w:rsid w:val="005D728F"/>
    <w:rsid w:val="005E25A7"/>
    <w:rsid w:val="005E3728"/>
    <w:rsid w:val="005F3DCC"/>
    <w:rsid w:val="00610F9D"/>
    <w:rsid w:val="00615F79"/>
    <w:rsid w:val="00632C50"/>
    <w:rsid w:val="006603C8"/>
    <w:rsid w:val="00694A95"/>
    <w:rsid w:val="006A1D60"/>
    <w:rsid w:val="006F1D98"/>
    <w:rsid w:val="006F2AE3"/>
    <w:rsid w:val="007202CC"/>
    <w:rsid w:val="00736B8B"/>
    <w:rsid w:val="007457BE"/>
    <w:rsid w:val="007557BF"/>
    <w:rsid w:val="007629FC"/>
    <w:rsid w:val="00767745"/>
    <w:rsid w:val="007703CE"/>
    <w:rsid w:val="0079247B"/>
    <w:rsid w:val="00795B63"/>
    <w:rsid w:val="007B0EB1"/>
    <w:rsid w:val="007B7F61"/>
    <w:rsid w:val="007C2086"/>
    <w:rsid w:val="007F3E5A"/>
    <w:rsid w:val="00805C16"/>
    <w:rsid w:val="0081108C"/>
    <w:rsid w:val="00811456"/>
    <w:rsid w:val="008116DF"/>
    <w:rsid w:val="008147BE"/>
    <w:rsid w:val="008237E3"/>
    <w:rsid w:val="00824D7E"/>
    <w:rsid w:val="00837635"/>
    <w:rsid w:val="0084346B"/>
    <w:rsid w:val="008569A7"/>
    <w:rsid w:val="00861F86"/>
    <w:rsid w:val="008632C3"/>
    <w:rsid w:val="008813DE"/>
    <w:rsid w:val="008E3E9B"/>
    <w:rsid w:val="008E5719"/>
    <w:rsid w:val="008E74DB"/>
    <w:rsid w:val="008F494D"/>
    <w:rsid w:val="008F6874"/>
    <w:rsid w:val="00946FAF"/>
    <w:rsid w:val="0096121E"/>
    <w:rsid w:val="00962788"/>
    <w:rsid w:val="0097289E"/>
    <w:rsid w:val="00983DA3"/>
    <w:rsid w:val="009C78BA"/>
    <w:rsid w:val="00A07889"/>
    <w:rsid w:val="00A57AEA"/>
    <w:rsid w:val="00A63233"/>
    <w:rsid w:val="00AC2270"/>
    <w:rsid w:val="00AD226E"/>
    <w:rsid w:val="00AE1BCB"/>
    <w:rsid w:val="00AF481F"/>
    <w:rsid w:val="00B14B2E"/>
    <w:rsid w:val="00B46D0E"/>
    <w:rsid w:val="00B740A1"/>
    <w:rsid w:val="00B80FDB"/>
    <w:rsid w:val="00BA0E81"/>
    <w:rsid w:val="00BA1BEF"/>
    <w:rsid w:val="00BC2E9E"/>
    <w:rsid w:val="00BD6FC2"/>
    <w:rsid w:val="00BF506F"/>
    <w:rsid w:val="00C01D00"/>
    <w:rsid w:val="00C14068"/>
    <w:rsid w:val="00C25B78"/>
    <w:rsid w:val="00C2661F"/>
    <w:rsid w:val="00C43284"/>
    <w:rsid w:val="00C73F9E"/>
    <w:rsid w:val="00C848CE"/>
    <w:rsid w:val="00C87347"/>
    <w:rsid w:val="00CA4FBC"/>
    <w:rsid w:val="00CB02FA"/>
    <w:rsid w:val="00CB71EF"/>
    <w:rsid w:val="00CC1816"/>
    <w:rsid w:val="00CF525F"/>
    <w:rsid w:val="00CF7DD3"/>
    <w:rsid w:val="00D00429"/>
    <w:rsid w:val="00D01143"/>
    <w:rsid w:val="00D136A2"/>
    <w:rsid w:val="00D16089"/>
    <w:rsid w:val="00D20159"/>
    <w:rsid w:val="00D50E22"/>
    <w:rsid w:val="00D54701"/>
    <w:rsid w:val="00D766CC"/>
    <w:rsid w:val="00D909A3"/>
    <w:rsid w:val="00DA20DF"/>
    <w:rsid w:val="00DA3DF9"/>
    <w:rsid w:val="00DA6544"/>
    <w:rsid w:val="00DB035A"/>
    <w:rsid w:val="00DC056E"/>
    <w:rsid w:val="00DD36F5"/>
    <w:rsid w:val="00DD4343"/>
    <w:rsid w:val="00DF7D6F"/>
    <w:rsid w:val="00E0129A"/>
    <w:rsid w:val="00E20DCA"/>
    <w:rsid w:val="00E26568"/>
    <w:rsid w:val="00E3050D"/>
    <w:rsid w:val="00E31759"/>
    <w:rsid w:val="00E859D7"/>
    <w:rsid w:val="00EA0006"/>
    <w:rsid w:val="00EA5FFA"/>
    <w:rsid w:val="00EB3748"/>
    <w:rsid w:val="00ED0158"/>
    <w:rsid w:val="00ED12D3"/>
    <w:rsid w:val="00F2580C"/>
    <w:rsid w:val="00F61BBC"/>
    <w:rsid w:val="00F831CA"/>
    <w:rsid w:val="00F853BD"/>
    <w:rsid w:val="00F95F8B"/>
    <w:rsid w:val="00FF476A"/>
    <w:rsid w:val="023A777F"/>
    <w:rsid w:val="025739FF"/>
    <w:rsid w:val="0402799B"/>
    <w:rsid w:val="05850883"/>
    <w:rsid w:val="062260D2"/>
    <w:rsid w:val="067A4160"/>
    <w:rsid w:val="08EE4992"/>
    <w:rsid w:val="0A124DEA"/>
    <w:rsid w:val="0A456833"/>
    <w:rsid w:val="0A486323"/>
    <w:rsid w:val="0A4E0E8A"/>
    <w:rsid w:val="0A682522"/>
    <w:rsid w:val="0AB62126"/>
    <w:rsid w:val="0AC91212"/>
    <w:rsid w:val="0B02316B"/>
    <w:rsid w:val="0B0E05DE"/>
    <w:rsid w:val="0BCB0FBA"/>
    <w:rsid w:val="0CDE5E6B"/>
    <w:rsid w:val="0CFE68C1"/>
    <w:rsid w:val="0D0522AA"/>
    <w:rsid w:val="0D553231"/>
    <w:rsid w:val="0E994B03"/>
    <w:rsid w:val="0F256C33"/>
    <w:rsid w:val="0FA944DF"/>
    <w:rsid w:val="10417A9D"/>
    <w:rsid w:val="11F27D13"/>
    <w:rsid w:val="122E5DFF"/>
    <w:rsid w:val="129156AF"/>
    <w:rsid w:val="12B24C82"/>
    <w:rsid w:val="12E27C00"/>
    <w:rsid w:val="12F72695"/>
    <w:rsid w:val="13054DB2"/>
    <w:rsid w:val="135D4BEE"/>
    <w:rsid w:val="14D94748"/>
    <w:rsid w:val="16307B58"/>
    <w:rsid w:val="16AA30CE"/>
    <w:rsid w:val="17152702"/>
    <w:rsid w:val="17767219"/>
    <w:rsid w:val="17C074F9"/>
    <w:rsid w:val="19251B7E"/>
    <w:rsid w:val="1A385A31"/>
    <w:rsid w:val="1A6E148E"/>
    <w:rsid w:val="1C7D7329"/>
    <w:rsid w:val="1CDE7049"/>
    <w:rsid w:val="1CE1479D"/>
    <w:rsid w:val="1D9E4D0F"/>
    <w:rsid w:val="1F040613"/>
    <w:rsid w:val="1F52137F"/>
    <w:rsid w:val="20481DE0"/>
    <w:rsid w:val="20914128"/>
    <w:rsid w:val="21000617"/>
    <w:rsid w:val="21DC7625"/>
    <w:rsid w:val="21FE13B0"/>
    <w:rsid w:val="251224A0"/>
    <w:rsid w:val="25452C61"/>
    <w:rsid w:val="25837047"/>
    <w:rsid w:val="25861774"/>
    <w:rsid w:val="26287E6D"/>
    <w:rsid w:val="267D3C02"/>
    <w:rsid w:val="26CF59AB"/>
    <w:rsid w:val="270F5DA7"/>
    <w:rsid w:val="283662C0"/>
    <w:rsid w:val="286F11F3"/>
    <w:rsid w:val="28B210E0"/>
    <w:rsid w:val="29695805"/>
    <w:rsid w:val="2A0E2346"/>
    <w:rsid w:val="2A1B7C62"/>
    <w:rsid w:val="2A564F1C"/>
    <w:rsid w:val="2B0C0F7B"/>
    <w:rsid w:val="2B5B780D"/>
    <w:rsid w:val="2CCC3EDE"/>
    <w:rsid w:val="2CE34FC7"/>
    <w:rsid w:val="2D0637A8"/>
    <w:rsid w:val="2D7921CC"/>
    <w:rsid w:val="2DE81100"/>
    <w:rsid w:val="2E556795"/>
    <w:rsid w:val="2EA03D9F"/>
    <w:rsid w:val="2EAD4823"/>
    <w:rsid w:val="2F455AF8"/>
    <w:rsid w:val="300A7A53"/>
    <w:rsid w:val="3098505F"/>
    <w:rsid w:val="320104FF"/>
    <w:rsid w:val="32070E04"/>
    <w:rsid w:val="32747406"/>
    <w:rsid w:val="3284589B"/>
    <w:rsid w:val="32A73338"/>
    <w:rsid w:val="32BF4419"/>
    <w:rsid w:val="32CC7242"/>
    <w:rsid w:val="3328091C"/>
    <w:rsid w:val="33490893"/>
    <w:rsid w:val="33A1247D"/>
    <w:rsid w:val="352C522B"/>
    <w:rsid w:val="35507CB7"/>
    <w:rsid w:val="35800DC0"/>
    <w:rsid w:val="35F93D1E"/>
    <w:rsid w:val="3658280C"/>
    <w:rsid w:val="36DF64CC"/>
    <w:rsid w:val="3810197F"/>
    <w:rsid w:val="39FB0B42"/>
    <w:rsid w:val="3A922B1F"/>
    <w:rsid w:val="3ADE5D64"/>
    <w:rsid w:val="3B5D4EDB"/>
    <w:rsid w:val="3BD827B4"/>
    <w:rsid w:val="3DFF6660"/>
    <w:rsid w:val="3ECB4852"/>
    <w:rsid w:val="3EE55332"/>
    <w:rsid w:val="3EEB0824"/>
    <w:rsid w:val="3F316243"/>
    <w:rsid w:val="3F732F1F"/>
    <w:rsid w:val="40AF3CC5"/>
    <w:rsid w:val="40D55514"/>
    <w:rsid w:val="40E67721"/>
    <w:rsid w:val="410F0F6B"/>
    <w:rsid w:val="41803457"/>
    <w:rsid w:val="42772D26"/>
    <w:rsid w:val="43727992"/>
    <w:rsid w:val="4456437F"/>
    <w:rsid w:val="452F78E8"/>
    <w:rsid w:val="45886FF9"/>
    <w:rsid w:val="45AE0D6B"/>
    <w:rsid w:val="46303A7D"/>
    <w:rsid w:val="46BA1434"/>
    <w:rsid w:val="475945BE"/>
    <w:rsid w:val="48DC2475"/>
    <w:rsid w:val="4AD625B4"/>
    <w:rsid w:val="4B7940D7"/>
    <w:rsid w:val="4CB80585"/>
    <w:rsid w:val="4DF94F37"/>
    <w:rsid w:val="4E943167"/>
    <w:rsid w:val="4E994781"/>
    <w:rsid w:val="4EF96DD3"/>
    <w:rsid w:val="501716A5"/>
    <w:rsid w:val="50DB45DF"/>
    <w:rsid w:val="51E25CE3"/>
    <w:rsid w:val="528F7C18"/>
    <w:rsid w:val="53A3031B"/>
    <w:rsid w:val="54D44008"/>
    <w:rsid w:val="54ED471E"/>
    <w:rsid w:val="554A42CB"/>
    <w:rsid w:val="55833339"/>
    <w:rsid w:val="55A34781"/>
    <w:rsid w:val="56A75625"/>
    <w:rsid w:val="56E235EF"/>
    <w:rsid w:val="570606C5"/>
    <w:rsid w:val="57122F8A"/>
    <w:rsid w:val="58DC7930"/>
    <w:rsid w:val="58E97957"/>
    <w:rsid w:val="58F44C79"/>
    <w:rsid w:val="591D76D3"/>
    <w:rsid w:val="599757D5"/>
    <w:rsid w:val="59C53F20"/>
    <w:rsid w:val="5C292E8C"/>
    <w:rsid w:val="5C814A76"/>
    <w:rsid w:val="5CCA2F91"/>
    <w:rsid w:val="5CD56B70"/>
    <w:rsid w:val="5D1D7381"/>
    <w:rsid w:val="5D747BFB"/>
    <w:rsid w:val="5E0C5F77"/>
    <w:rsid w:val="5E79177D"/>
    <w:rsid w:val="5EF332DD"/>
    <w:rsid w:val="61A30FEA"/>
    <w:rsid w:val="626B7D0D"/>
    <w:rsid w:val="62D653F0"/>
    <w:rsid w:val="633B16F7"/>
    <w:rsid w:val="63666773"/>
    <w:rsid w:val="63780255"/>
    <w:rsid w:val="641C6E32"/>
    <w:rsid w:val="64713622"/>
    <w:rsid w:val="64CB46B6"/>
    <w:rsid w:val="652A31DB"/>
    <w:rsid w:val="659C6963"/>
    <w:rsid w:val="65C07C91"/>
    <w:rsid w:val="66E04A8F"/>
    <w:rsid w:val="670F72F4"/>
    <w:rsid w:val="68B65AA7"/>
    <w:rsid w:val="68C33D20"/>
    <w:rsid w:val="69676D99"/>
    <w:rsid w:val="69821E2D"/>
    <w:rsid w:val="6B12521B"/>
    <w:rsid w:val="6B340F05"/>
    <w:rsid w:val="6B855C05"/>
    <w:rsid w:val="6B99520C"/>
    <w:rsid w:val="6CD40BF2"/>
    <w:rsid w:val="6CDE381E"/>
    <w:rsid w:val="6D19441E"/>
    <w:rsid w:val="6E396D28"/>
    <w:rsid w:val="6E815C55"/>
    <w:rsid w:val="6F0B6421"/>
    <w:rsid w:val="708741CD"/>
    <w:rsid w:val="718524BB"/>
    <w:rsid w:val="71C05959"/>
    <w:rsid w:val="72141A90"/>
    <w:rsid w:val="72AC0017"/>
    <w:rsid w:val="72D10CA1"/>
    <w:rsid w:val="73352058"/>
    <w:rsid w:val="744C5512"/>
    <w:rsid w:val="74C74B98"/>
    <w:rsid w:val="74D86DA5"/>
    <w:rsid w:val="75A47D7D"/>
    <w:rsid w:val="7608485E"/>
    <w:rsid w:val="76465F91"/>
    <w:rsid w:val="767C2DB3"/>
    <w:rsid w:val="76AC04E9"/>
    <w:rsid w:val="76CF41D8"/>
    <w:rsid w:val="770B2505"/>
    <w:rsid w:val="77324E93"/>
    <w:rsid w:val="77B21B30"/>
    <w:rsid w:val="780B7929"/>
    <w:rsid w:val="797519BC"/>
    <w:rsid w:val="7A4E77B2"/>
    <w:rsid w:val="7B874722"/>
    <w:rsid w:val="7C150324"/>
    <w:rsid w:val="7C645B4E"/>
    <w:rsid w:val="7EE5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basedOn w:val="8"/>
    <w:qFormat/>
    <w:uiPriority w:val="0"/>
    <w:rPr>
      <w:sz w:val="21"/>
      <w:szCs w:val="21"/>
    </w:rPr>
  </w:style>
  <w:style w:type="paragraph" w:customStyle="1" w:styleId="10">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99"/>
    <w:rPr>
      <w:kern w:val="2"/>
      <w:sz w:val="18"/>
      <w:szCs w:val="18"/>
    </w:rPr>
  </w:style>
  <w:style w:type="character" w:customStyle="1" w:styleId="13">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48599-D9E4-4DE9-BB16-BB8FC7C4F5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624</Words>
  <Characters>625</Characters>
  <Lines>19</Lines>
  <Paragraphs>5</Paragraphs>
  <TotalTime>25</TotalTime>
  <ScaleCrop>false</ScaleCrop>
  <LinksUpToDate>false</LinksUpToDate>
  <CharactersWithSpaces>625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2022-01-11T02:27:00Z</dcterms:created>
  <dc:creator>user1</dc:creator>
  <cp:lastModifiedBy>菠萝蜜</cp:lastModifiedBy>
  <cp:lastPrinted>2022-01-11T07:39:00Z</cp:lastPrinted>
  <dcterms:modified xsi:type="dcterms:W3CDTF">2025-05-13T11:53:10Z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A71A839A187E49E9AA77B02C124F43AD_13</vt:lpwstr>
  </property>
  <property fmtid="{D5CDD505-2E9C-101B-9397-08002B2CF9AE}" pid="4" name="KSOTemplateDocerSaveRecord">
    <vt:lpwstr>eyJoZGlkIjoiNjIyMTU5NDkxMjUyMjk2YjQ4NDQ0ZTc5MWU2ODg5ZDIiLCJ1c2VySWQiOiIzNjE4MjMzNTIifQ==</vt:lpwstr>
  </property>
</Properties>
</file>