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000000" w:themeColor="text1"/>
          <w:sz w:val="72"/>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72"/>
          <w:szCs w:val="20"/>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72"/>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72"/>
          <w:szCs w:val="20"/>
          <w:highlight w:val="none"/>
          <w:shd w:val="clear" w:color="auto" w:fill="ffffff"/>
          <w14:textFill>
            <w14:solidFill>
              <w14:schemeClr w14:val="tx1"/>
            </w14:solidFill>
          </w14:textFill>
        </w:rPr>
        <w:t xml:space="preserve">苏 州 市 政 府 采 购</w:t>
      </w:r>
      <w:r/>
    </w:p>
    <w:p>
      <w:pPr>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72"/>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72"/>
          <w:szCs w:val="20"/>
          <w:highlight w:val="none"/>
          <w:shd w:val="clear" w:color="auto" w:fill="ffffff"/>
          <w14:textFill>
            <w14:solidFill>
              <w14:schemeClr w14:val="tx1"/>
            </w14:solidFill>
          </w14:textFill>
        </w:rPr>
        <w:t xml:space="preserve">招 标 文 件</w:t>
      </w:r>
      <w:r/>
    </w:p>
    <w:p>
      <w:pPr>
        <w:jc w:val="center"/>
        <w:spacing w:line="360" w:lineRule="auto"/>
        <w:rPr>
          <w:rFonts w:hint="eastAsia" w:ascii="宋体" w:hAnsi="宋体" w:eastAsia="宋体" w:cs="宋体"/>
          <w:color w:val="000000" w:themeColor="text1"/>
          <w:sz w:val="26"/>
          <w:szCs w:val="26"/>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6"/>
          <w:highlight w:val="none"/>
          <w:shd w:val="clear" w:color="auto" w:fill="ffffff"/>
          <w14:textFill>
            <w14:solidFill>
              <w14:schemeClr w14:val="tx1"/>
            </w14:solidFill>
          </w14:textFill>
        </w:rPr>
      </w:r>
      <w:r/>
    </w:p>
    <w:p>
      <w:pPr>
        <w:pStyle w:val="989"/>
        <w:ind w:firstLine="0"/>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1928"/>
        <w:spacing w:line="360" w:lineRule="auto"/>
        <w:rPr>
          <w:rFonts w:hint="default" w:ascii="宋体" w:hAnsi="宋体" w:eastAsia="宋体" w:cs="宋体"/>
          <w:b/>
          <w:bCs/>
          <w:color w:val="000000" w:themeColor="text1"/>
          <w:sz w:val="32"/>
          <w:szCs w:val="20"/>
          <w:highlight w:val="none"/>
          <w:shd w:val="clear" w:color="auto" w:fill="ffffff"/>
          <w:lang w:val="en-US" w:eastAsia="zh-CN"/>
          <w14:textFill>
            <w14:solidFill>
              <w14:schemeClr w14:val="tx1"/>
            </w14:solidFill>
          </w14:textFill>
        </w:rPr>
      </w:pPr>
      <w:r>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t xml:space="preserve">采购编号：</w:t>
      </w:r>
      <w:r>
        <w:rPr>
          <w:rFonts w:hint="eastAsia" w:ascii="宋体" w:hAnsi="宋体" w:eastAsia="宋体" w:cs="宋体"/>
          <w:b/>
          <w:bCs/>
          <w:color w:val="000000" w:themeColor="text1"/>
          <w:sz w:val="32"/>
          <w:szCs w:val="20"/>
          <w:highlight w:val="none"/>
          <w:shd w:val="clear" w:color="auto" w:fill="ffffff"/>
          <w:lang w:val="en-US" w:eastAsia="zh-CN"/>
          <w14:textFill>
            <w14:solidFill>
              <w14:schemeClr w14:val="tx1"/>
            </w14:solidFill>
          </w14:textFill>
        </w:rPr>
        <w:t xml:space="preserve">JSZC-320500-XCXC-G2026-0006</w:t>
      </w:r>
      <w:r/>
    </w:p>
    <w:p>
      <w:pPr>
        <w:ind w:firstLine="1928"/>
        <w:spacing w:line="360" w:lineRule="auto"/>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t xml:space="preserve">采 购 人：苏州幼儿师范高等专科学校</w:t>
      </w:r>
      <w:r/>
    </w:p>
    <w:p>
      <w:pPr>
        <w:ind w:firstLine="1928"/>
        <w:spacing w:line="360" w:lineRule="auto"/>
        <w:rPr>
          <w:rFonts w:hint="eastAsia" w:ascii="宋体" w:hAnsi="宋体" w:eastAsia="宋体" w:cs="宋体"/>
          <w:b/>
          <w:bCs/>
          <w:color w:val="000000" w:themeColor="text1"/>
          <w:sz w:val="32"/>
          <w:szCs w:val="20"/>
          <w:highlight w:val="none"/>
          <w:shd w:val="clear" w:color="auto" w:fill="ffffff"/>
          <w:lang w:eastAsia="zh-CN"/>
          <w14:textFill>
            <w14:solidFill>
              <w14:schemeClr w14:val="tx1"/>
            </w14:solidFill>
          </w14:textFill>
        </w:rPr>
      </w:pPr>
      <w:r>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t xml:space="preserve">采购内容：</w:t>
      </w:r>
      <w:r>
        <w:rPr>
          <w:rFonts w:hint="eastAsia" w:ascii="宋体" w:hAnsi="宋体" w:eastAsia="宋体" w:cs="宋体"/>
          <w:b/>
          <w:bCs/>
          <w:color w:val="000000" w:themeColor="text1"/>
          <w:sz w:val="32"/>
          <w:szCs w:val="20"/>
          <w:highlight w:val="none"/>
          <w:shd w:val="clear" w:color="auto" w:fill="ffffff"/>
          <w:lang w:eastAsia="zh-CN"/>
          <w14:textFill>
            <w14:solidFill>
              <w14:schemeClr w14:val="tx1"/>
            </w14:solidFill>
          </w14:textFill>
        </w:rPr>
        <w:t xml:space="preserve">苏州幼儿师范高等专科学校食堂后勤服务采购项目</w:t>
      </w:r>
      <w:r/>
    </w:p>
    <w:p>
      <w:pPr>
        <w:ind w:firstLine="1928"/>
        <w:spacing w:line="360" w:lineRule="auto"/>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32"/>
          <w:szCs w:val="20"/>
          <w:highlight w:val="none"/>
          <w:shd w:val="clear" w:color="auto" w:fill="ffffff"/>
          <w14:textFill>
            <w14:solidFill>
              <w14:schemeClr w14:val="tx1"/>
            </w14:solidFill>
          </w14:textFill>
        </w:rPr>
        <w:t xml:space="preserve">采购类别：服务类</w:t>
      </w:r>
      <w:r/>
    </w:p>
    <w:p>
      <w:pPr>
        <w:pStyle w:val="832"/>
        <w:ind w:left="0"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6"/>
          <w:szCs w:val="26"/>
          <w:highlight w:val="none"/>
          <w:shd w:val="clear" w:color="auto" w:fill="ffffff"/>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058160" cy="2108835"/>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9">
                          <a:clrChange>
                            <a:clrFrom>
                              <a:srgbClr val="FFFFFF"/>
                            </a:clrFrom>
                            <a:clrTo>
                              <a:srgbClr val="FFFFFF">
                                <a:alpha val="0"/>
                              </a:srgbClr>
                            </a:clrTo>
                          </a:clrChange>
                        </a:blip>
                        <a:stretch/>
                      </pic:blipFill>
                      <pic:spPr bwMode="auto">
                        <a:xfrm>
                          <a:off x="0" y="0"/>
                          <a:ext cx="3058160" cy="2108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40.8pt;height:166.0pt;mso-wrap-distance-left:0.0pt;mso-wrap-distance-top:0.0pt;mso-wrap-distance-right:0.0pt;mso-wrap-distance-bottom:0.0pt;" stroked="f">
                <v:path textboxrect="0,0,0,0"/>
                <v:imagedata r:id="rId19" o:title=""/>
              </v:shape>
            </w:pict>
          </mc:Fallback>
        </mc:AlternateContent>
      </w:r>
      <w:r/>
    </w:p>
    <w:p>
      <w:pPr>
        <w:pStyle w:val="832"/>
        <w:ind w:left="0"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2"/>
          <w:highlight w:val="none"/>
          <w:lang w:val="en-US" w:eastAsia="zh-CN"/>
          <w14:textFill>
            <w14:solidFill>
              <w14:schemeClr w14:val="tx1"/>
            </w14:solidFill>
          </w14:textFill>
        </w:rPr>
      </w:pPr>
      <w:r>
        <w:rPr>
          <w:rFonts w:hint="eastAsia" w:ascii="宋体" w:hAnsi="宋体" w:eastAsia="宋体" w:cs="宋体"/>
          <w:b/>
          <w:color w:val="000000" w:themeColor="text1"/>
          <w:sz w:val="32"/>
          <w:highlight w:val="none"/>
          <w:lang w:val="en-US" w:eastAsia="zh-CN"/>
          <w14:textFill>
            <w14:solidFill>
              <w14:schemeClr w14:val="tx1"/>
            </w14:solidFill>
          </w14:textFill>
        </w:rPr>
        <w:t xml:space="preserve">苏州星创招投标咨询有限公司</w:t>
      </w:r>
      <w:r/>
    </w:p>
    <w:p>
      <w:pPr>
        <w:jc w:val="center"/>
        <w:spacing w:line="360" w:lineRule="auto"/>
        <w:rPr>
          <w:rFonts w:hint="eastAsia" w:ascii="宋体" w:hAnsi="宋体" w:eastAsia="宋体" w:cs="宋体"/>
          <w:b/>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b/>
          <w:color w:val="000000" w:themeColor="text1"/>
          <w:sz w:val="32"/>
          <w:szCs w:val="20"/>
          <w:highlight w:val="none"/>
          <w:shd w:val="clear" w:color="auto" w:fill="ffffff"/>
          <w14:textFill>
            <w14:solidFill>
              <w14:schemeClr w14:val="tx1"/>
            </w14:solidFill>
          </w14:textFill>
        </w:rPr>
        <w:t xml:space="preserve">二○二</w:t>
      </w:r>
      <w:r>
        <w:rPr>
          <w:rFonts w:hint="eastAsia" w:ascii="宋体" w:hAnsi="宋体" w:eastAsia="宋体" w:cs="宋体"/>
          <w:b/>
          <w:color w:val="000000" w:themeColor="text1"/>
          <w:sz w:val="32"/>
          <w:szCs w:val="20"/>
          <w:highlight w:val="none"/>
          <w:shd w:val="clear" w:color="auto" w:fill="ffffff"/>
          <w:lang w:val="en-US" w:eastAsia="zh-CN"/>
          <w14:textFill>
            <w14:solidFill>
              <w14:schemeClr w14:val="tx1"/>
            </w14:solidFill>
          </w14:textFill>
        </w:rPr>
        <w:t xml:space="preserve">六</w:t>
      </w:r>
      <w:r>
        <w:rPr>
          <w:rFonts w:hint="eastAsia" w:ascii="宋体" w:hAnsi="宋体" w:eastAsia="宋体" w:cs="宋体"/>
          <w:b/>
          <w:color w:val="000000" w:themeColor="text1"/>
          <w:sz w:val="32"/>
          <w:szCs w:val="20"/>
          <w:highlight w:val="none"/>
          <w:shd w:val="clear" w:color="auto" w:fill="ffffff"/>
          <w14:textFill>
            <w14:solidFill>
              <w14:schemeClr w14:val="tx1"/>
            </w14:solidFill>
          </w14:textFill>
        </w:rPr>
        <w:t xml:space="preserve">年</w:t>
      </w:r>
      <w:r>
        <w:rPr>
          <w:rFonts w:hint="eastAsia" w:ascii="宋体" w:hAnsi="宋体" w:eastAsia="宋体" w:cs="宋体"/>
          <w:b/>
          <w:color w:val="000000" w:themeColor="text1"/>
          <w:sz w:val="32"/>
          <w:szCs w:val="20"/>
          <w:highlight w:val="none"/>
          <w:shd w:val="clear" w:color="auto" w:fill="ffffff"/>
          <w:lang w:val="en-US" w:eastAsia="zh-CN"/>
          <w14:textFill>
            <w14:solidFill>
              <w14:schemeClr w14:val="tx1"/>
            </w14:solidFill>
          </w14:textFill>
        </w:rPr>
        <w:t xml:space="preserve">六</w:t>
      </w:r>
      <w:r>
        <w:rPr>
          <w:rFonts w:hint="eastAsia" w:ascii="宋体" w:hAnsi="宋体" w:eastAsia="宋体" w:cs="宋体"/>
          <w:b/>
          <w:color w:val="000000" w:themeColor="text1"/>
          <w:sz w:val="32"/>
          <w:szCs w:val="20"/>
          <w:highlight w:val="none"/>
          <w:shd w:val="clear" w:color="auto" w:fill="ffffff"/>
          <w14:textFill>
            <w14:solidFill>
              <w14:schemeClr w14:val="tx1"/>
            </w14:solidFill>
          </w14:textFill>
        </w:rPr>
        <w:t xml:space="preserve">月</w:t>
      </w:r>
      <w:r/>
    </w:p>
    <w:p>
      <w:pPr>
        <w:spacing w:line="360" w:lineRule="auto"/>
        <w:rPr>
          <w:rFonts w:hint="eastAsia" w:ascii="宋体" w:hAnsi="宋体" w:eastAsia="宋体" w:cs="宋体"/>
          <w:b/>
          <w:color w:val="000000" w:themeColor="text1"/>
          <w:sz w:val="32"/>
          <w:szCs w:val="32"/>
          <w:highlight w:val="none"/>
          <w:shd w:val="clear" w:color="auto" w:fill="ffffff"/>
          <w14:textFill>
            <w14:solidFill>
              <w14:schemeClr w14:val="tx1"/>
            </w14:solidFill>
          </w14:textFill>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color w:val="000000" w:themeColor="text1"/>
          <w:sz w:val="32"/>
          <w:szCs w:val="32"/>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b/>
          <w:color w:val="000000" w:themeColor="text1"/>
          <w:sz w:val="32"/>
          <w:szCs w:val="32"/>
          <w:highlight w:val="none"/>
          <w:shd w:val="clear" w:color="auto" w:fill="ffffff"/>
          <w14:textFill>
            <w14:solidFill>
              <w14:schemeClr w14:val="tx1"/>
            </w14:solidFill>
          </w14:textFill>
        </w:rPr>
        <w:t xml:space="preserve">前附表</w:t>
      </w:r>
      <w:r/>
    </w:p>
    <w:tbl>
      <w:tblPr>
        <w:tblStyle w:val="790"/>
        <w:tblW w:w="95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49"/>
        <w:gridCol w:w="8950"/>
      </w:tblGrid>
      <w:tr>
        <w:trPr>
          <w:jc w:val="center"/>
          <w:trHeight w:val="527"/>
        </w:trPr>
        <w:tc>
          <w:tcPr>
            <w:tcW w:w="649" w:type="dxa"/>
            <w:vAlign w:val="center"/>
            <w:textDirection w:val="lrTb"/>
            <w:noWrap w:val="false"/>
          </w:tcPr>
          <w:p>
            <w:pPr>
              <w:jc w:val="center"/>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t xml:space="preserve">序号</w:t>
            </w:r>
            <w:r/>
          </w:p>
        </w:tc>
        <w:tc>
          <w:tcPr>
            <w:tcW w:w="8950" w:type="dxa"/>
            <w:vAlign w:val="center"/>
            <w:textDirection w:val="lrTb"/>
            <w:noWrap w:val="false"/>
          </w:tcPr>
          <w:p>
            <w:pPr>
              <w:jc w:val="center"/>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t xml:space="preserve">内容规定</w:t>
            </w:r>
            <w:r/>
          </w:p>
        </w:tc>
      </w:tr>
      <w:tr>
        <w:trPr>
          <w:jc w:val="center"/>
          <w:trHeight w:val="489"/>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1</w:t>
            </w:r>
            <w:r/>
          </w:p>
        </w:tc>
        <w:tc>
          <w:tcPr>
            <w:tcW w:w="8950" w:type="dxa"/>
            <w:vAlign w:val="center"/>
            <w:textDirection w:val="lrTb"/>
            <w:noWrap w:val="false"/>
          </w:tcPr>
          <w:p>
            <w:pPr>
              <w:rPr>
                <w:rFonts w:hint="eastAsia" w:ascii="宋体" w:hAnsi="宋体" w:eastAsia="宋体" w:cs="宋体"/>
                <w:color w:val="000000" w:themeColor="text1"/>
                <w:szCs w:val="21"/>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采购内容：</w:t>
            </w:r>
            <w:r>
              <w:rPr>
                <w:rFonts w:hint="eastAsia" w:ascii="宋体" w:hAnsi="宋体" w:eastAsia="宋体" w:cs="宋体"/>
                <w:color w:val="000000" w:themeColor="text1"/>
                <w:szCs w:val="21"/>
                <w:highlight w:val="none"/>
                <w:shd w:val="clear" w:color="auto" w:fill="ffffff"/>
                <w:lang w:eastAsia="zh-CN"/>
                <w14:textFill>
                  <w14:solidFill>
                    <w14:schemeClr w14:val="tx1"/>
                  </w14:solidFill>
                </w14:textFill>
              </w:rPr>
              <w:t xml:space="preserve">苏州幼儿师范高等专科学校食堂后勤服务采购项目</w:t>
            </w:r>
            <w:r/>
          </w:p>
        </w:tc>
      </w:tr>
      <w:tr>
        <w:trPr>
          <w:jc w:val="center"/>
          <w:trHeight w:val="520"/>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2</w:t>
            </w:r>
            <w:r/>
          </w:p>
        </w:tc>
        <w:tc>
          <w:tcPr>
            <w:tcW w:w="8950" w:type="dxa"/>
            <w:vAlign w:val="center"/>
            <w:textDirection w:val="lrTb"/>
            <w:noWrap w:val="false"/>
          </w:tcPr>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投标（响应）有效期：自投标（响应）截止日起</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九十天（日历日）</w:t>
            </w:r>
            <w:r/>
          </w:p>
        </w:tc>
      </w:tr>
      <w:tr>
        <w:trPr>
          <w:jc w:val="center"/>
          <w:trHeight w:val="1116"/>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3</w:t>
            </w:r>
            <w:r/>
          </w:p>
        </w:tc>
        <w:tc>
          <w:tcPr>
            <w:tcW w:w="8950" w:type="dxa"/>
            <w:vAlign w:val="center"/>
            <w:textDirection w:val="lrTb"/>
            <w:noWrap w:val="false"/>
          </w:tcPr>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投标（响应）保证金：</w:t>
            </w:r>
            <w:r/>
          </w:p>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ascii="Wingdings" w:hAnsi="Wingdings" w:eastAsia="Wingdings" w:cs="Wingdings"/>
                <w:color w:val="000000" w:themeColor="text1"/>
                <w:szCs w:val="21"/>
                <w:highlight w:val="none"/>
                <w:shd w:val="clear" w:color="auto" w:fill="ffffff"/>
                <w14:textFill>
                  <w14:solidFill>
                    <w14:schemeClr w14:val="tx1"/>
                  </w14:solidFill>
                </w14:textFill>
              </w:rPr>
              <w:t xml:space="preserve">þ</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不需提交，招标文件中有关投标（响应）保证金的规定均不适用。</w:t>
            </w:r>
            <w:r/>
          </w:p>
          <w:p>
            <w:pPr>
              <w:pStyle w:val="800"/>
              <w:ind w:left="0"/>
              <w:spacing w:line="240" w:lineRule="auto"/>
              <w:rPr>
                <w:rFonts w:hint="eastAsia" w:ascii="宋体" w:hAnsi="宋体" w:eastAsia="宋体" w:cs="宋体"/>
                <w:color w:val="000000" w:themeColor="text1"/>
                <w:highlight w:val="none"/>
                <w14:textFill>
                  <w14:solidFill>
                    <w14:schemeClr w14:val="tx1"/>
                  </w14:solidFill>
                </w14:textFill>
              </w:rPr>
            </w:pPr>
            <w:r>
              <w:rPr>
                <w:rFonts w:ascii="Wingdings" w:hAnsi="Wingdings" w:eastAsia="Wingdings" w:cs="Wingdings"/>
                <w:color w:val="000000" w:themeColor="text1"/>
                <w:sz w:val="2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需提交，投标（响应）保证金金额： 元整。</w:t>
            </w:r>
            <w:r/>
          </w:p>
        </w:tc>
      </w:tr>
      <w:tr>
        <w:trPr>
          <w:jc w:val="center"/>
          <w:trHeight w:val="750"/>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4</w:t>
            </w:r>
            <w:r/>
          </w:p>
        </w:tc>
        <w:tc>
          <w:tcPr>
            <w:tcW w:w="895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投标（响应）文件：</w:t>
            </w:r>
            <w:r>
              <w:rPr>
                <w:rFonts w:hint="eastAsia" w:ascii="宋体" w:hAnsi="宋体" w:eastAsia="宋体" w:cs="宋体"/>
                <w:b/>
                <w:bCs/>
                <w:color w:val="000000" w:themeColor="text1"/>
                <w:szCs w:val="21"/>
                <w:highlight w:val="none"/>
                <w14:textFill>
                  <w14:solidFill>
                    <w14:schemeClr w14:val="tx1"/>
                  </w14:solidFill>
                </w14:textFill>
              </w:rPr>
              <w:t xml:space="preserve">本项目采用网上提交电子投标（响应）文件，不接受纸质投标（响应）文件。</w:t>
            </w:r>
            <w:r/>
          </w:p>
        </w:tc>
      </w:tr>
      <w:tr>
        <w:trPr>
          <w:jc w:val="center"/>
          <w:trHeight w:val="2213"/>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5</w:t>
            </w:r>
            <w:r/>
          </w:p>
        </w:tc>
        <w:tc>
          <w:tcPr>
            <w:tcW w:w="8950" w:type="dxa"/>
            <w:vAlign w:val="center"/>
            <w:textDirection w:val="lrTb"/>
            <w:noWrap w:val="false"/>
          </w:tcPr>
          <w:p>
            <w:pPr>
              <w:rPr>
                <w:rFonts w:hint="eastAsia" w:ascii="宋体" w:hAnsi="宋体" w:eastAsia="宋体" w:cs="宋体"/>
                <w:bCs/>
                <w:color w:val="000000" w:themeColor="text1"/>
                <w:szCs w:val="21"/>
                <w:highlight w:val="none"/>
                <w:shd w:val="clear" w:color="auto" w:fill="ffffff"/>
                <w14:textFill>
                  <w14:solidFill>
                    <w14:schemeClr w14:val="tx1"/>
                  </w14:solidFill>
                </w14:textFill>
              </w:rPr>
            </w:pPr>
            <w:r>
              <w:rPr>
                <w:rFonts w:hint="eastAsia" w:ascii="宋体" w:hAnsi="宋体" w:eastAsia="宋体" w:cs="宋体"/>
                <w:bCs/>
                <w:color w:val="000000" w:themeColor="text1"/>
                <w:szCs w:val="21"/>
                <w:highlight w:val="none"/>
                <w:shd w:val="clear" w:color="auto" w:fill="ffffff"/>
                <w14:textFill>
                  <w14:solidFill>
                    <w14:schemeClr w14:val="tx1"/>
                  </w14:solidFill>
                </w14:textFill>
              </w:rPr>
              <w:t xml:space="preserve">开标信息</w:t>
            </w:r>
            <w:r/>
          </w:p>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投标（响应）截止时间：</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2026</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年</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月</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16</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日</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点</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30</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分（北京时间）</w:t>
            </w:r>
            <w:r/>
          </w:p>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开标时间：</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2026</w:t>
            </w:r>
            <w:r>
              <w:rPr>
                <w:rFonts w:hint="eastAsia" w:ascii="宋体" w:hAnsi="宋体" w:eastAsia="宋体" w:cs="宋体"/>
                <w:color w:val="000000" w:themeColor="text1"/>
                <w:szCs w:val="21"/>
                <w:highlight w:val="none"/>
                <w:shd w:val="clear" w:color="auto" w:fill="ffffff"/>
                <w:lang w:eastAsia="zh-CN"/>
                <w14:textFill>
                  <w14:solidFill>
                    <w14:schemeClr w14:val="tx1"/>
                  </w14:solidFill>
                </w14:textFill>
              </w:rPr>
              <w:t xml:space="preserve">年</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月</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16</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日</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点</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30</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分（北京时间）</w:t>
            </w:r>
            <w:r/>
          </w:p>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开标地点：“苏采云”系统（网址：http://jszfcg.jsczt.cn/）</w:t>
            </w:r>
            <w:r/>
          </w:p>
          <w:p>
            <w:pPr>
              <w:widowControl/>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1481"/>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6</w:t>
            </w:r>
            <w:r/>
          </w:p>
        </w:tc>
        <w:tc>
          <w:tcPr>
            <w:tcW w:w="8950" w:type="dxa"/>
            <w:vAlign w:val="center"/>
            <w:textDirection w:val="lrTb"/>
            <w:noWrap w:val="false"/>
          </w:tcPr>
          <w:p>
            <w:pPr>
              <w:ind w:right="-159"/>
              <w:jc w:val="left"/>
              <w:widowControl/>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履约保证金：</w:t>
            </w:r>
            <w:r/>
          </w:p>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ascii="Wingdings" w:hAnsi="Wingdings" w:eastAsia="Wingdings" w:cs="Wingdings"/>
                <w:color w:val="000000" w:themeColor="text1"/>
                <w:szCs w:val="21"/>
                <w:highlight w:val="none"/>
                <w:shd w:val="clear" w:color="auto" w:fill="ffffff"/>
                <w14:textFill>
                  <w14:solidFill>
                    <w14:schemeClr w14:val="tx1"/>
                  </w14:solidFill>
                </w14:textFill>
              </w:rPr>
              <w:t xml:space="preserve">þ</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不需提交，招标文件中有关履约保证金的规定均不适用。</w:t>
            </w:r>
            <w:r/>
          </w:p>
          <w:p>
            <w:pPr>
              <w:ind w:right="-159"/>
              <w:jc w:val="left"/>
              <w:widowControl/>
              <w:rPr>
                <w:rFonts w:hint="eastAsia" w:ascii="宋体" w:hAnsi="宋体" w:eastAsia="宋体" w:cs="宋体"/>
                <w:bCs/>
                <w:color w:val="000000" w:themeColor="text1"/>
                <w:sz w:val="24"/>
                <w:szCs w:val="24"/>
                <w:highlight w:val="none"/>
                <w14:textFill>
                  <w14:solidFill>
                    <w14:schemeClr w14:val="tx1"/>
                  </w14:solidFill>
                </w14:textFill>
              </w:rPr>
            </w:pPr>
            <w:r>
              <w:rPr>
                <w:rFonts w:ascii="Wingdings" w:hAnsi="Wingdings" w:eastAsia="Wingdings" w:cs="Wingdings"/>
                <w:color w:val="000000" w:themeColor="text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需提交，中标金额的5%。（可提供符合《关于在全省政府采购领域推行电子履约保函(保险)的通知》（苏财购[2023]150号）要求的电子履约保函）</w:t>
            </w:r>
            <w:r/>
          </w:p>
        </w:tc>
      </w:tr>
      <w:tr>
        <w:trPr>
          <w:jc w:val="center"/>
          <w:trHeight w:val="4612"/>
        </w:trPr>
        <w:tc>
          <w:tcPr>
            <w:tcW w:w="649" w:type="dxa"/>
            <w:vAlign w:val="center"/>
            <w:textDirection w:val="lrTb"/>
            <w:noWrap w:val="false"/>
          </w:tcPr>
          <w:p>
            <w:pPr>
              <w:ind w:right="18"/>
              <w:jc w:val="center"/>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8950" w:type="dxa"/>
            <w:vAlign w:val="center"/>
            <w:textDirection w:val="lrTb"/>
            <w:noWrap w:val="false"/>
          </w:tcPr>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代理服务费收费标准：代理服务费收费按以下标准的</w:t>
            </w:r>
            <w:r>
              <w:rPr>
                <w:rFonts w:hint="eastAsia" w:ascii="宋体" w:hAnsi="宋体" w:eastAsia="宋体" w:cs="宋体"/>
                <w:color w:val="000000" w:themeColor="text1"/>
                <w:szCs w:val="21"/>
                <w:highlight w:val="none"/>
                <w:u w:val="single"/>
                <w:lang w:val="en-US" w:eastAsia="zh-CN"/>
                <w14:textFill>
                  <w14:solidFill>
                    <w14:schemeClr w14:val="tx1"/>
                  </w14:solidFill>
                </w14:textFill>
              </w:rPr>
              <w:t xml:space="preserve">65</w:t>
            </w:r>
            <w:r>
              <w:rPr>
                <w:rFonts w:hint="eastAsia" w:ascii="宋体" w:hAnsi="宋体" w:eastAsia="宋体" w:cs="宋体"/>
                <w:color w:val="000000" w:themeColor="text1"/>
                <w:szCs w:val="21"/>
                <w:highlight w:val="none"/>
                <w:u w:val="singl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收取：</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预算金额100万元以下部分，费率为该部分预算金额的1.5%；</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预算金额100万元（含）-500万元部分，费率为该部分预算金额的1.1%；</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预算金额500万元（含）-1000万元部分，费率为该部分预算金额的0.8%；</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预算金额1000万元（含）-5000万元部分，费率为该部分预算金额的0.5%；</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预算金额5000万元以上部分，费率为该部分预算金额的0.25%。</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成交通知书时</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eastAsia="宋体" w:cs="宋体"/>
                <w:color w:val="000000" w:themeColor="text1"/>
                <w:szCs w:val="21"/>
                <w:highlight w:val="none"/>
                <w14:textFill>
                  <w14:solidFill>
                    <w14:schemeClr w14:val="tx1"/>
                  </w14:solidFill>
                </w14:textFill>
              </w:rPr>
              <w:t xml:space="preserve">人向采购代理机构一次性付清。</w:t>
            </w:r>
            <w:r/>
          </w:p>
          <w:p>
            <w:pPr>
              <w:ind w:right="18"/>
              <w:jc w:val="left"/>
              <w:tabs>
                <w:tab w:val="left" w:pos="720" w:leader="none"/>
              </w:tabs>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注：</w:t>
            </w:r>
            <w:r>
              <w:rPr>
                <w:rFonts w:hint="eastAsia"/>
                <w:color w:val="000000" w:themeColor="text1"/>
                <w:highlight w:val="none"/>
                <w:lang w:val="en-US" w:eastAsia="zh-CN"/>
                <w14:textFill>
                  <w14:solidFill>
                    <w14:schemeClr w14:val="tx1"/>
                  </w14:solidFill>
                </w14:textFill>
              </w:rPr>
              <w:t xml:space="preserve">因本项目代理服务费在财政预算申报时已经包含在采购预算内，故由中标单位支付”</w:t>
            </w:r>
            <w:r/>
          </w:p>
          <w:p>
            <w:pPr>
              <w:ind w:right="18"/>
              <w:jc w:val="left"/>
              <w:tabs>
                <w:tab w:val="left" w:pos="720" w:leader="none"/>
              </w:tabs>
              <w:rPr>
                <w:rFonts w:hint="eastAsia" w:ascii="宋体" w:hAnsi="宋体" w:eastAsia="宋体" w:cs="宋体"/>
                <w:color w:val="000000" w:themeColor="text1"/>
                <w:szCs w:val="21"/>
                <w:highlight w:val="none"/>
                <w:lang w:val="zh-TW" w:eastAsia="zh-TW"/>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收款单位：苏州星创招投标咨询有限公司</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银行账号：</w:t>
            </w:r>
            <w:r>
              <w:rPr>
                <w:rFonts w:hint="eastAsia" w:ascii="宋体" w:hAnsi="宋体" w:eastAsia="宋体" w:cs="宋体"/>
                <w:color w:val="000000" w:themeColor="text1"/>
                <w:szCs w:val="21"/>
                <w:highlight w:val="none"/>
                <w14:textFill>
                  <w14:solidFill>
                    <w14:schemeClr w14:val="tx1"/>
                  </w14:solidFill>
                </w14:textFill>
              </w:rPr>
              <w:t xml:space="preserve">32250198903600002434</w:t>
            </w:r>
            <w:r/>
          </w:p>
          <w:p>
            <w:pPr>
              <w:ind w:right="18"/>
              <w:jc w:val="left"/>
              <w:tabs>
                <w:tab w:val="left" w:pos="72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TW" w:eastAsia="zh-TW"/>
                <w14:textFill>
                  <w14:solidFill>
                    <w14:schemeClr w14:val="tx1"/>
                  </w14:solidFill>
                </w14:textFill>
              </w:rPr>
              <w:t xml:space="preserve">开户银行：中国建设银行股份有限公司苏州城中支行</w:t>
            </w:r>
            <w:r/>
          </w:p>
        </w:tc>
      </w:tr>
      <w:tr>
        <w:trPr>
          <w:jc w:val="center"/>
          <w:trHeight w:val="816"/>
        </w:trPr>
        <w:tc>
          <w:tcPr>
            <w:tcW w:w="649" w:type="dxa"/>
            <w:vAlign w:val="center"/>
            <w:textDirection w:val="lrTb"/>
            <w:noWrap w:val="false"/>
          </w:tcPr>
          <w:p>
            <w:pPr>
              <w:jc w:val="cente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8</w:t>
            </w:r>
            <w:r/>
          </w:p>
        </w:tc>
        <w:tc>
          <w:tcPr>
            <w:tcW w:w="8950" w:type="dxa"/>
            <w:vAlign w:val="center"/>
            <w:textDirection w:val="lrTb"/>
            <w:noWrap w:val="false"/>
          </w:tcPr>
          <w:p>
            <w:pPr>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政府采购监督电话：</w:t>
            </w:r>
            <w:r>
              <w:rPr>
                <w:rFonts w:ascii="宋体" w:hAnsi="宋体" w:eastAsia="宋体" w:cs="宋体"/>
                <w:color w:val="000000" w:themeColor="text1"/>
                <w:szCs w:val="21"/>
                <w:highlight w:val="none"/>
                <w:shd w:val="clear" w:color="auto" w:fill="ffffff"/>
                <w14:textFill>
                  <w14:solidFill>
                    <w14:schemeClr w14:val="tx1"/>
                  </w14:solidFill>
                </w14:textFill>
              </w:rPr>
              <w:t xml:space="preserve">0512-68616651</w:t>
            </w:r>
            <w:r/>
          </w:p>
        </w:tc>
      </w:tr>
    </w:tbl>
    <w:p>
      <w:pPr>
        <w:jc w:val="center"/>
        <w:spacing w:line="360" w:lineRule="auto"/>
        <w:rPr>
          <w:rFonts w:hint="eastAsia" w:ascii="宋体" w:hAnsi="宋体" w:eastAsia="宋体" w:cs="宋体"/>
          <w:color w:val="000000" w:themeColor="text1"/>
          <w:sz w:val="52"/>
          <w:szCs w:val="52"/>
          <w:highlight w:val="none"/>
          <w:shd w:val="clear" w:color="auto" w:fill="ffffff"/>
          <w14:textFill>
            <w14:solidFill>
              <w14:schemeClr w14:val="tx1"/>
            </w14:solidFill>
          </w14:textFill>
        </w:rPr>
      </w:pPr>
      <w:r>
        <w:rPr>
          <w:rFonts w:hint="eastAsia" w:ascii="宋体" w:hAnsi="宋体" w:eastAsia="宋体" w:cs="宋体"/>
          <w:color w:val="000000" w:themeColor="text1"/>
          <w:sz w:val="52"/>
          <w:szCs w:val="52"/>
          <w:highlight w:val="none"/>
          <w:shd w:val="clear" w:color="auto" w:fill="ffffff"/>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48"/>
          <w:szCs w:val="48"/>
          <w:highlight w:val="none"/>
          <w:shd w:val="clear" w:color="auto" w:fill="ffffff"/>
          <w14:textFill>
            <w14:solidFill>
              <w14:schemeClr w14:val="tx1"/>
            </w14:solidFill>
          </w14:textFill>
        </w:rPr>
      </w:pPr>
      <w:r>
        <w:rPr>
          <w:rFonts w:hint="eastAsia" w:ascii="宋体" w:hAnsi="宋体" w:eastAsia="宋体" w:cs="宋体"/>
          <w:b/>
          <w:color w:val="000000" w:themeColor="text1"/>
          <w:sz w:val="48"/>
          <w:szCs w:val="48"/>
          <w:highlight w:val="none"/>
          <w:shd w:val="clear" w:color="auto" w:fill="ffffff"/>
          <w14:textFill>
            <w14:solidFill>
              <w14:schemeClr w14:val="tx1"/>
            </w14:solidFill>
          </w14:textFill>
        </w:rPr>
        <w:t xml:space="preserve">总目录</w:t>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fldChar w:fldCharType="begin"/>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instrText xml:space="preserve"> TOC \o "1-1"</w:instrText>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fldChar w:fldCharType="separate"/>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第一章投标邀请函</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_Toc105940237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3</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第二章供应商须知</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_Toc105940238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9</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第三章投标文件格式</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_Toc105940239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26</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第四章招标书</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_Toc105940240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40</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第五章合同主要条款</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_Toc105940241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49</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第六章评分标准</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_Toc105940242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56</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tabs>
          <w:tab w:val="right" w:pos="9022" w:leader="dot"/>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第七章附件</w:t>
      </w:r>
      <w:r>
        <w:rPr>
          <w:rFonts w:hint="eastAsia" w:ascii="宋体" w:hAnsi="宋体" w:eastAsia="宋体" w:cs="宋体"/>
          <w:color w:val="000000" w:themeColor="text1"/>
          <w:sz w:val="24"/>
          <w:szCs w:val="20"/>
          <w:highlight w:val="none"/>
          <w14:textFill>
            <w14:solidFill>
              <w14:schemeClr w14:val="tx1"/>
            </w14:solidFill>
          </w14:textFill>
        </w:rPr>
        <w:tab/>
      </w:r>
      <w:r>
        <w:rPr>
          <w:rFonts w:hint="eastAsia" w:ascii="宋体" w:hAnsi="宋体" w:eastAsia="宋体" w:cs="宋体"/>
          <w:color w:val="000000" w:themeColor="text1"/>
          <w:sz w:val="24"/>
          <w:szCs w:val="20"/>
          <w:highlight w:val="none"/>
          <w14:textFill>
            <w14:solidFill>
              <w14:schemeClr w14:val="tx1"/>
            </w14:solidFill>
          </w14:textFill>
        </w:rPr>
        <w:fldChar w:fldCharType="begin"/>
      </w:r>
      <w:r>
        <w:rPr>
          <w:rFonts w:hint="eastAsia" w:ascii="宋体" w:hAnsi="宋体" w:eastAsia="宋体" w:cs="宋体"/>
          <w:color w:val="000000" w:themeColor="text1"/>
          <w:sz w:val="24"/>
          <w:szCs w:val="20"/>
          <w:highlight w:val="none"/>
          <w14:textFill>
            <w14:solidFill>
              <w14:schemeClr w14:val="tx1"/>
            </w14:solidFill>
          </w14:textFill>
        </w:rPr>
        <w:instrText xml:space="preserve"> PAGEREF _Toc105940243 \h </w:instrText>
      </w:r>
      <w:r>
        <w:rPr>
          <w:rFonts w:hint="eastAsia" w:ascii="宋体" w:hAnsi="宋体" w:eastAsia="宋体" w:cs="宋体"/>
          <w:color w:val="000000" w:themeColor="text1"/>
          <w:sz w:val="24"/>
          <w:szCs w:val="20"/>
          <w:highlight w:val="none"/>
          <w14:textFill>
            <w14:solidFill>
              <w14:schemeClr w14:val="tx1"/>
            </w14:solidFill>
          </w14:textFill>
        </w:rPr>
        <w:fldChar w:fldCharType="separate"/>
      </w:r>
      <w:r>
        <w:rPr>
          <w:rFonts w:hint="eastAsia" w:ascii="宋体" w:hAnsi="宋体" w:eastAsia="宋体" w:cs="宋体"/>
          <w:color w:val="000000" w:themeColor="text1"/>
          <w:sz w:val="24"/>
          <w:szCs w:val="20"/>
          <w:highlight w:val="none"/>
          <w14:textFill>
            <w14:solidFill>
              <w14:schemeClr w14:val="tx1"/>
            </w14:solidFill>
          </w14:textFill>
        </w:rPr>
        <w:t xml:space="preserve">60</w:t>
      </w:r>
      <w:r>
        <w:rPr>
          <w:rFonts w:hint="eastAsia" w:ascii="宋体" w:hAnsi="宋体" w:eastAsia="宋体" w:cs="宋体"/>
          <w:color w:val="000000" w:themeColor="text1"/>
          <w:sz w:val="24"/>
          <w:szCs w:val="20"/>
          <w:highlight w:val="none"/>
          <w14:textFill>
            <w14:solidFill>
              <w14:schemeClr w14:val="tx1"/>
            </w14:solidFill>
          </w14:textFill>
        </w:rPr>
        <w:fldChar w:fldCharType="end"/>
      </w:r>
      <w:r/>
    </w:p>
    <w:p>
      <w:pPr>
        <w:jc w:val="cente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ffffff"/>
          <w14:textFill>
            <w14:solidFill>
              <w14:schemeClr w14:val="tx1"/>
            </w14:solidFill>
          </w14:textFill>
        </w:rPr>
        <w:fldChar w:fldCharType="end"/>
      </w:r>
      <w:r/>
    </w:p>
    <w:p>
      <w:pPr>
        <w:spacing w:line="360" w:lineRule="auto"/>
        <w:rPr>
          <w:rFonts w:hint="eastAsia" w:ascii="宋体" w:hAnsi="宋体" w:eastAsia="宋体" w:cs="宋体"/>
          <w:b/>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br w:type="page" w:clear="all"/>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pStyle w:val="832"/>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2"/>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2"/>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2"/>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keepNext/>
        <w:spacing w:before="340" w:after="330" w:line="360" w:lineRule="auto"/>
        <w:rPr>
          <w:rFonts w:hint="eastAsia" w:ascii="宋体" w:hAnsi="宋体" w:eastAsia="宋体" w:cs="宋体"/>
          <w:b/>
          <w:color w:val="000000" w:themeColor="text1"/>
          <w:sz w:val="52"/>
          <w:szCs w:val="20"/>
          <w:highlight w:val="none"/>
          <w:shd w:val="clear" w:color="auto" w:fill="ffffff"/>
          <w14:textFill>
            <w14:solidFill>
              <w14:schemeClr w14:val="tx1"/>
            </w14:solidFill>
          </w14:textFill>
        </w:rPr>
        <w:outlineLvl w:val="0"/>
      </w:pPr>
      <w:r/>
      <w:bookmarkStart w:id="0" w:name="_Toc105940237"/>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第一章 投标邀请函</w:t>
      </w:r>
      <w:bookmarkEnd w:id="0"/>
      <w:r/>
      <w:bookmarkStart w:id="1" w:name="_Hlk117242093"/>
      <w:r/>
      <w:bookmarkEnd w:id="1"/>
      <w:r/>
      <w:r/>
    </w:p>
    <w:p>
      <w:pPr>
        <w:jc w:val="lef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clear="all"/>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tbl>
      <w:tblPr>
        <w:tblStyle w:val="790"/>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项目概况：</w:t>
            </w:r>
            <w:r/>
          </w:p>
          <w:p>
            <w:pPr>
              <w:ind w:firstLine="48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苏州幼儿师范高等专科学校食堂后勤服务采购项目</w:t>
            </w:r>
            <w:r>
              <w:rPr>
                <w:rFonts w:hint="eastAsia" w:ascii="宋体" w:hAnsi="宋体" w:eastAsia="宋体" w:cs="宋体"/>
                <w:color w:val="000000" w:themeColor="text1"/>
                <w:sz w:val="24"/>
                <w:highlight w:val="none"/>
                <w14:textFill>
                  <w14:solidFill>
                    <w14:schemeClr w14:val="tx1"/>
                  </w14:solidFill>
                </w14:textFill>
              </w:rPr>
              <w:t xml:space="preserve">项目</w:t>
            </w:r>
            <w:r>
              <w:rPr>
                <w:rFonts w:hint="eastAsia" w:ascii="宋体" w:hAnsi="宋体" w:eastAsia="宋体" w:cs="宋体"/>
                <w:color w:val="000000" w:themeColor="text1"/>
                <w:sz w:val="24"/>
                <w:highlight w:val="none"/>
                <w:lang w:eastAsia="zh-CN"/>
                <w14:textFill>
                  <w14:solidFill>
                    <w14:schemeClr w14:val="tx1"/>
                  </w14:solidFill>
                </w14:textFill>
              </w:rPr>
              <w:t xml:space="preserve">JSZC-320500-XCXC-G2026-0006</w:t>
            </w:r>
            <w:r>
              <w:rPr>
                <w:rFonts w:hint="eastAsia" w:ascii="宋体" w:hAnsi="宋体" w:eastAsia="宋体" w:cs="宋体"/>
                <w:color w:val="000000" w:themeColor="text1"/>
                <w:sz w:val="24"/>
                <w:highlight w:val="none"/>
                <w14:textFill>
                  <w14:solidFill>
                    <w14:schemeClr w14:val="tx1"/>
                  </w14:solidFill>
                </w14:textFill>
              </w:rPr>
              <w:t xml:space="preserve">的潜在投标人应在江苏省政府采购一体化平台“苏采云”系统自行免费下载招标（采购）文件，并于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highlight w:val="none"/>
                <w:lang w:eastAsia="zh-CN"/>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lang w:eastAsia="zh-CN"/>
                <w14:textFill>
                  <w14:solidFill>
                    <w14:schemeClr w14:val="tx1"/>
                  </w14:solidFill>
                </w14:textFill>
              </w:rPr>
              <w:t xml:space="preserve">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highlight w:val="none"/>
                <w:lang w:eastAsia="zh-CN"/>
                <w14:textFill>
                  <w14:solidFill>
                    <w14:schemeClr w14:val="tx1"/>
                  </w14:solidFill>
                </w14:textFill>
              </w:rPr>
              <w:t xml:space="preserve">分</w:t>
            </w:r>
            <w:r>
              <w:rPr>
                <w:rFonts w:hint="eastAsia" w:ascii="宋体" w:hAnsi="宋体" w:eastAsia="宋体" w:cs="宋体"/>
                <w:color w:val="000000" w:themeColor="text1"/>
                <w:sz w:val="24"/>
                <w:highlight w:val="none"/>
                <w14:textFill>
                  <w14:solidFill>
                    <w14:schemeClr w14:val="tx1"/>
                  </w14:solidFill>
                </w14:textFill>
              </w:rPr>
              <w:t xml:space="preserve">（北京时间）前递交投标文件。</w:t>
            </w:r>
            <w:r/>
          </w:p>
        </w:tc>
      </w:tr>
    </w:tbl>
    <w:p>
      <w:pPr>
        <w:ind w:firstLine="482"/>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一、项目基本情况</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lang w:eastAsia="zh-CN"/>
          <w14:textFill>
            <w14:solidFill>
              <w14:schemeClr w14:val="tx1"/>
            </w14:solidFill>
          </w14:textFill>
        </w:rPr>
        <w:t xml:space="preserve">JSZC-320500-XCXC-G2026-0006</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苏州幼儿师范高等专科学校食堂后勤服务采购项目</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采购方式：公开招标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2" w:name="_Hlk193370935"/>
      <w:r>
        <w:rPr>
          <w:rFonts w:hint="eastAsia" w:ascii="宋体" w:hAnsi="宋体" w:eastAsia="宋体" w:cs="宋体"/>
          <w:color w:val="000000" w:themeColor="text1"/>
          <w:sz w:val="24"/>
          <w:highlight w:val="none"/>
          <w14:textFill>
            <w14:solidFill>
              <w14:schemeClr w14:val="tx1"/>
            </w14:solidFill>
          </w14:textFill>
        </w:rPr>
        <w:t xml:space="preserve">预算金额：</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人民币（大写）：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贰佰柒拾叁万陆仟</w:t>
      </w:r>
      <w:r>
        <w:rPr>
          <w:rFonts w:hint="eastAsia" w:ascii="宋体" w:hAnsi="宋体" w:eastAsia="宋体" w:cs="宋体"/>
          <w:color w:val="000000" w:themeColor="text1"/>
          <w:sz w:val="24"/>
          <w:highlight w:val="none"/>
          <w14:textFill>
            <w14:solidFill>
              <w14:schemeClr w14:val="tx1"/>
            </w14:solidFill>
          </w14:textFill>
        </w:rPr>
        <w:t xml:space="preserve">元</w:t>
      </w:r>
      <w:r>
        <w:rPr>
          <w:rFonts w:hint="eastAsia" w:ascii="宋体" w:hAnsi="宋体" w:eastAsia="宋体" w:cs="宋体"/>
          <w:color w:val="000000" w:themeColor="text1"/>
          <w:sz w:val="24"/>
          <w:szCs w:val="20"/>
          <w:highlight w:val="none"/>
          <w14:textFill>
            <w14:solidFill>
              <w14:schemeClr w14:val="tx1"/>
            </w14:solidFill>
          </w14:textFill>
        </w:rPr>
        <w:t xml:space="preserve">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人民币（小写）：￥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2736000.00</w:t>
      </w:r>
      <w:r>
        <w:rPr>
          <w:rFonts w:hint="eastAsia" w:ascii="宋体" w:hAnsi="宋体" w:eastAsia="宋体" w:cs="宋体"/>
          <w:color w:val="000000" w:themeColor="text1"/>
          <w:sz w:val="24"/>
          <w:highlight w:val="none"/>
          <w14:textFill>
            <w14:solidFill>
              <w14:schemeClr w14:val="tx1"/>
            </w14:solidFill>
          </w14:textFill>
        </w:rPr>
        <w:t xml:space="preserve">元</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最高限价（如有）：</w:t>
      </w:r>
      <w:bookmarkEnd w:id="2"/>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人民币（大写）：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贰佰柒拾叁万陆仟</w:t>
      </w:r>
      <w:r>
        <w:rPr>
          <w:rFonts w:hint="eastAsia" w:ascii="宋体" w:hAnsi="宋体" w:eastAsia="宋体" w:cs="宋体"/>
          <w:color w:val="000000" w:themeColor="text1"/>
          <w:sz w:val="24"/>
          <w:highlight w:val="none"/>
          <w14:textFill>
            <w14:solidFill>
              <w14:schemeClr w14:val="tx1"/>
            </w14:solidFill>
          </w14:textFill>
        </w:rPr>
        <w:t xml:space="preserve">元</w:t>
      </w:r>
      <w:r>
        <w:rPr>
          <w:rFonts w:hint="eastAsia" w:ascii="宋体" w:hAnsi="宋体" w:eastAsia="宋体" w:cs="宋体"/>
          <w:color w:val="000000" w:themeColor="text1"/>
          <w:sz w:val="24"/>
          <w:szCs w:val="20"/>
          <w:highlight w:val="none"/>
          <w14:textFill>
            <w14:solidFill>
              <w14:schemeClr w14:val="tx1"/>
            </w14:solidFill>
          </w14:textFill>
        </w:rPr>
        <w:t xml:space="preserve">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人民币（小写）：￥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2736000.00</w:t>
      </w:r>
      <w:r>
        <w:rPr>
          <w:rFonts w:hint="eastAsia" w:ascii="宋体" w:hAnsi="宋体" w:eastAsia="宋体" w:cs="宋体"/>
          <w:color w:val="000000" w:themeColor="text1"/>
          <w:sz w:val="24"/>
          <w:highlight w:val="none"/>
          <w14:textFill>
            <w14:solidFill>
              <w14:schemeClr w14:val="tx1"/>
            </w14:solidFill>
          </w14:textFill>
        </w:rPr>
        <w:t xml:space="preserve">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采购需求：苏州幼儿师范高等专科学校坐落在苏州市相城区华元路2号，学校现有全日制在校生（住宿生）约2300人，教职工及外来服务单位人员</w:t>
      </w:r>
      <w:r>
        <w:rPr>
          <w:rFonts w:hint="eastAsia" w:ascii="宋体" w:hAnsi="宋体" w:eastAsia="宋体" w:cs="宋体"/>
          <w:color w:val="000000" w:themeColor="text1"/>
          <w:sz w:val="24"/>
          <w:szCs w:val="24"/>
          <w:highlight w:val="none"/>
          <w14:textFill>
            <w14:solidFill>
              <w14:schemeClr w14:val="tx1"/>
            </w14:solidFill>
          </w14:textFill>
        </w:rPr>
        <w:t xml:space="preserve">约250人。学校食堂建筑总面积约4800平方米（其中老食堂：学生餐厅2个、食堂操作间1个。新食堂：学生餐厅1个，教工餐厅1个，食堂操作间一个）。共分为两个食堂，可同时容纳1396人同时用餐（其中：老食堂一楼学生餐厅有280个餐位，二楼学生餐厅有716个餐位。新食堂教师餐厅有200个餐位，学生餐厅有380个餐位）。老食堂：一、二层设中餐组、风味小吃组、面食组、西点组、早点组等等；新食堂：设置教工餐及各类风味小吃组。学校为各组配备了基本的厨房设备，水、电、气铺设到位，配备了餐桌椅，可供正常使用。具体详见第四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3" w:name="_Hlk193370988"/>
      <w:r>
        <w:rPr>
          <w:rFonts w:hint="eastAsia" w:ascii="宋体" w:hAnsi="宋体" w:eastAsia="宋体" w:cs="宋体"/>
          <w:color w:val="000000" w:themeColor="text1"/>
          <w:sz w:val="24"/>
          <w:szCs w:val="24"/>
          <w:highlight w:val="none"/>
          <w14:textFill>
            <w14:solidFill>
              <w14:schemeClr w14:val="tx1"/>
            </w14:solidFill>
          </w14:textFill>
        </w:rPr>
        <w:t xml:space="preserve">合同履行期限：合同签订之日起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年。</w:t>
      </w:r>
      <w:bookmarkEnd w:id="3"/>
      <w:r/>
      <w:r/>
    </w:p>
    <w:p>
      <w:pPr>
        <w:ind w:firstLine="480"/>
        <w:spacing w:line="360" w:lineRule="auto"/>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本项目（是/否）接受联合体：</w:t>
      </w:r>
      <w:r>
        <w:rPr>
          <w:rFonts w:hint="eastAsia" w:ascii="宋体" w:hAnsi="宋体" w:eastAsia="宋体" w:cs="宋体"/>
          <w:color w:val="000000" w:themeColor="text1"/>
          <w:sz w:val="24"/>
          <w:highlight w:val="none"/>
          <w14:textFill>
            <w14:solidFill>
              <w14:schemeClr w14:val="tx1"/>
            </w14:solidFill>
          </w14:textFill>
        </w:rPr>
        <w:t xml:space="preserve">否</w:t>
      </w:r>
      <w:r/>
    </w:p>
    <w:p>
      <w:pPr>
        <w:ind w:firstLine="482"/>
        <w:spacing w:line="360" w:lineRule="auto"/>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二、申请人的资格要求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（一）满足《中华人民共和国政府采购法》第二十二条规定</w:t>
      </w:r>
      <w:r/>
    </w:p>
    <w:p>
      <w:pPr>
        <w:pStyle w:val="793"/>
        <w:ind w:firstLine="480"/>
        <w:jc w:val="both"/>
        <w:spacing w:line="360" w:lineRule="auto"/>
        <w:rPr>
          <w:rFonts w:hint="eastAsia" w:ascii="宋体" w:hAnsi="宋体" w:eastAsia="宋体" w:cs="宋体"/>
          <w:color w:val="000000" w:themeColor="text1"/>
          <w:szCs w:val="22"/>
          <w:highlight w:val="none"/>
          <w14:textFill>
            <w14:solidFill>
              <w14:schemeClr w14:val="tx1"/>
            </w14:solidFill>
          </w14:textFill>
        </w:rPr>
      </w:pPr>
      <w:r/>
      <w:bookmarkStart w:id="4" w:name="_Hlk193371023"/>
      <w:r>
        <w:rPr>
          <w:rFonts w:hint="eastAsia" w:ascii="宋体" w:hAnsi="宋体" w:eastAsia="宋体" w:cs="宋体"/>
          <w:color w:val="000000" w:themeColor="text1"/>
          <w:szCs w:val="22"/>
          <w:highlight w:val="none"/>
          <w14:textFill>
            <w14:solidFill>
              <w14:schemeClr w14:val="tx1"/>
            </w14:solidFill>
          </w14:textFill>
        </w:rPr>
        <w:t xml:space="preserve">1、具有独立承担民事责任的能力。</w:t>
      </w:r>
      <w:r/>
    </w:p>
    <w:p>
      <w:pPr>
        <w:pStyle w:val="793"/>
        <w:ind w:firstLine="480"/>
        <w:jc w:val="both"/>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2、具有良好的商业信誉和健全的财务会计制度。</w:t>
      </w:r>
      <w:r/>
    </w:p>
    <w:p>
      <w:pPr>
        <w:pStyle w:val="793"/>
        <w:ind w:firstLine="480"/>
        <w:jc w:val="both"/>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3、具有履行合同所必需的设备和专业技术能力。</w:t>
      </w:r>
      <w:r/>
    </w:p>
    <w:p>
      <w:pPr>
        <w:pStyle w:val="793"/>
        <w:ind w:firstLine="480"/>
        <w:jc w:val="both"/>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4、有依法缴纳税收和社会保障资金的良好记录。</w:t>
      </w:r>
      <w:r/>
    </w:p>
    <w:p>
      <w:pPr>
        <w:pStyle w:val="793"/>
        <w:ind w:firstLine="480"/>
        <w:jc w:val="both"/>
        <w:spacing w:line="360" w:lineRule="auto"/>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6、法律、行政法规规定的其他条件。</w:t>
      </w:r>
      <w:bookmarkEnd w:id="4"/>
      <w:r/>
      <w:r/>
    </w:p>
    <w:p>
      <w:pPr>
        <w:pStyle w:val="828"/>
        <w:ind w:firstLine="480"/>
        <w:jc w:val="both"/>
        <w:spacing w:before="0" w:beforeAutospacing="0" w:after="0" w:afterAutospacing="0"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（二）落实政府采购政策需满足的资格要求</w:t>
      </w:r>
      <w:r/>
    </w:p>
    <w:p>
      <w:pPr>
        <w:pStyle w:val="828"/>
        <w:ind w:firstLine="480"/>
        <w:jc w:val="both"/>
        <w:spacing w:before="0" w:beforeAutospacing="0" w:after="0" w:afterAutospacing="0"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根据《政府采购促进中小企业发展管理办法》的相关规定，本项目专门面向中小企业，所属行业为</w:t>
      </w:r>
      <w:r>
        <w:rPr>
          <w:rFonts w:hint="eastAsia" w:ascii="宋体" w:hAnsi="宋体" w:eastAsia="宋体" w:cs="宋体"/>
          <w:color w:val="000000" w:themeColor="text1"/>
          <w:highlight w:val="none"/>
          <w:u w:val="single"/>
          <w14:textFill>
            <w14:solidFill>
              <w14:schemeClr w14:val="tx1"/>
            </w14:solidFill>
          </w14:textFill>
        </w:rPr>
        <w:t xml:space="preserve">餐饮业</w:t>
      </w:r>
      <w:r>
        <w:rPr>
          <w:rFonts w:hint="eastAsia" w:ascii="宋体" w:hAnsi="宋体" w:eastAsia="宋体" w:cs="宋体"/>
          <w:color w:val="000000" w:themeColor="text1"/>
          <w:highlight w:val="none"/>
          <w14:textFill>
            <w14:solidFill>
              <w14:schemeClr w14:val="tx1"/>
            </w14:solidFill>
          </w14:textFill>
        </w:rPr>
        <w:t xml:space="preserve">，供应商应为中小微企业、监狱企业或残疾人福利单位。</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（三）本项目的特定资格要求</w:t>
      </w:r>
      <w:r/>
    </w:p>
    <w:p>
      <w:pPr>
        <w:pStyle w:val="828"/>
        <w:ind w:firstLine="480"/>
        <w:jc w:val="both"/>
        <w:spacing w:before="0" w:beforeAutospacing="0" w:after="0" w:afterAutospacing="0" w:line="360"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1、未被“信用中国”网站（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"https://www.creditchina.gov.cn" \o "https://www.creditchina.gov.cn"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www.creditchina.gov.cn</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t xml:space="preserve">）列入失信被执行人、重大税收违法案件当事人名单、政府采购严重失信行为记录名单。</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2、投标单位具有有效期内的食品经营许可证[经营项目：餐饮服务管理（承包集中用餐单位食堂）]。</w:t>
      </w:r>
      <w:r/>
    </w:p>
    <w:p>
      <w:pPr>
        <w:ind w:firstLine="482"/>
        <w:spacing w:line="360" w:lineRule="auto"/>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三、获取招标文件</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bookmarkStart w:id="5" w:name="_Hlk97035982"/>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szCs w:val="20"/>
          <w:highlight w:val="none"/>
          <w14:textFill>
            <w14:solidFill>
              <w14:schemeClr w14:val="tx1"/>
            </w14:solidFill>
          </w14:textFill>
        </w:rPr>
        <w:t xml:space="preserve">、时间：自招标公告发布之日起</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5个工作日</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地点：江苏省政府采购一体化平台“苏采云”系统</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color w:val="000000" w:themeColor="text1"/>
          <w:sz w:val="24"/>
          <w:szCs w:val="20"/>
          <w:highlight w:val="none"/>
          <w14:textFill>
            <w14:solidFill>
              <w14:schemeClr w14:val="tx1"/>
            </w14:solidFill>
          </w14:textFill>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4、售价：0.00元</w:t>
      </w:r>
      <w:bookmarkEnd w:id="5"/>
      <w:r/>
      <w:r/>
    </w:p>
    <w:p>
      <w:pPr>
        <w:ind w:firstLine="482"/>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四、提交投标文件截止时间、开标时间和地点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2026</w:t>
      </w:r>
      <w:r>
        <w:rPr>
          <w:rFonts w:hint="eastAsia" w:ascii="宋体" w:hAnsi="宋体" w:eastAsia="宋体" w:cs="宋体"/>
          <w:color w:val="000000" w:themeColor="text1"/>
          <w:sz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lang w:eastAsia="zh-CN"/>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color w:val="000000" w:themeColor="text1"/>
          <w:sz w:val="24"/>
          <w:highlight w:val="none"/>
          <w:lang w:eastAsia="zh-CN"/>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lang w:eastAsia="zh-CN"/>
          <w14:textFill>
            <w14:solidFill>
              <w14:schemeClr w14:val="tx1"/>
            </w14:solidFill>
          </w14:textFill>
        </w:rPr>
        <w:t xml:space="preserve">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0分</w:t>
      </w:r>
      <w:r>
        <w:rPr>
          <w:rFonts w:hint="eastAsia" w:ascii="宋体" w:hAnsi="宋体" w:eastAsia="宋体" w:cs="宋体"/>
          <w:color w:val="000000" w:themeColor="text1"/>
          <w:sz w:val="24"/>
          <w:highlight w:val="none"/>
          <w14:textFill>
            <w14:solidFill>
              <w14:schemeClr w14:val="tx1"/>
            </w14:solidFill>
          </w14:textFill>
        </w:rPr>
        <w:t xml:space="preserve">（北京时间）</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地点：“苏采云”系统（网址：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Style w:val="837"/>
          <w:rFonts w:hint="eastAsia" w:ascii="宋体" w:hAnsi="宋体" w:eastAsia="宋体" w:cs="宋体"/>
          <w:color w:val="000000" w:themeColor="text1"/>
          <w:sz w:val="24"/>
          <w:highlight w:val="none"/>
          <w14:textFill>
            <w14:solidFill>
              <w14:schemeClr w14:val="tx1"/>
            </w14:solidFill>
          </w14:textFill>
        </w:rPr>
        <w:t xml:space="preserve">http://jszfcg.jsczt.cn/）</w:t>
      </w:r>
      <w:r>
        <w:rPr>
          <w:rStyle w:val="837"/>
          <w:rFonts w:hint="eastAsia" w:ascii="宋体" w:hAnsi="宋体" w:eastAsia="宋体" w:cs="宋体"/>
          <w:color w:val="000000" w:themeColor="text1"/>
          <w:sz w:val="24"/>
          <w:highlight w:val="none"/>
          <w14:textFill>
            <w14:solidFill>
              <w14:schemeClr w14:val="tx1"/>
            </w14:solidFill>
          </w14:textFill>
        </w:rPr>
        <w:fldChar w:fldCharType="end"/>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五、公告期限：自本公告发布之日起5个工作日。</w:t>
      </w:r>
      <w:r/>
    </w:p>
    <w:p>
      <w:pPr>
        <w:ind w:firstLine="482"/>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六、其他补充事宜</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7" w:name="_Hlk193371515"/>
      <w:r>
        <w:rPr>
          <w:rFonts w:hint="eastAsia" w:ascii="宋体" w:hAnsi="宋体" w:eastAsia="宋体" w:cs="宋体"/>
          <w:color w:val="000000" w:themeColor="text1"/>
          <w:sz w:val="24"/>
          <w:highlight w:val="none"/>
          <w14:textFill>
            <w14:solidFill>
              <w14:schemeClr w14:val="tx1"/>
            </w14:solidFill>
          </w14:textFill>
        </w:rPr>
        <w:t xml:space="preserve">4、CA证书办理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000000" w:themeColor="text1"/>
          <w:sz w:val="24"/>
          <w:highlight w:val="none"/>
          <w14:textFill>
            <w14:solidFill>
              <w14:schemeClr w14:val="tx1"/>
            </w14:solidFill>
          </w14:textFill>
        </w:rPr>
        <w:t xml:space="preserve">“苏采云”系统目前仅支持“苏采云”系统下的政务CA证书，江苏省内各地区办理的“苏采云”系统下的政务CA证书全省通用。</w:t>
      </w:r>
      <w:r>
        <w:rPr>
          <w:rFonts w:hint="eastAsia" w:ascii="宋体" w:hAnsi="宋体" w:eastAsia="宋体" w:cs="宋体"/>
          <w:color w:val="000000" w:themeColor="text1"/>
          <w:sz w:val="24"/>
          <w:highlight w:val="none"/>
          <w14:textFill>
            <w14:solidFill>
              <w14:schemeClr w14:val="tx1"/>
            </w14:solidFill>
          </w14:textFill>
        </w:rPr>
        <w:t xml:space="preserve">苏州现场办理地址：苏州市高新区邓尉路105号狮山科技馆一楼服务大厅，咨询电话：0512-65737699。。</w:t>
      </w:r>
      <w:bookmarkEnd w:id="7"/>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8" w:name="_Hlk193371550"/>
      <w:r>
        <w:rPr>
          <w:rFonts w:hint="eastAsia" w:ascii="宋体" w:hAnsi="宋体" w:eastAsia="宋体" w:cs="宋体"/>
          <w:color w:val="000000" w:themeColor="text1"/>
          <w:sz w:val="24"/>
          <w:highlight w:val="none"/>
          <w14:textFill>
            <w14:solidFill>
              <w14:schemeClr w14:val="tx1"/>
            </w14:solidFill>
          </w14:textFill>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8"/>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7、如不同投标（响应）文件制作机器码一致，则投标（响应）无效。</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8、制作电子投标（响应）文件：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color w:val="000000" w:themeColor="text1"/>
          <w:sz w:val="24"/>
          <w:szCs w:val="24"/>
          <w:highlight w:val="none"/>
          <w:shd w:val="clear" w:color="auto" w:fill="ffffff"/>
          <w:lang w:bidi="ar"/>
          <w14:textFill>
            <w14:solidFill>
              <w14:schemeClr w14:val="tx1"/>
            </w14:solidFill>
          </w14:textFill>
        </w:rPr>
        <w:t xml:space="preserve">电子投标（响应）文件制作完成后请于投标（响应）文件递交截止时间前成功上传至“苏采云”系统，否则视为放弃参加该采购项目。</w:t>
      </w:r>
      <w:r>
        <w:rPr>
          <w:rFonts w:hint="eastAsia" w:ascii="宋体" w:hAnsi="宋体" w:eastAsia="宋体" w:cs="宋体"/>
          <w:color w:val="000000" w:themeColor="text1"/>
          <w:sz w:val="24"/>
          <w:highlight w:val="none"/>
          <w14:textFill>
            <w14:solidFill>
              <w14:schemeClr w14:val="tx1"/>
            </w14:solidFill>
          </w14:textFill>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bookmarkStart w:id="9" w:name="_Hlk193371673"/>
      <w:r>
        <w:rPr>
          <w:rFonts w:hint="eastAsia" w:ascii="宋体" w:hAnsi="宋体" w:eastAsia="宋体" w:cs="宋体"/>
          <w:color w:val="000000" w:themeColor="text1"/>
          <w:sz w:val="24"/>
          <w:highlight w:val="none"/>
          <w14:textFill>
            <w14:solidFill>
              <w14:schemeClr w14:val="tx1"/>
            </w14:solidFill>
          </w14:textFill>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bookmarkEnd w:id="9"/>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11、技术支持：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CA技术咨询服务电话：400-608-6099</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电子签章技术咨询服务电话：15380932027、15371015030 、13675197356、13675197221</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“苏采云”平台技术咨询电话：0512-69820854、0519-86722802、13914088964、18261002950</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12、根据《政府采购促进中小企业发展管理办法》（财库〔2020〕46号）及《中小企</w:t>
      </w:r>
      <w:bookmarkStart w:id="73" w:name="_GoBack"/>
      <w:r/>
      <w:bookmarkEnd w:id="73"/>
      <w:r>
        <w:rPr>
          <w:rFonts w:hint="eastAsia" w:ascii="宋体" w:hAnsi="宋体" w:eastAsia="宋体" w:cs="宋体"/>
          <w:color w:val="000000" w:themeColor="text1"/>
          <w:sz w:val="24"/>
          <w:highlight w:val="none"/>
          <w14:textFill>
            <w14:solidFill>
              <w14:schemeClr w14:val="tx1"/>
            </w14:solidFill>
          </w14:textFill>
        </w:rPr>
        <w:t xml:space="preserve">业划型标准规定》（工信部联企业〔2011〕300号），本采购标的对应的中小企业划分标准所属行业为：餐饮业。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13、本项目支持政府采购合同信用融资。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14、政府采购监督电话：</w:t>
      </w:r>
      <w:r>
        <w:rPr>
          <w:rFonts w:ascii="宋体" w:hAnsi="宋体" w:eastAsia="宋体" w:cs="宋体"/>
          <w:color w:val="000000" w:themeColor="text1"/>
          <w:sz w:val="24"/>
          <w:highlight w:val="none"/>
          <w14:textFill>
            <w14:solidFill>
              <w14:schemeClr w14:val="tx1"/>
            </w14:solidFill>
          </w14:textFill>
        </w:rPr>
        <w:t xml:space="preserve">0512-68616651</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七、对本次招标提出询问，请按以下方式联系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1、采购人信息</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单位名称：苏州幼儿师范高等专科学校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单位地址：苏州市相城区华元路2号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联系人：何兴财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联系电话：0512-69395631</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2、采购代理机构信息</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 称：苏州星创招投标咨询有限公司            </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址：苏州姑苏区桐泾北路218号今雨荟商务大厦908            </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联系人：周星宇、李文祥、吴苏玲、葛希璟               </w:t>
      </w:r>
      <w:r/>
    </w:p>
    <w:p>
      <w:pPr>
        <w:ind w:firstLine="480"/>
        <w:spacing w:line="360" w:lineRule="auto"/>
        <w:shd w:val="clear" w:color="auto" w:fill="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rPr>
          <w:rFonts w:hint="eastAsia" w:ascii="宋体" w:hAnsi="宋体" w:cs="宋体"/>
          <w:color w:val="000000" w:themeColor="text1"/>
          <w:sz w:val="24"/>
          <w:highlight w:val="none"/>
          <w:lang w:val="en-US" w:eastAsia="zh-CN"/>
          <w14:textFill>
            <w14:solidFill>
              <w14:schemeClr w14:val="tx1"/>
            </w14:solidFill>
          </w14:textFill>
        </w:rPr>
        <w:t xml:space="preserve">15850222980</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 </w:t>
      </w:r>
      <w:r/>
    </w:p>
    <w:p>
      <w:pPr>
        <w:ind w:firstLine="480"/>
        <w:spacing w:line="360" w:lineRule="auto"/>
        <w:shd w:val="clear" w:color="auto" w:fil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项目联系人：周星宇、李文祥、吴苏玲、葛希璟 </w:t>
      </w:r>
      <w:r/>
    </w:p>
    <w:p>
      <w:pPr>
        <w:ind w:firstLine="480"/>
        <w:spacing w:line="360" w:lineRule="auto"/>
        <w:shd w:val="clear" w:color="auto" w:fill="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val="en-US" w:eastAsia="zh-CN"/>
          <w14:textFill>
            <w14:solidFill>
              <w14:schemeClr w14:val="tx1"/>
            </w14:solidFill>
          </w14:textFill>
        </w:rPr>
        <w:t xml:space="preserve">15850222980</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8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159" w:firstLine="482"/>
        <w:jc w:val="right"/>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1"/>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1"/>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1"/>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1"/>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1"/>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1"/>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1"/>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pStyle w:val="801"/>
        <w:ind w:left="0" w:right="0" w:firstLine="482"/>
        <w:rPr>
          <w:rFonts w:ascii="宋体" w:hAnsi="宋体" w:eastAsia="宋体" w:cs="宋体"/>
          <w:b/>
          <w:color w:val="000000" w:themeColor="text1"/>
          <w:sz w:val="24"/>
          <w:szCs w:val="24"/>
          <w:highlight w:val="none"/>
          <w:shd w:val="clear" w:color="auto" w:fill="ffffff"/>
          <w14:textFill>
            <w14:solidFill>
              <w14:schemeClr w14:val="tx1"/>
            </w14:solidFill>
          </w14:textFill>
        </w:rPr>
      </w:pPr>
      <w:r>
        <w:rPr>
          <w:rFonts w:ascii="宋体" w:hAnsi="宋体" w:eastAsia="宋体" w:cs="宋体"/>
          <w:b/>
          <w:color w:val="000000" w:themeColor="text1"/>
          <w:sz w:val="24"/>
          <w:szCs w:val="24"/>
          <w:highlight w:val="none"/>
          <w:shd w:val="clear" w:color="auto" w:fill="ffffff"/>
          <w14:textFill>
            <w14:solidFill>
              <w14:schemeClr w14:val="tx1"/>
            </w14:solidFill>
          </w14:textFill>
        </w:rPr>
      </w:r>
      <w:r/>
    </w:p>
    <w:p>
      <w:pPr>
        <w:jc w:val="center"/>
        <w:keepLines/>
        <w:keepNext/>
        <w:spacing w:before="340" w:after="330" w:line="360" w:lineRule="auto"/>
        <w:rPr>
          <w:rFonts w:hint="eastAsia" w:ascii="宋体" w:hAnsi="宋体" w:eastAsia="宋体" w:cs="宋体"/>
          <w:b/>
          <w:color w:val="000000" w:themeColor="text1"/>
          <w:sz w:val="52"/>
          <w:szCs w:val="20"/>
          <w:highlight w:val="none"/>
          <w:shd w:val="clear" w:color="auto" w:fill="ffffff"/>
          <w14:textFill>
            <w14:solidFill>
              <w14:schemeClr w14:val="tx1"/>
            </w14:solidFill>
          </w14:textFill>
        </w:rPr>
        <w:outlineLvl w:val="0"/>
      </w:pPr>
      <w:r/>
      <w:bookmarkStart w:id="10" w:name="_Toc105940238"/>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第二章 供应商须知</w:t>
      </w:r>
      <w:bookmarkEnd w:id="10"/>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br w:type="page" w:clear="all"/>
      </w:r>
      <w:r/>
    </w:p>
    <w:p>
      <w:pPr>
        <w:ind w:firstLine="482"/>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A.说明和释义</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1.说明</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1.1本招标文件仅适用于</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组织的招标活动。</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1.2本次招标活动及因本次招标产生的合同受中国法律制约和保护。</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1.3本招标文件的解释权属于</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2.词语释义</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11" w:name="_Hlk193372031"/>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2.1采购人：指依法进行政府采购的国家机关、事业单位、团体组织。</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2.3供应商：指响应招标、参加投标竞争的法人、其他组织或者自然人。</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2.4响应：供应商根据采购人或采购代理机构发布的招标文件，编制投标（响应）文件并按规定投标（响应）的行为。</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2.6甲方（采购人）：合同中明确规定的实际购买货物和服务的法人或其他组织和自然人。</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2.8货物：系指乙方按招标文件规定，应向甲方提供的一切设备、备品、备件、工具、手册及其它有关技术资料和材料。</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5"/>
        <w:spacing w:line="360" w:lineRule="auto"/>
        <w:tabs>
          <w:tab w:val="left" w:pos="54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2.11天：日历天。</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2.12时间：除特别说明，均指北京时间。</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2.13交货地点：合同中明确约定的乙方提交的货物和服务最终到达地点。</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2.14合同价款：根据合同规定，乙方在正确地履行合同义务后甲方应支付乙方的价款。</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2.15产地：货物开采、生长、生产、最终制造、加工或提供服务的来源地。</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2.16不可抗力：不能预见、不能避免并且不能克服的客观情况。</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2.18进口产品：通过中国海关报关验放进入中国境内且产自关境外的产品。</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2.19书面形式：指书面文字、合同书、信件和传真等可以有形地表现所载内容的形式。</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2.20核心产品：根据本项目技术构成、产品价格比重等合理确定的产品。</w:t>
      </w:r>
      <w:bookmarkEnd w:id="11"/>
      <w:r/>
      <w:r/>
    </w:p>
    <w:p>
      <w:pPr>
        <w:ind w:firstLine="482"/>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B.供应商</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3.申请人的资格要求</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12" w:name="_Hlk19337210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详见本项目招标公告中的“申请人的资格要求”。</w:t>
      </w:r>
      <w:bookmarkEnd w:id="12"/>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4.供应商代表</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指全权代表供应商参加投标（响应）活动并签署投标（响应）文件的人，如果供应商代表不是法人代表，须持有《法定代表人授权委托书》（</w:t>
      </w:r>
      <w:bookmarkStart w:id="13" w:name="_Hlk19337224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详见统一格式</w:t>
      </w:r>
      <w:bookmarkEnd w:id="13"/>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5.投标费用</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无论投标（响应）过程中的做法和结果如何，供应商自行承担所有与参加投标（响应）有关的全部费用。</w:t>
      </w:r>
      <w:r/>
    </w:p>
    <w:p>
      <w:pPr>
        <w:ind w:firstLine="482"/>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6.联合投标（响应）</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bookmarkStart w:id="14" w:name="_Hlk193372378"/>
      <w:r>
        <w:rPr>
          <w:rFonts w:hint="eastAsia" w:ascii="宋体" w:hAnsi="宋体" w:eastAsia="宋体" w:cs="宋体"/>
          <w:color w:val="000000" w:themeColor="text1"/>
          <w:sz w:val="24"/>
          <w:szCs w:val="20"/>
          <w:highlight w:val="none"/>
          <w14:textFill>
            <w14:solidFill>
              <w14:schemeClr w14:val="tx1"/>
            </w14:solidFill>
          </w14:textFill>
        </w:rPr>
        <w:t xml:space="preserve">6.1本项目不接受联合体投标（响应）。</w:t>
      </w:r>
      <w:bookmarkEnd w:id="14"/>
      <w:r/>
      <w:r/>
    </w:p>
    <w:p>
      <w:pPr>
        <w:ind w:firstLine="482"/>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C.招标文件和投标（响应）文件的说明</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7.招标文件</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w:t>
      </w:r>
      <w:bookmarkStart w:id="15" w:name="_Hlk193372537"/>
      <w:r>
        <w:rPr>
          <w:rFonts w:hint="eastAsia" w:ascii="宋体" w:hAnsi="宋体" w:eastAsia="宋体" w:cs="宋体"/>
          <w:color w:val="000000" w:themeColor="text1"/>
          <w:sz w:val="24"/>
          <w:szCs w:val="24"/>
          <w:highlight w:val="none"/>
          <w14:textFill>
            <w14:solidFill>
              <w14:schemeClr w14:val="tx1"/>
            </w14:solidFill>
          </w14:textFill>
        </w:rPr>
        <w:t xml:space="preserve">招标文件由招标文件总目录所列内容组成，</w:t>
      </w:r>
      <w:bookmarkEnd w:id="15"/>
      <w:r>
        <w:rPr>
          <w:rFonts w:hint="eastAsia" w:ascii="宋体" w:hAnsi="宋体" w:eastAsia="宋体" w:cs="宋体"/>
          <w:color w:val="000000" w:themeColor="text1"/>
          <w:sz w:val="24"/>
          <w:szCs w:val="24"/>
          <w:highlight w:val="none"/>
          <w14:textFill>
            <w14:solidFill>
              <w14:schemeClr w14:val="tx1"/>
            </w14:solidFill>
          </w14:textFill>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6" w:name="_Hlk193372564"/>
      <w:r>
        <w:rPr>
          <w:rFonts w:hint="eastAsia" w:ascii="宋体" w:hAnsi="宋体" w:eastAsia="宋体" w:cs="宋体"/>
          <w:b/>
          <w:color w:val="000000" w:themeColor="text1"/>
          <w:sz w:val="24"/>
          <w:szCs w:val="24"/>
          <w:highlight w:val="none"/>
          <w14:textFill>
            <w14:solidFill>
              <w14:schemeClr w14:val="tx1"/>
            </w14:solidFill>
          </w14:textFill>
        </w:rPr>
        <w:t xml:space="preserve">该电子投标（响应）文件将被视为未实质性响应。</w:t>
      </w:r>
      <w:bookmarkEnd w:id="16"/>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7.2招标文件及其补充文件</w:t>
      </w:r>
      <w:bookmarkStart w:id="17" w:name="_Hlk193372622"/>
      <w:r>
        <w:rPr>
          <w:rFonts w:hint="eastAsia" w:ascii="宋体" w:hAnsi="宋体" w:eastAsia="宋体" w:cs="宋体"/>
          <w:color w:val="000000" w:themeColor="text1"/>
          <w:sz w:val="24"/>
          <w:szCs w:val="24"/>
          <w:highlight w:val="none"/>
          <w14:textFill>
            <w14:solidFill>
              <w14:schemeClr w14:val="tx1"/>
            </w14:solidFill>
          </w14:textFill>
        </w:rPr>
        <w:t xml:space="preserve">未按规定的方式获得的</w:t>
      </w:r>
      <w:bookmarkEnd w:id="17"/>
      <w:r>
        <w:rPr>
          <w:rFonts w:hint="eastAsia" w:ascii="宋体" w:hAnsi="宋体" w:eastAsia="宋体" w:cs="宋体"/>
          <w:color w:val="000000" w:themeColor="text1"/>
          <w:sz w:val="24"/>
          <w:szCs w:val="24"/>
          <w:highlight w:val="none"/>
          <w14:textFill>
            <w14:solidFill>
              <w14:schemeClr w14:val="tx1"/>
            </w14:solidFill>
          </w14:textFill>
        </w:rPr>
        <w:t xml:space="preserve">，采购代理机构对招标文件及其补遗的真实性、完整性不承担任何责任。</w:t>
      </w:r>
      <w:r/>
    </w:p>
    <w:p>
      <w:pPr>
        <w:ind w:firstLine="482"/>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bookmarkStart w:id="18" w:name="_Hlk193372773"/>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8.招标文件的询问</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供应商在收到招标文件后，若有问题需要询问，应于下载招标文件后，可通过公告中的联系方式及时提出，采购人或采购代理机构将予以解答。</w:t>
      </w:r>
      <w:r/>
    </w:p>
    <w:p>
      <w:pPr>
        <w:ind w:firstLine="482"/>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9.现场踏勘</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供应商可自行对有关现场和周围环境进行踏勘，以获取编制投标（响应）文件和签署合同所需的信息，踏勘现场所发生的费用由供应商自己承担。</w:t>
      </w:r>
      <w:r/>
    </w:p>
    <w:p>
      <w:pPr>
        <w:ind w:firstLine="482"/>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10.集中现场考察</w:t>
      </w:r>
      <w:r/>
    </w:p>
    <w:p>
      <w:pPr>
        <w:ind w:firstLine="480"/>
        <w:spacing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①</w:t>
      </w:r>
      <w:r>
        <w:rPr>
          <w:rFonts w:hint="eastAsia" w:ascii="宋体" w:hAnsi="宋体" w:eastAsia="宋体" w:cs="宋体"/>
          <w:color w:val="000000" w:themeColor="text1"/>
          <w:sz w:val="24"/>
          <w:szCs w:val="24"/>
          <w:highlight w:val="none"/>
          <w14:textFill>
            <w14:solidFill>
              <w14:schemeClr w14:val="tx1"/>
            </w14:solidFill>
          </w14:textFill>
        </w:rPr>
        <w:t xml:space="preserve">种方式组织集中现场考察：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①采购人不组织集中现场考察；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②采购人组织集中现场考察，请供应商持在“苏采云”系统中下载本项目采购文件的</w:t>
      </w:r>
      <w:r>
        <w:rPr>
          <w:rFonts w:hint="eastAsia" w:ascii="宋体" w:hAnsi="宋体" w:eastAsia="宋体" w:cs="宋体"/>
          <w:b/>
          <w:color w:val="000000" w:themeColor="text1"/>
          <w:sz w:val="24"/>
          <w:szCs w:val="24"/>
          <w:highlight w:val="none"/>
          <w14:textFill>
            <w14:solidFill>
              <w14:schemeClr w14:val="tx1"/>
            </w14:solidFill>
          </w14:textFill>
        </w:rPr>
        <w:t xml:space="preserve">《投标供应商确认函》</w:t>
      </w:r>
      <w:r>
        <w:rPr>
          <w:rFonts w:hint="eastAsia" w:ascii="宋体" w:hAnsi="宋体" w:eastAsia="宋体" w:cs="宋体"/>
          <w:color w:val="000000" w:themeColor="text1"/>
          <w:sz w:val="24"/>
          <w:szCs w:val="24"/>
          <w:highlight w:val="none"/>
          <w14:textFill>
            <w14:solidFill>
              <w14:schemeClr w14:val="tx1"/>
            </w14:solidFill>
          </w14:textFill>
        </w:rPr>
        <w:t xml:space="preserve">，按以下时间地点参加集中现场考察：</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集合时间：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/年/月/日/时/分（北京时间）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集合地点：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请供应商安排好行程，不得迟到。未提供《投标供应商确认函》或迟到者，恕不接待。</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10.5由于未进行现场考察造成的任何问题由供应商自行承担。</w:t>
      </w:r>
      <w:r/>
    </w:p>
    <w:p>
      <w:pPr>
        <w:ind w:firstLine="482"/>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11.招标文件的澄清或修改</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11.2为保证供应商有足够时间修正投标（响应）文件，或出于其他合理原因，采购代理机构可依法顺延投标（响应）截止时间和开标时间。</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8"/>
      <w:r/>
      <w:r/>
    </w:p>
    <w:p>
      <w:pPr>
        <w:ind w:firstLine="482"/>
        <w:spacing w:line="360" w:lineRule="auto"/>
        <w:tabs>
          <w:tab w:val="left" w:pos="0" w:leader="none"/>
          <w:tab w:val="left" w:pos="600" w:leader="none"/>
        </w:tabs>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12.提示与要求</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12.2无论是否递交投标（响应）文件，供应商都应将招标文件及以后的所有通知、文件等视为保密文件。</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13.投标（响应）文件计量单位和使用文字</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13.1投标（响应）文件中所使用的计量单位，除招标文件中有特殊要求外，均应使用中华人民共和国法定计量单位。</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13.2投标（响应）文件应使用中文编制，投标（响应）文件中必须使用其他文字的，必须附有中文译本。对于未附有中文译本和中文译本不准确的投标（响应）文件可能引起的对供应商不利的后果，</w:t>
      </w:r>
      <w:bookmarkStart w:id="19" w:name="_Hlk193372870"/>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采购人或采购代理机构概不负责。</w:t>
      </w:r>
      <w:bookmarkEnd w:id="19"/>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14.投标（响应）文件的组成</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14.1投标（响应）书：</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14.1.1封面；</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14.1.2开标一览表（格式详见第三章）；</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14.1.4资格性审查文件</w:t>
      </w:r>
      <w:r/>
    </w:p>
    <w:tbl>
      <w:tblPr>
        <w:tblStyle w:val="7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3733"/>
        <w:gridCol w:w="5418"/>
      </w:tblGrid>
      <w:tr>
        <w:trPr>
          <w:jc w:val="center"/>
          <w:trHeight w:val="462"/>
        </w:trPr>
        <w:tc>
          <w:tcPr>
            <w:tcW w:w="357" w:type="pct"/>
            <w:vAlign w:val="center"/>
            <w:textDirection w:val="lrTb"/>
            <w:noWrap w:val="false"/>
          </w:tcPr>
          <w:p>
            <w:pPr>
              <w:pStyle w:val="799"/>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894" w:type="pct"/>
            <w:vAlign w:val="center"/>
            <w:textDirection w:val="lrTb"/>
            <w:noWrap w:val="false"/>
          </w:tcPr>
          <w:p>
            <w:pPr>
              <w:pStyle w:val="799"/>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评审项</w:t>
            </w:r>
            <w:r/>
          </w:p>
        </w:tc>
        <w:tc>
          <w:tcPr>
            <w:tcW w:w="2749" w:type="pct"/>
            <w:vAlign w:val="center"/>
            <w:textDirection w:val="lrTb"/>
            <w:noWrap w:val="false"/>
          </w:tcPr>
          <w:p>
            <w:pPr>
              <w:pStyle w:val="799"/>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评审要求</w:t>
            </w:r>
            <w:r/>
          </w:p>
        </w:tc>
      </w:tr>
      <w:tr>
        <w:trPr>
          <w:jc w:val="center"/>
          <w:trHeight w:val="462"/>
        </w:trPr>
        <w:tc>
          <w:tcPr>
            <w:gridSpan w:val="3"/>
            <w:tcW w:w="5000" w:type="pct"/>
            <w:vAlign w:val="center"/>
            <w:textDirection w:val="lrTb"/>
            <w:noWrap w:val="false"/>
          </w:tcPr>
          <w:p>
            <w:pPr>
              <w:pStyle w:val="799"/>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一、基本资格条件</w:t>
            </w:r>
            <w:r/>
          </w:p>
        </w:tc>
      </w:tr>
      <w:tr>
        <w:trPr>
          <w:jc w:val="center"/>
          <w:trHeight w:val="23"/>
        </w:trPr>
        <w:tc>
          <w:tcPr>
            <w:tcW w:w="357"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w:t>
            </w:r>
            <w:r/>
          </w:p>
        </w:tc>
        <w:tc>
          <w:tcPr>
            <w:tcW w:w="1894"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具有独立承担民事责任的能力</w:t>
            </w:r>
            <w:r/>
          </w:p>
        </w:tc>
        <w:tc>
          <w:tcPr>
            <w:tcW w:w="2749"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供应商提供包括法人或者其他组织的营业执照等证明文件，自然人的身份证明。</w:t>
            </w:r>
            <w:r/>
          </w:p>
        </w:tc>
      </w:tr>
      <w:tr>
        <w:trPr>
          <w:jc w:val="center"/>
          <w:trHeight w:val="23"/>
        </w:trPr>
        <w:tc>
          <w:tcPr>
            <w:tcW w:w="357"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1894"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具有良好的商业信誉和健全的财务会计制度</w:t>
            </w:r>
            <w:r/>
          </w:p>
        </w:tc>
        <w:tc>
          <w:tcPr>
            <w:tcW w:w="2749"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供应商提供最近一期的财务报告，或财政部门认可的政府采购专业担保机构出具的投标担保函；其他组织、自然人及成立未满一年的法人应提供银行出具的资信证明。</w:t>
            </w:r>
            <w:r/>
          </w:p>
        </w:tc>
      </w:tr>
      <w:tr>
        <w:trPr>
          <w:jc w:val="center"/>
          <w:trHeight w:val="23"/>
        </w:trPr>
        <w:tc>
          <w:tcPr>
            <w:tcW w:w="357"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1894"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具有履行合同所必需的设备和专业技术能力</w:t>
            </w:r>
            <w:r/>
          </w:p>
        </w:tc>
        <w:tc>
          <w:tcPr>
            <w:tcW w:w="2749"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供应商提供设备清单、相关技术人员的职称证书和用工合同或</w:t>
            </w: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具有履行合同所必需的设备和专业技术能力的承诺书（格式自拟）。</w:t>
            </w:r>
            <w:r/>
          </w:p>
        </w:tc>
      </w:tr>
      <w:tr>
        <w:trPr>
          <w:jc w:val="center"/>
          <w:trHeight w:val="23"/>
        </w:trPr>
        <w:tc>
          <w:tcPr>
            <w:tcW w:w="357"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1894"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有依法缴纳税收和社会保障资金的良好记录</w:t>
            </w:r>
            <w:r/>
          </w:p>
        </w:tc>
        <w:tc>
          <w:tcPr>
            <w:tcW w:w="2749" w:type="pct"/>
            <w:vAlign w:val="center"/>
            <w:textDirection w:val="lrTb"/>
            <w:noWrap w:val="false"/>
          </w:tcPr>
          <w:p>
            <w:pPr>
              <w:jc w:val="left"/>
              <w:rPr>
                <w:rFonts w:hint="eastAsia" w:ascii="宋体" w:hAnsi="宋体" w:eastAsia="宋体" w:cs="宋体"/>
                <w:color w:val="000000" w:themeColor="text1"/>
                <w:szCs w:val="21"/>
                <w:highlight w:val="none"/>
                <w:shd w:val="clear" w:color="auto" w:fill="ffffff"/>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供应商提供</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参加本次政府采购活动前一段时间内依法缴纳税收和社会保险的凭据；依法免税或不需要缴纳社会保障资金的</w:t>
            </w:r>
            <w:r>
              <w:rPr>
                <w:rFonts w:hint="eastAsia" w:ascii="宋体" w:hAnsi="宋体" w:eastAsia="宋体" w:cs="宋体"/>
                <w:bCs/>
                <w:color w:val="000000" w:themeColor="text1"/>
                <w:szCs w:val="21"/>
                <w:highlight w:val="none"/>
                <w14:textFill>
                  <w14:solidFill>
                    <w14:schemeClr w14:val="tx1"/>
                  </w14:solidFill>
                </w14:textFill>
              </w:rPr>
              <w:t xml:space="preserve">供应商</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，应提供相应证明资料证明其依法免税或不需要缴纳社会保障资金。</w:t>
            </w:r>
            <w:r/>
          </w:p>
        </w:tc>
      </w:tr>
      <w:tr>
        <w:trPr>
          <w:jc w:val="center"/>
          <w:trHeight w:val="785"/>
        </w:trPr>
        <w:tc>
          <w:tcPr>
            <w:tcW w:w="357"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5</w:t>
            </w:r>
            <w:r/>
          </w:p>
        </w:tc>
        <w:tc>
          <w:tcPr>
            <w:tcW w:w="1894"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参加政府采购活动前三年内，在经营活动中没有重大违法记录</w:t>
            </w:r>
            <w:r/>
          </w:p>
        </w:tc>
        <w:tc>
          <w:tcPr>
            <w:tcW w:w="2749"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供应商提供参加政府采购活动前三年内在经营活动中没有重大违法记录的书面声明。</w:t>
            </w:r>
            <w:r/>
          </w:p>
        </w:tc>
      </w:tr>
      <w:tr>
        <w:trPr>
          <w:jc w:val="center"/>
          <w:trHeight w:val="23"/>
        </w:trPr>
        <w:tc>
          <w:tcPr>
            <w:tcW w:w="357"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w:t>
            </w:r>
            <w:r/>
          </w:p>
        </w:tc>
        <w:tc>
          <w:tcPr>
            <w:tcW w:w="1894"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法律、行政法规规定的其他条件</w:t>
            </w:r>
            <w:r/>
          </w:p>
        </w:tc>
        <w:tc>
          <w:tcPr>
            <w:tcW w:w="2749"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符合法律、行政法规规定的其他条件的证明材料或书面声明。</w:t>
            </w:r>
            <w:r/>
          </w:p>
        </w:tc>
      </w:tr>
      <w:tr>
        <w:trPr>
          <w:jc w:val="center"/>
          <w:trHeight w:val="472"/>
        </w:trPr>
        <w:tc>
          <w:tcPr>
            <w:gridSpan w:val="3"/>
            <w:tcW w:w="5000"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二、落实政府采购政策需满足的资格要求</w:t>
            </w:r>
            <w:r/>
          </w:p>
        </w:tc>
      </w:tr>
      <w:tr>
        <w:trPr>
          <w:jc w:val="center"/>
          <w:trHeight w:val="23"/>
        </w:trPr>
        <w:tc>
          <w:tcPr>
            <w:tcW w:w="357"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w:t>
            </w:r>
            <w:r/>
          </w:p>
        </w:tc>
        <w:tc>
          <w:tcPr>
            <w:tcW w:w="1894" w:type="pct"/>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bookmarkStart w:id="20" w:name="_Hlk193373891"/>
            <w:r>
              <w:rPr>
                <w:rFonts w:hint="eastAsia" w:ascii="宋体" w:hAnsi="宋体" w:eastAsia="宋体" w:cs="宋体"/>
                <w:color w:val="000000" w:themeColor="text1"/>
                <w:szCs w:val="21"/>
                <w:highlight w:val="none"/>
                <w14:textFill>
                  <w14:solidFill>
                    <w14:schemeClr w14:val="tx1"/>
                  </w14:solidFill>
                </w14:textFill>
              </w:rPr>
              <w:t xml:space="preserve">根据《政府采购促进中小企业发展管理办法》的相关规定，本项目</w:t>
            </w:r>
            <w:r>
              <w:rPr>
                <w:rFonts w:hint="eastAsia" w:ascii="宋体" w:hAnsi="宋体" w:eastAsia="宋体" w:cs="宋体"/>
                <w:b/>
                <w:bCs/>
                <w:color w:val="000000" w:themeColor="text1"/>
                <w:szCs w:val="21"/>
                <w:highlight w:val="none"/>
                <w14:textFill>
                  <w14:solidFill>
                    <w14:schemeClr w14:val="tx1"/>
                  </w14:solidFill>
                </w14:textFill>
              </w:rPr>
              <w:t xml:space="preserve">专门面向中小企业</w:t>
            </w:r>
            <w:r>
              <w:rPr>
                <w:rFonts w:hint="eastAsia" w:ascii="宋体" w:hAnsi="宋体" w:eastAsia="宋体" w:cs="宋体"/>
                <w:color w:val="000000" w:themeColor="text1"/>
                <w:szCs w:val="21"/>
                <w:highlight w:val="none"/>
                <w14:textFill>
                  <w14:solidFill>
                    <w14:schemeClr w14:val="tx1"/>
                  </w14:solidFill>
                </w14:textFill>
              </w:rPr>
              <w:t xml:space="preserve">，供应商应为中小微企业、监狱企业、残疾人福利性单位。</w:t>
            </w:r>
            <w:bookmarkEnd w:id="20"/>
            <w:r/>
            <w:r/>
          </w:p>
        </w:tc>
        <w:tc>
          <w:tcPr>
            <w:tcW w:w="2749" w:type="pct"/>
            <w:vAlign w:val="center"/>
            <w:textDirection w:val="lrTb"/>
            <w:noWrap w:val="false"/>
          </w:tcPr>
          <w:p>
            <w:pPr>
              <w:pStyle w:val="799"/>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供应商提供以下三类文件之一的即符合本条要求，否则，将不享受中小企业扶持政策：</w:t>
            </w:r>
            <w:r/>
          </w:p>
          <w:p>
            <w:pPr>
              <w:pStyle w:val="799"/>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1、中小企业声明函（格式见第三章）；</w:t>
            </w:r>
            <w:r/>
          </w:p>
          <w:p>
            <w:pPr>
              <w:pStyle w:val="799"/>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2、残疾人福利性单位声明函（格式见第三章）；</w:t>
            </w:r>
            <w:r/>
          </w:p>
          <w:p>
            <w:pPr>
              <w:pStyle w:val="799"/>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3、监狱企业证明文件，由省级以上监狱管理局、戒毒管理局（含新疆生产建设兵团）出具。</w:t>
            </w:r>
            <w:r/>
          </w:p>
          <w:p>
            <w:pPr>
              <w:pStyle w:val="799"/>
              <w:jc w:val="left"/>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注：若供应商提供的以上材料为虚假声明则视同提供虚假材料，按《政府采购法》相关规定处理并报请政府监管部门给予行政处罚</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405"/>
        </w:trPr>
        <w:tc>
          <w:tcPr>
            <w:gridSpan w:val="3"/>
            <w:tcW w:w="5000"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2"/>
                <w:szCs w:val="22"/>
                <w:highlight w:val="none"/>
                <w:shd w:val="clear" w:color="auto" w:fill="ffffff"/>
                <w14:textFill>
                  <w14:solidFill>
                    <w14:schemeClr w14:val="tx1"/>
                  </w14:solidFill>
                </w14:textFill>
              </w:rPr>
              <w:t xml:space="preserve">三、本项目的特定资格要求</w:t>
            </w:r>
            <w:r/>
          </w:p>
        </w:tc>
      </w:tr>
      <w:tr>
        <w:trPr>
          <w:jc w:val="center"/>
          <w:trHeight w:val="23"/>
        </w:trPr>
        <w:tc>
          <w:tcPr>
            <w:tcW w:w="357"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w:t>
            </w:r>
            <w:r/>
          </w:p>
        </w:tc>
        <w:tc>
          <w:tcPr>
            <w:shd w:val="clear" w:color="auto" w:fill="auto"/>
            <w:tcW w:w="1894"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未被“信用中国”（www.creditchina.gov.cn）等相关网站列入失信被执行人、重大税收违法案件当事人名单、政府采购严重失信行为记录名单。</w:t>
            </w:r>
            <w:r/>
          </w:p>
        </w:tc>
        <w:tc>
          <w:tcPr>
            <w:shd w:val="clear" w:color="auto" w:fill="auto"/>
            <w:tcW w:w="2749"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供应商无需提供相关证明资料，由采购代理机构按照招标文件第二章“21.信用查询”要求执行。</w:t>
            </w:r>
            <w:r/>
          </w:p>
        </w:tc>
      </w:tr>
      <w:tr>
        <w:trPr>
          <w:jc w:val="center"/>
          <w:trHeight w:val="23"/>
        </w:trPr>
        <w:tc>
          <w:tcPr>
            <w:tcW w:w="357"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w:t>
            </w:r>
            <w:r/>
          </w:p>
        </w:tc>
        <w:tc>
          <w:tcPr>
            <w:shd w:val="clear" w:color="auto" w:fill="auto"/>
            <w:tcW w:w="1894"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投标单位具有有效期内的食品经营许可证</w:t>
            </w:r>
            <w:r>
              <w:rPr>
                <w:rFonts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经营项目：餐饮服务管理（承包集中用餐单位食堂）</w:t>
            </w:r>
            <w:r>
              <w:rPr>
                <w:rFonts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shd w:val="clear" w:color="auto" w:fill="auto"/>
            <w:tcW w:w="2749" w:type="pct"/>
            <w:vAlign w:val="center"/>
            <w:textDirection w:val="lrTb"/>
            <w:noWrap w:val="false"/>
          </w:tcPr>
          <w:p>
            <w:pPr>
              <w:pStyle w:val="799"/>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供应商提供有效期内的食品经营许可证</w:t>
            </w:r>
            <w:r>
              <w:rPr>
                <w:rFonts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经营项目：餐饮服务管理（承包集中用餐单位食堂）</w:t>
            </w:r>
            <w:r>
              <w:rPr>
                <w:rFonts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扫描件。</w:t>
            </w:r>
            <w:r/>
          </w:p>
        </w:tc>
      </w:tr>
    </w:tbl>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bookmarkStart w:id="21" w:name="_Hlk193373287"/>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以上是资格性审查的要求和必须提供的材料，未按要求提供的投标（响应）无效。</w:t>
      </w:r>
      <w:bookmarkEnd w:id="21"/>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14.1.5符合性审查响应文件</w:t>
      </w:r>
      <w:r/>
    </w:p>
    <w:tbl>
      <w:tblPr>
        <w:tblStyle w:val="7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4170"/>
        <w:gridCol w:w="4990"/>
      </w:tblGrid>
      <w:tr>
        <w:trPr>
          <w:jc w:val="center"/>
          <w:trHeight w:val="452"/>
        </w:trPr>
        <w:tc>
          <w:tcPr>
            <w:tcW w:w="352" w:type="pct"/>
            <w:vAlign w:val="center"/>
            <w:textDirection w:val="lrTb"/>
            <w:noWrap w:val="false"/>
          </w:tcPr>
          <w:p>
            <w:pPr>
              <w:pStyle w:val="799"/>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2116" w:type="pct"/>
            <w:vAlign w:val="center"/>
            <w:textDirection w:val="lrTb"/>
            <w:noWrap w:val="false"/>
          </w:tcPr>
          <w:p>
            <w:pPr>
              <w:pStyle w:val="799"/>
              <w:jc w:val="center"/>
              <w:spacing w:line="24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评审项</w:t>
            </w:r>
            <w:r/>
          </w:p>
        </w:tc>
        <w:tc>
          <w:tcPr>
            <w:tcW w:w="2532" w:type="pct"/>
            <w:vAlign w:val="center"/>
            <w:textDirection w:val="lrTb"/>
            <w:noWrap w:val="false"/>
          </w:tcPr>
          <w:p>
            <w:pPr>
              <w:pStyle w:val="799"/>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评审要求</w:t>
            </w:r>
            <w:r/>
          </w:p>
        </w:tc>
      </w:tr>
      <w:tr>
        <w:trPr>
          <w:jc w:val="center"/>
          <w:trHeight w:val="392"/>
        </w:trPr>
        <w:tc>
          <w:tcPr>
            <w:gridSpan w:val="3"/>
            <w:tcW w:w="5000" w:type="pct"/>
            <w:vAlign w:val="center"/>
            <w:textDirection w:val="lrTb"/>
            <w:noWrap w:val="false"/>
          </w:tcPr>
          <w:p>
            <w:pPr>
              <w:pStyle w:val="799"/>
              <w:jc w:val="center"/>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一、报价要求</w:t>
            </w:r>
            <w:r/>
          </w:p>
        </w:tc>
      </w:tr>
      <w:tr>
        <w:trPr>
          <w:jc w:val="center"/>
          <w:trHeight w:val="23"/>
        </w:trPr>
        <w:tc>
          <w:tcPr>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116"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供应商报价不得超出采购预算及最高限价</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供应商提供报价未超过采购预算及最高限价的声明</w:t>
            </w:r>
            <w:r/>
          </w:p>
        </w:tc>
      </w:tr>
      <w:tr>
        <w:trPr>
          <w:jc w:val="center"/>
          <w:trHeight w:val="412"/>
        </w:trPr>
        <w:tc>
          <w:tcPr>
            <w:gridSpan w:val="3"/>
            <w:tcW w:w="5000"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二、商务要求</w:t>
            </w:r>
            <w:r/>
          </w:p>
        </w:tc>
      </w:tr>
      <w:tr>
        <w:trPr>
          <w:jc w:val="center"/>
          <w:trHeight w:val="482"/>
        </w:trPr>
        <w:tc>
          <w:tcPr>
            <w:shd w:val="clear" w:color="auto" w:fill="auto"/>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1</w:t>
            </w:r>
            <w:r/>
          </w:p>
        </w:tc>
        <w:tc>
          <w:tcPr>
            <w:tcW w:w="2116" w:type="pct"/>
            <w:vAlign w:val="center"/>
            <w:textDirection w:val="lrTb"/>
            <w:noWrap w:val="false"/>
          </w:tcPr>
          <w:p>
            <w:pPr>
              <w:pStyle w:val="799"/>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投标（响应）函</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532"/>
        </w:trPr>
        <w:tc>
          <w:tcPr>
            <w:shd w:val="clear" w:color="auto" w:fill="auto"/>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2</w:t>
            </w:r>
            <w:r/>
          </w:p>
        </w:tc>
        <w:tc>
          <w:tcPr>
            <w:tcW w:w="2116" w:type="pct"/>
            <w:vAlign w:val="center"/>
            <w:textDirection w:val="lrTb"/>
            <w:noWrap w:val="false"/>
          </w:tcPr>
          <w:p>
            <w:pPr>
              <w:pStyle w:val="799"/>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法定代表人授权委托书（如有授权）</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624"/>
        </w:trPr>
        <w:tc>
          <w:tcPr>
            <w:shd w:val="clear" w:color="auto" w:fill="auto"/>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3</w:t>
            </w:r>
            <w:r/>
          </w:p>
        </w:tc>
        <w:tc>
          <w:tcPr>
            <w:tcW w:w="2116" w:type="pct"/>
            <w:vAlign w:val="center"/>
            <w:textDirection w:val="lrTb"/>
            <w:noWrap w:val="false"/>
          </w:tcPr>
          <w:p>
            <w:pPr>
              <w:pStyle w:val="799"/>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供应商法定代表人身份证扫描件、供应商代理人身份证扫描件（如有授权）</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供应商法定代表人身份证扫描件、供应商代理人身份证扫描件（如有授权）</w:t>
            </w:r>
            <w:r/>
          </w:p>
        </w:tc>
      </w:tr>
      <w:tr>
        <w:trPr>
          <w:jc w:val="center"/>
          <w:trHeight w:val="604"/>
        </w:trPr>
        <w:tc>
          <w:tcPr>
            <w:shd w:val="clear" w:color="auto" w:fill="auto"/>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4</w:t>
            </w:r>
            <w:r/>
          </w:p>
        </w:tc>
        <w:tc>
          <w:tcPr>
            <w:tcW w:w="2116" w:type="pct"/>
            <w:vAlign w:val="center"/>
            <w:textDirection w:val="lrTb"/>
            <w:noWrap w:val="false"/>
          </w:tcPr>
          <w:p>
            <w:pPr>
              <w:pStyle w:val="799"/>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《供应商基本情况表》、《资格文件的声明函》</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614"/>
        </w:trPr>
        <w:tc>
          <w:tcPr>
            <w:shd w:val="clear" w:color="auto" w:fill="auto"/>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5</w:t>
            </w:r>
            <w:r/>
          </w:p>
        </w:tc>
        <w:tc>
          <w:tcPr>
            <w:tcW w:w="2116" w:type="pct"/>
            <w:vAlign w:val="center"/>
            <w:textDirection w:val="lrTb"/>
            <w:noWrap w:val="false"/>
          </w:tcPr>
          <w:p>
            <w:pPr>
              <w:pStyle w:val="799"/>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《供应商与其他单位存在直接控股、管理关系情况表》</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482"/>
        </w:trPr>
        <w:tc>
          <w:tcPr>
            <w:shd w:val="clear" w:color="auto" w:fill="auto"/>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w:t>
            </w:r>
            <w:r/>
          </w:p>
        </w:tc>
        <w:tc>
          <w:tcPr>
            <w:tcW w:w="2116"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《商务要求偏离表》</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512"/>
        </w:trPr>
        <w:tc>
          <w:tcPr>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7</w:t>
            </w:r>
            <w:r/>
          </w:p>
        </w:tc>
        <w:tc>
          <w:tcPr>
            <w:tcW w:w="2116" w:type="pct"/>
            <w:vAlign w:val="center"/>
            <w:textDirection w:val="lrTb"/>
            <w:noWrap w:val="false"/>
          </w:tcPr>
          <w:p>
            <w:pPr>
              <w:pStyle w:val="799"/>
              <w:jc w:val="left"/>
              <w:spacing w:line="24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《拟投入本项目人员配备一览表》</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462"/>
        </w:trPr>
        <w:tc>
          <w:tcPr>
            <w:gridSpan w:val="3"/>
            <w:tcW w:w="5000"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三、技术要求</w:t>
            </w:r>
            <w:r/>
          </w:p>
        </w:tc>
      </w:tr>
      <w:tr>
        <w:trPr>
          <w:jc w:val="center"/>
          <w:trHeight w:val="482"/>
        </w:trPr>
        <w:tc>
          <w:tcPr>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116"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《服务或技术要求偏离表》</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512"/>
        </w:trPr>
        <w:tc>
          <w:tcPr>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116"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《针对本项目制定的服务实施方案》</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tc>
      </w:tr>
      <w:tr>
        <w:trPr>
          <w:jc w:val="center"/>
          <w:trHeight w:val="512"/>
        </w:trPr>
        <w:tc>
          <w:tcPr>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bookmarkStart w:id="22" w:name="_Hlk193373412"/>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116"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方在投标文件中必须书面承诺：服务方若因自身原因受到食品药品监管部门、卫生防疫部门、市（区）创建部门、经营管理部门等处罚的，服务方承担全部责任，学校不负连带责任。因服务方的管理不善造成师生食物中毒的，由服务方负全部责任。未按上述要求承诺或未提供承诺的，视同非实质性响应招标文件的要求。</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格式自拟</w:t>
            </w:r>
            <w:r/>
          </w:p>
        </w:tc>
      </w:tr>
      <w:tr>
        <w:trPr>
          <w:jc w:val="center"/>
          <w:trHeight w:val="512"/>
        </w:trPr>
        <w:tc>
          <w:tcPr>
            <w:tcW w:w="352" w:type="pct"/>
            <w:vAlign w:val="center"/>
            <w:textDirection w:val="lrTb"/>
            <w:noWrap w:val="false"/>
          </w:tcPr>
          <w:p>
            <w:pPr>
              <w:pStyle w:val="799"/>
              <w:jc w:val="center"/>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116"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方在投标文件中必须书面承诺：在以往经营过程中无食物中毒事故及消防安全事故的不良记录。若提供虚假承诺，将按政府采购的相关规定接受处理，由此造成的影响和损失全部由服务方承担。未按上述要求承诺或未提供承诺的，视同非实质性响应招标文件的要求。</w:t>
            </w:r>
            <w:r/>
          </w:p>
        </w:tc>
        <w:tc>
          <w:tcPr>
            <w:tcW w:w="2532" w:type="pct"/>
            <w:vAlign w:val="center"/>
            <w:textDirection w:val="lrTb"/>
            <w:noWrap w:val="false"/>
          </w:tcPr>
          <w:p>
            <w:pPr>
              <w:pStyle w:val="799"/>
              <w:jc w:val="left"/>
              <w:spacing w:line="240" w:lineRule="auto"/>
              <w:rPr>
                <w:rFonts w:hint="eastAsia" w:ascii="宋体" w:hAnsi="宋体" w:eastAsia="宋体" w:cs="宋体"/>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格式自拟</w:t>
            </w:r>
            <w:bookmarkEnd w:id="22"/>
            <w:r/>
            <w:r/>
          </w:p>
        </w:tc>
      </w:tr>
    </w:tbl>
    <w:p>
      <w:pPr>
        <w:ind w:firstLine="482"/>
        <w:spacing w:line="360" w:lineRule="auto"/>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以上为符合性审查的要求和必须提供的材料，</w:t>
      </w:r>
      <w:bookmarkStart w:id="23" w:name="_Hlk193373771"/>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未按要求提供</w:t>
      </w:r>
      <w:bookmarkEnd w:id="23"/>
      <w:r>
        <w:rPr>
          <w:rFonts w:hint="eastAsia"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的投标（响应）无效。</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14.1.6综合评审其他文件相关要求详见采购文件第六章评审办法。</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注：供应商必须提交上述14.1.1—14.1.5款规定的资料。否则，投标响应文件将被视为因未实质性响应招标文件要求而被拒绝。</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24" w:name="_Hlk158131259"/>
      <w:r/>
      <w:bookmarkStart w:id="25" w:name="_Hlk19337407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供应商必须保证全部投标（响应）资料的真实性，如有虚假或对招标文件所要求说明的情况故意隐瞒或虚报，视为不实质性响应招标文件，响应无效。</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如供应商投标（响应）文件中某些条款不响应招标文件提出的全部采购内容与服务要求，须在偏离表中逐条列出，未列出的视同响应。</w:t>
      </w:r>
      <w:bookmarkEnd w:id="24"/>
      <w:r/>
      <w:bookmarkEnd w:id="25"/>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15.电子投标（响应）文件的制作及递交</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26" w:name="_Hlk14024779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15.3投标（响应）文件未按照招标文件要求加盖CA电子公章的，响应无效。</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15.4如不同投标（响应）文件制作机器码一致，则投标（响应）无效。</w:t>
      </w:r>
      <w:bookmarkEnd w:id="26"/>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16.投标（响应）报价（编制）要求的说明</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16.1</w:t>
      </w:r>
      <w:bookmarkStart w:id="27" w:name="_Hlk193374411"/>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7"/>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16.2供应商应对招标文件内所要采购的全部内容进行报价，只投其中部分内容者，其标书将被拒绝。但如果招标文件要求分标段投标（响应）的，则供应商可以按招标文件要求有选择地只投其中一个或几个标段，但各标段应分别计算填写单价和总价。</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16.3一项投标（响应）内容只允许一个报价，采购人或采购代理机构不接受任何有选择性的投标（响应）报价。</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16.4投标（响应）文件报价中的单价和总价全部采用人民币表示，除非合同的特殊条款另有规定。</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16.5最低报价不能作为中标的保证。</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bookmarkStart w:id="28" w:name="_Hlk193374841"/>
      <w:r>
        <w:rPr>
          <w:rFonts w:hint="eastAsia" w:ascii="宋体" w:hAnsi="宋体" w:eastAsia="宋体" w:cs="宋体"/>
          <w:b/>
          <w:color w:val="000000" w:themeColor="text1"/>
          <w:sz w:val="24"/>
          <w:highlight w:val="none"/>
          <w14:textFill>
            <w14:solidFill>
              <w14:schemeClr w14:val="tx1"/>
            </w14:solidFill>
          </w14:textFill>
        </w:rPr>
        <w:t xml:space="preserve">17.履约保证金</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17.1中标的供应商应按前附表的规定提交履约保证金。</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17.2在中标通知书发出的七天内，中标单位应当以支票、汇票、本票或者金融机构、担保机构出具的保函等非现金形式提交履约保证金。如选择转账方式提交履约保证金的，款项转入以下账户：</w:t>
      </w:r>
      <w:r/>
    </w:p>
    <w:p>
      <w:pPr>
        <w:pStyle w:val="1100"/>
        <w:ind w:firstLine="480"/>
        <w:spacing w:line="360" w:lineRule="auto"/>
        <w:rPr>
          <w:rFonts w:ascii="宋体" w:hAnsi="宋体" w:eastAsia="宋体" w:cs="宋体"/>
          <w:color w:val="000000" w:themeColor="text1"/>
          <w:sz w:val="24"/>
          <w:szCs w:val="24"/>
          <w:highlight w:val="none"/>
          <w:lang w:val="zh-TW" w:eastAsia="zh-TW"/>
          <w14:textFill>
            <w14:solidFill>
              <w14:schemeClr w14:val="tx1"/>
            </w14:solidFill>
          </w14:textFill>
        </w:rPr>
      </w:pPr>
      <w:r>
        <w:rPr>
          <w:rFonts w:ascii="宋体" w:hAnsi="宋体" w:eastAsia="宋体" w:cs="宋体"/>
          <w:color w:val="000000" w:themeColor="text1"/>
          <w:sz w:val="24"/>
          <w:szCs w:val="24"/>
          <w:highlight w:val="none"/>
          <w:lang w:val="zh-TW" w:eastAsia="zh-TW"/>
          <w14:textFill>
            <w14:solidFill>
              <w14:schemeClr w14:val="tx1"/>
            </w14:solidFill>
          </w14:textFill>
        </w:rPr>
        <w:t xml:space="preserve">收款单位：</w:t>
      </w:r>
      <w:r/>
    </w:p>
    <w:p>
      <w:pPr>
        <w:pStyle w:val="1100"/>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lang w:val="zh-TW" w:eastAsia="zh-TW"/>
          <w14:textFill>
            <w14:solidFill>
              <w14:schemeClr w14:val="tx1"/>
            </w14:solidFill>
          </w14:textFill>
        </w:rPr>
        <w:t xml:space="preserve">银行账号：</w:t>
      </w:r>
      <w:r/>
    </w:p>
    <w:p>
      <w:pPr>
        <w:pStyle w:val="1100"/>
        <w:ind w:firstLine="480"/>
        <w:spacing w:line="360" w:lineRule="auto"/>
        <w:rPr>
          <w:rFonts w:ascii="宋体" w:hAnsi="宋体" w:eastAsia="宋体" w:cs="宋体"/>
          <w:color w:val="000000" w:themeColor="text1"/>
          <w:sz w:val="24"/>
          <w:szCs w:val="24"/>
          <w:highlight w:val="none"/>
          <w:lang w:val="zh-TW" w:eastAsia="zh-TW"/>
          <w14:textFill>
            <w14:solidFill>
              <w14:schemeClr w14:val="tx1"/>
            </w14:solidFill>
          </w14:textFill>
        </w:rPr>
      </w:pPr>
      <w:r>
        <w:rPr>
          <w:rFonts w:ascii="宋体" w:hAnsi="宋体" w:eastAsia="宋体" w:cs="宋体"/>
          <w:color w:val="000000" w:themeColor="text1"/>
          <w:sz w:val="24"/>
          <w:szCs w:val="24"/>
          <w:highlight w:val="none"/>
          <w:lang w:val="zh-TW" w:eastAsia="zh-TW"/>
          <w14:textFill>
            <w14:solidFill>
              <w14:schemeClr w14:val="tx1"/>
            </w14:solidFill>
          </w14:textFill>
        </w:rPr>
        <w:t xml:space="preserve">开户银行：</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8"/>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18.投标（响应）文件的有效期</w:t>
      </w:r>
      <w:r/>
    </w:p>
    <w:p>
      <w:pPr>
        <w:ind w:firstLine="480"/>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18.1自投标（响应）截止日起</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90</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天内，投标（响应）书应保持有效。</w:t>
      </w: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有效期短于这个规定期限的投标（响应）将被拒绝。</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19.投标（响应）截止时间</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19.1电子投标（响应）文件制作完成后请于投标（响应）截止时间前上传，否则视为放弃参加该采购项目。</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19.2</w:t>
      </w:r>
      <w:bookmarkStart w:id="29" w:name="_Hlk193375017"/>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采购人或采购代理机构推迟投标（响应）截止时间时，以更正公告形式发布。在这种情况下，采购人或采购代理机构和投标（响应）单位的权利和义务将受到新的截止期的约束。</w:t>
      </w:r>
      <w:bookmarkEnd w:id="29"/>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19.3</w:t>
      </w:r>
      <w:bookmarkStart w:id="30" w:name="_Hlk117242692"/>
      <w:r/>
      <w:bookmarkStart w:id="31" w:name="_Hlk116314345"/>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在投标（递交）截止时间止，采购人或采购代理机构收到的某标段投标（响应）文件少于三份，采购人或采购代理机构有权宣布该标段本次招标（采购）失败。</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19.4供应商在投标（响应）截止时间前，可以对所递交的投标（响应）文件进行补充、修改或者撤回。</w:t>
      </w:r>
      <w:bookmarkEnd w:id="30"/>
      <w:r/>
      <w:bookmarkEnd w:id="31"/>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D.开标和评标</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20.开标</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2" w:name="_Hlk92794076"/>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3" w:name="_Hlk90652960"/>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20.2线上参加（观看）开标（开启）会方式：登录“苏采云”系统，点击“开标大厅”，选择对应项目，点击进入不见面开标系统。</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3"/>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4" w:name="_Hlk158135485"/>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20.5供应商在“苏采云”系统规定的时间内未成功解密电子投标（响应）文件的，投标（响应）无效。</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20.8至投标（响应）文件提交截止时间，递交投标（响应）文件的供应商不足三家的，不得开标。</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20.9开标在招标文件规定的时间、地点进行，由采购人或采购代理机构主持，供应商参加（观看），评标委员会成员不得参加开标活动。</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5" w:name="_Hlk193375492"/>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20.10以上开标活动</w:t>
      </w:r>
      <w:bookmarkStart w:id="36" w:name="_Hlk193375633"/>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所涉及系统操作，以“苏采云”系统最新要求为准</w:t>
      </w:r>
      <w:bookmarkEnd w:id="36"/>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bookmarkEnd w:id="32"/>
      <w:r/>
      <w:bookmarkEnd w:id="35"/>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21.信用查询</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7" w:name="_Hlk19337565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21.1查询时间：投标（响应）文件提交截止时间。</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21.2查询渠道：</w:t>
      </w:r>
      <w:bookmarkStart w:id="38" w:name="_Hlk9279428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中国政府采购网（www.ccgp.gov.cn）、信用中国（www.creditchina.gov.cn）、信用江苏（</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"http://www.jscredit.gov.cn/" \o "http://www.jscredit.gov.cn/"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www.jscredit.gov.cn</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）、诚信苏州（www.szcredit.gov.cn）。</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21.3查询证据留存方式：</w:t>
      </w:r>
      <w:bookmarkEnd w:id="3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21.4信用记录使用规则：在对供应商进行资格性审查时，应根据查询结果对供应商的不良信用记录逐项甄别确认。</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21.4.1政府采购严重违法记录，即供应商被全国各级财政部门列入“政府采购严重违法失信行为记录名单”，且在处罚有效期内的。</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21.4.2财政部门与法院、工商、税务等部门联合惩戒的失信信息，包括：</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21.4.2.1被列入失信被执行人名单；</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21.4.2.2被列入重大税收违法案件当事人名单；</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39" w:name="_Hlk9279437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7"/>
      <w:r/>
      <w:bookmarkEnd w:id="39"/>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22.评标委员会</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22.1评标委员会由采购人或采购代理机构依法组建,由采购单位代表、专家评委组成。</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22.2评标委员会负责具体的评标事务，并独立履行以下职责：</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22.2.1审查、评价投标（响应）文件是否符合招标文件的商务、技术等实质性要求；</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22.2.2要求供应商对投标（响应）文件有关事项作出澄清或者说明；</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22.2.3对投标（响应）文件进行比较和评价；</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22.2.4按照评标办法和标准推荐不低于3家中标候选人，并根据采购人的委托及评审结果直接确定中标人；</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22.2.5向采购人、采购代理机构或者有关部门报告评标中发现的违法行为；</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22.3评标委员会成员应当履行下列义务：</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22.3.1遵纪守法，客观、公正、廉洁地履行职责；</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22.3.2按照招标文件规定的评标办法和评标标准进行评标，对评审意见承担个人责任；</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22.3.3对评标过程和结果，以及供应商的商业秘密保密；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22.3.4参与评审报告的起草；</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22.3.5配合相关部门的投诉处理工作；</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22.3.6配合采购人或采购代理机构答复投标（响应）供应商提出的质疑。</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23.评标内容的保密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23.3在评标期间，</w:t>
      </w:r>
      <w:bookmarkStart w:id="40" w:name="_Hlk193376556"/>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采购人或采购代理机构将通过指定联络人与供应商进行联系。</w:t>
      </w:r>
      <w:bookmarkEnd w:id="40"/>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24.对投标（响应）文件初审</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24.1开标结束后，采购人依法对供应商的资格进行审查。</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24.2资格审查后，评标委员会在初审过程中有权拒绝有下列情况之一的投标（响应）文件：</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24.2.1供应商的投标（响应）文件未按照本须知规定制作的；</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24.2.2与招标文件有重大偏离；</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24.2.3供应商拒绝修正错误；</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24.2.4供应商的报价是选择性的；</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24.2.5供应商的报价只投了部分内容；</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24.2.6供应商的投标（响应）文件出现了评标委员会认为不应当雷同的情况；</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24.2.7其他被评标委员会认定无效的情况。</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24.3在详细评标之前，评委会将首先审查每份投标（响应）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24.5评标委员会将拒绝被确定为非实质性响应的投标，供应商不能通过修正或撤销不符之处而使其投标成为实质性响应的投标。</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41" w:name="_Hlk193377260"/>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24.6.1投标（响应）文件中开标一览表内容与投标（响应）文件中相应内容不一致的，以开标一览表为准；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24.6.2大写金额和小写金额不一致的，以大写金额为准；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24.6.3单价金额小数点或者百分比有明显错位的，以开标一览表的总价为准，并修改单价；</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24.6.4总价金额与按单价汇总金额不一致的，以单价金额计算结果为准。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24.7供应商不同意以上修正，则其投标（响应）将被拒绝。</w:t>
      </w:r>
      <w:bookmarkEnd w:id="41"/>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24.8评标委员会认为供应商的报价明显低于其他通过符合性审查供应商的报价，有可能影响产品质量或者不能诚信履约的，应当要求其在评标现场合理的时间内提供书面说明</w:t>
      </w:r>
      <w:bookmarkStart w:id="42" w:name="_Hlk158140341"/>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（线上开评标项目可通过“苏采云”系统要求其提供）</w:t>
      </w:r>
      <w:bookmarkEnd w:id="42"/>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43" w:name="_Hlk193377421"/>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24.9评标委员会对投标（响应）文件的判定，只依据投标（响应）内容本身，不依靠开标后的任何外来证明。</w:t>
      </w:r>
      <w:bookmarkEnd w:id="43"/>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25.投标的澄清</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44" w:name="_Hlk158140503"/>
      <w:r/>
      <w:bookmarkStart w:id="45" w:name="_Hlk158140452"/>
      <w:r/>
      <w:bookmarkStart w:id="46" w:name="_Hlk90656398"/>
      <w:r/>
      <w:bookmarkStart w:id="47" w:name="_Hlk193377538"/>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25.2本项目采用线上澄清</w:t>
      </w:r>
      <w:bookmarkEnd w:id="4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bookmarkEnd w:id="45"/>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25.2.2接到评标委员会澄清、说明和更正要求的供应商如未按规定做出澄清、说明和更正，其风险由供应商自行承担。</w:t>
      </w:r>
      <w:bookmarkEnd w:id="46"/>
      <w:r/>
      <w:bookmarkEnd w:id="47"/>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26.废标</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26.1在招标过程中，出现下列情况之一的，应予废标：</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26.1.1符合专业条件的供应商或者对招标文件作实质响应的供应商不足三家的；</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26.1.2出现影响采购公正的违法、违规行为的；</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26.1.3供应商的报价均超过了采购预算，采购人不能支付的；</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26.1.4因重大变故，采购任务取消的；</w:t>
      </w:r>
      <w:r/>
    </w:p>
    <w:p>
      <w:pPr>
        <w:ind w:firstLine="480"/>
        <w:spacing w:line="360" w:lineRule="auto"/>
        <w:tabs>
          <w:tab w:val="left" w:pos="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26.2废标后，采购代理机构将把废标的理由通知所有供应商。</w:t>
      </w:r>
      <w:r/>
    </w:p>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27.投标（响应）文件的评价和比较</w:t>
      </w:r>
      <w:r/>
    </w:p>
    <w:p>
      <w:pPr>
        <w:ind w:firstLine="480"/>
        <w:spacing w:line="360" w:lineRule="auto"/>
        <w:tabs>
          <w:tab w:val="left" w:pos="142" w:leader="none"/>
          <w:tab w:val="left" w:pos="600" w:leader="none"/>
        </w:tabs>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27.1评标委员会应当严格按照招标文件的要求、条件、评分标准，对符合性审查合格的投标（响应）文件进行商务和技术评估，综合比较与评价。</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27.2.1投标（响应）者的资信情况和履约能力；</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27.2.2投标（响应）者提供的其他优惠条件；</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27.3最低的投标（响应）报价或最高的折扣比例是中标的重要条件，但不是唯一条件。</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28.中标单位的确认</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28.2经评</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E.授予合同</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29.合同授予标准</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30.中标通知书</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48" w:name="_Hlk193377906"/>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30.2采购人或采购代理机构对未中标单位不承担解释未中标原因的义务。</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30.3中标通知书将成为合同的组成部分。</w:t>
      </w:r>
      <w:bookmarkEnd w:id="48"/>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31.合同的签订</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31.1中标单位应按中标通知书中规定的时间和地点，由法定代表人或授权代理人与甲方代表签订合同。</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31.2签订合同及合同条款应以招标文件和中标单位的投标（响应）文件及其澄清文件为依据。</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bookmarkStart w:id="49" w:name="_Hlk193378097"/>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F.其他事项</w:t>
      </w:r>
      <w:bookmarkEnd w:id="49"/>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32.质疑</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32.1质疑及答复遵守《政府采购质疑和投诉办法》（中华人民共和国财政部令第94号）规定。</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32.2.1对可以质疑的招标文件提出质疑的，为收到招标文件之日或者招标文件公告期限届满之日；</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32.2.2对采购过程提出质疑的，为各采购程序环节结束之日；</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32.2.3对中标结果提出质疑的，为中标结果公告期限届满之日。</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32.6接收质疑函的方式为书面形式（当场送达或邮寄方式）。供应商质疑函范本格式请参照“苏州市政府采购”网站——“下载中心”——“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"http://czju.suzhou.gov.cn/zfcg/html/content/20180305093615738.shtml" \o "政府采购供应商质疑函范本"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政府采购供应商质疑函范本</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fldChar w:fldCharType="end"/>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32.7供应商提出书面质疑必须有理、有据，不得捏造事实、提供虚假材料进行恶意质疑。否则，一经查实，将报请政府采购监管部门按照政府采购相关法规规定，依法进行处罚和失信记录。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32.8质疑递交信息：详见第一章采购人及采购代理机构联系信息。</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33.代理服务费</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33.1中标单位须按前附表的规定计算并支付代理服务费，该费用应在领取中标通知书时付清。</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33.2中标单位如果未按规定缴纳代理服务费，采购代理机构将保留诉讼的权利。</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34.监督和公证</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34.1有关监督部门将对招投标全过程进行监督。</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34.2开、评标过程将通过公证机关进行公证（如有）。</w:t>
      </w:r>
      <w:r/>
    </w:p>
    <w:p>
      <w:pPr>
        <w:ind w:firstLine="482"/>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35.未尽事宜</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bookmarkStart w:id="50" w:name="_Hlk193378690"/>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未尽事宜应按《中华人民共和国民法典》、《中华人民共和国政府采购法》以及其它相关法律、法规之规定解释。</w:t>
      </w:r>
      <w:bookmarkEnd w:id="50"/>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br w:type="page" w:clear="all"/>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32"/>
          <w:szCs w:val="32"/>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32"/>
          <w:szCs w:val="32"/>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32"/>
          <w:szCs w:val="32"/>
          <w:highlight w:val="none"/>
          <w:shd w:val="clear" w:color="auto" w:fill="ffffff"/>
          <w14:textFill>
            <w14:solidFill>
              <w14:schemeClr w14:val="tx1"/>
            </w14:solidFill>
          </w14:textFill>
        </w:rPr>
      </w:r>
      <w:r/>
    </w:p>
    <w:p>
      <w:pPr>
        <w:pStyle w:val="832"/>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2"/>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32"/>
          <w:szCs w:val="32"/>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color w:val="000000" w:themeColor="text1"/>
          <w:sz w:val="32"/>
          <w:szCs w:val="32"/>
          <w:highlight w:val="none"/>
          <w:shd w:val="clear" w:color="auto" w:fill="ffffff"/>
          <w14:textFill>
            <w14:solidFill>
              <w14:schemeClr w14:val="tx1"/>
            </w14:solidFill>
          </w14:textFill>
        </w:rPr>
      </w:r>
      <w:r/>
    </w:p>
    <w:p>
      <w:pPr>
        <w:jc w:val="center"/>
        <w:keepLines/>
        <w:keepNext/>
        <w:spacing w:before="340" w:after="330" w:line="360" w:lineRule="auto"/>
        <w:rPr>
          <w:rFonts w:hint="eastAsia" w:ascii="宋体" w:hAnsi="宋体" w:eastAsia="宋体" w:cs="宋体"/>
          <w:color w:val="000000" w:themeColor="text1"/>
          <w:sz w:val="52"/>
          <w:szCs w:val="20"/>
          <w:highlight w:val="none"/>
          <w:shd w:val="clear" w:color="auto" w:fill="ffffff"/>
          <w14:textFill>
            <w14:solidFill>
              <w14:schemeClr w14:val="tx1"/>
            </w14:solidFill>
          </w14:textFill>
        </w:rPr>
        <w:outlineLvl w:val="0"/>
      </w:pPr>
      <w:r/>
      <w:bookmarkStart w:id="51" w:name="_Toc105940239"/>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第三章 投标（响应）文件格式</w:t>
      </w:r>
      <w:bookmarkEnd w:id="51"/>
      <w:r/>
      <w:r/>
    </w:p>
    <w:p>
      <w:pPr>
        <w:jc w:val="left"/>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说明：</w:t>
      </w:r>
      <w:r/>
    </w:p>
    <w:p>
      <w:pPr>
        <w:ind w:firstLine="482"/>
        <w:jc w:val="left"/>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1"/>
          <w:highlight w:val="none"/>
          <w:shd w:val="clear" w:color="auto" w:fill="ffffff"/>
          <w14:textFill>
            <w14:solidFill>
              <w14:schemeClr w14:val="tx1"/>
            </w14:solidFill>
          </w14:textFill>
        </w:rPr>
        <w:t xml:space="preserve">对本章所有的投标（响应）文件格式，除注明允许修改的文件外，供应商均应按照本章提供的格式填写，否则作为无效标。允许修改的文件，投标（响应）方可根据自身情况进行补充和修改，但补充和修改不得造成与原格式内容有实质性的违背</w:t>
      </w: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w:t>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1"/>
      </w:pPr>
      <w:r>
        <w:rPr>
          <w:rFonts w:hint="eastAsia" w:ascii="宋体" w:hAnsi="宋体" w:eastAsia="宋体" w:cs="宋体"/>
          <w:b/>
          <w:color w:val="000000" w:themeColor="text1"/>
          <w:sz w:val="28"/>
          <w:szCs w:val="20"/>
          <w:highlight w:val="none"/>
          <w:shd w:val="clear" w:color="auto" w:fill="ffffff"/>
          <w14:textFill>
            <w14:solidFill>
              <w14:schemeClr w14:val="tx1"/>
            </w14:solidFill>
          </w14:textFill>
        </w:rPr>
        <w:br w:type="page" w:clear="all"/>
      </w: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1、（供应商）法定代表人授权委托书</w:t>
      </w:r>
      <w:r/>
    </w:p>
    <w:p>
      <w:pPr>
        <w:jc w:val="cente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t xml:space="preserve">授权委托书</w:t>
      </w:r>
      <w:r/>
    </w:p>
    <w:p>
      <w:pPr>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bookmarkStart w:id="52" w:name="_Hlk117242496"/>
      <w:r>
        <w:rPr>
          <w:rFonts w:hint="eastAsia" w:ascii="宋体" w:hAnsi="宋体" w:eastAsia="宋体" w:cs="宋体"/>
          <w:color w:val="000000" w:themeColor="text1"/>
          <w:sz w:val="24"/>
          <w:szCs w:val="20"/>
          <w:highlight w:val="none"/>
          <w14:textFill>
            <w14:solidFill>
              <w14:schemeClr w14:val="tx1"/>
            </w14:solidFill>
          </w14:textFill>
        </w:rPr>
        <w:t xml:space="preserve">本授权委托书声明：我</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（姓名）系</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（供应商名称）的法定代表人，现授权委托</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（供应商名称）的</w:t>
      </w:r>
      <w:r>
        <w:rPr>
          <w:rFonts w:hint="eastAsia" w:ascii="宋体" w:hAnsi="宋体" w:eastAsia="宋体" w:cs="宋体"/>
          <w:color w:val="000000" w:themeColor="text1"/>
          <w:sz w:val="24"/>
          <w:szCs w:val="20"/>
          <w:highlight w:val="none"/>
          <w:u w:val="single"/>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 （姓名+手机号码）为本公司代理人，以本公司的名义参加</w:t>
      </w:r>
      <w:r>
        <w:rPr>
          <w:rFonts w:hint="eastAsia" w:ascii="宋体" w:hAnsi="宋体" w:eastAsia="宋体" w:cs="宋体"/>
          <w:color w:val="000000" w:themeColor="text1"/>
          <w:sz w:val="24"/>
          <w:szCs w:val="20"/>
          <w:highlight w:val="none"/>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0"/>
          <w:highlight w:val="none"/>
          <w14:textFill>
            <w14:solidFill>
              <w14:schemeClr w14:val="tx1"/>
            </w14:solidFill>
          </w14:textFill>
        </w:rPr>
        <w:t xml:space="preserve">组织实施的编号为</w:t>
      </w:r>
      <w:r>
        <w:rPr>
          <w:rFonts w:hint="eastAsia" w:ascii="宋体" w:hAnsi="宋体" w:eastAsia="宋体" w:cs="宋体"/>
          <w:color w:val="000000" w:themeColor="text1"/>
          <w:sz w:val="24"/>
          <w:szCs w:val="20"/>
          <w:highlight w:val="none"/>
          <w:u w:val="single"/>
          <w:lang w:eastAsia="zh-CN"/>
          <w14:textFill>
            <w14:solidFill>
              <w14:schemeClr w14:val="tx1"/>
            </w14:solidFill>
          </w14:textFill>
        </w:rPr>
        <w:t xml:space="preserve">JSZC-320500-XCXC-G2026-0006</w:t>
      </w:r>
      <w:r>
        <w:rPr>
          <w:rFonts w:hint="eastAsia" w:ascii="宋体" w:hAnsi="宋体" w:eastAsia="宋体" w:cs="宋体"/>
          <w:color w:val="000000" w:themeColor="text1"/>
          <w:sz w:val="24"/>
          <w:szCs w:val="20"/>
          <w:highlight w:val="none"/>
          <w14:textFill>
            <w14:solidFill>
              <w14:schemeClr w14:val="tx1"/>
            </w14:solidFill>
          </w14:textFill>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代理人无转委托权。特此委托。</w:t>
      </w:r>
      <w:bookmarkEnd w:id="52"/>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
          <w:color w:val="000000" w:themeColor="text1"/>
          <w:sz w:val="24"/>
          <w:szCs w:val="20"/>
          <w:highlight w:val="none"/>
          <w14:textFill>
            <w14:solidFill>
              <w14:schemeClr w14:val="tx1"/>
            </w14:solidFill>
          </w14:textFill>
        </w:rPr>
      </w:pPr>
      <w:r>
        <w:rPr>
          <w:rFonts w:hint="eastAsia" w:ascii="宋体" w:hAnsi="宋体" w:eastAsia="宋体" w:cs="宋体"/>
          <w:b/>
          <w:color w:val="000000" w:themeColor="text1"/>
          <w:sz w:val="24"/>
          <w:szCs w:val="20"/>
          <w:highlight w:val="none"/>
          <w14:textFill>
            <w14:solidFill>
              <w14:schemeClr w14:val="tx1"/>
            </w14:solidFill>
          </w14:textFill>
        </w:rPr>
        <w:br w:type="page" w:clear="all"/>
      </w:r>
      <w:r/>
    </w:p>
    <w:p>
      <w:pPr>
        <w:jc w:val="left"/>
        <w:spacing w:line="360" w:lineRule="auto"/>
        <w:rPr>
          <w:rFonts w:hint="eastAsia" w:ascii="宋体" w:hAnsi="宋体" w:eastAsia="宋体" w:cs="宋体"/>
          <w:b/>
          <w:color w:val="000000" w:themeColor="text1"/>
          <w:sz w:val="24"/>
          <w:szCs w:val="20"/>
          <w:highlight w:val="none"/>
          <w14:textFill>
            <w14:solidFill>
              <w14:schemeClr w14:val="tx1"/>
            </w14:solidFill>
          </w14:textFill>
        </w:rPr>
        <w:outlineLvl w:val="1"/>
      </w:pPr>
      <w:r>
        <w:rPr>
          <w:rFonts w:hint="eastAsia" w:ascii="宋体" w:hAnsi="宋体" w:eastAsia="宋体" w:cs="宋体"/>
          <w:b/>
          <w:color w:val="000000" w:themeColor="text1"/>
          <w:sz w:val="24"/>
          <w:szCs w:val="20"/>
          <w:highlight w:val="none"/>
          <w14:textFill>
            <w14:solidFill>
              <w14:schemeClr w14:val="tx1"/>
            </w14:solidFill>
          </w14:textFill>
        </w:rPr>
        <w:t xml:space="preserve">2、投标（响应）函</w:t>
      </w:r>
      <w:r/>
    </w:p>
    <w:p>
      <w:pPr>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投标（响应）函</w:t>
      </w:r>
      <w:r/>
    </w:p>
    <w:p>
      <w:pPr>
        <w:pStyle w:val="832"/>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ffffff"/>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本公司收到贵司</w:t>
      </w:r>
      <w:r>
        <w:rPr>
          <w:rFonts w:hint="eastAsia" w:ascii="宋体" w:hAnsi="宋体" w:eastAsia="宋体" w:cs="宋体"/>
          <w:color w:val="000000" w:themeColor="text1"/>
          <w:sz w:val="24"/>
          <w:szCs w:val="20"/>
          <w:highlight w:val="none"/>
          <w:u w:val="single"/>
          <w:shd w:val="clear" w:color="auto" w:fill="ffffff"/>
          <w:lang w:eastAsia="zh-CN"/>
          <w14:textFill>
            <w14:solidFill>
              <w14:schemeClr w14:val="tx1"/>
            </w14:solidFill>
          </w14:textFill>
        </w:rPr>
        <w:t xml:space="preserve">JSZC-320500-XCXC-G2026-0006</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号招标文件，经仔细阅读和研究，本公司决定参加投标（响应）。</w:t>
      </w:r>
      <w:r/>
    </w:p>
    <w:p>
      <w:pPr>
        <w:ind w:firstLine="48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1、本公司愿意按照招标文件的一切要求，提供完成该项目的全部内容，本公司的投标（响应）报价</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包括但不限于完成该项工作所需的所有服务管理费、税金、人工费用（本项目所有用工人员基本工资、绩效工资、全年福利、年终奖金等）、投入的工作设施设备费用、国家规定的社保、公积金等其他全部费用以及投标人企业利润和政策性文件规定及合同包含的各项应有费用，合同价中还包括耗材、服装、高温费、加班费、节日慰问费、代理服务费、体检费、劳保、各种税费及政策性文件规定及合同包含的所有风险（如人员工资、材料上涨等）、责任等各项应有费用。</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2、如果本公司的投标（响应）书被接受，本公司将严格履行招标文件中规定的每一项要求，按期、按质、按量履行合同的义务。</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3、本公司已详细审查全部招标文件，包括补充文件（更正公告）（如有）。本公司完全理解并同意放弃对这方面有不明及误解的权力。</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4、本公司同意按招标文件中的规定，本投标（响应）书的有效期限为投标（响应）截止日起</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90</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天。</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5、本公司愿意提供采购人或采购代理机构在招标文件中要求的所有资料。</w:t>
      </w:r>
      <w:r/>
    </w:p>
    <w:p>
      <w:pPr>
        <w:ind w:firstLine="48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本公司声明：本公司在参加本次政府采购活动前3年内在经营活动中没有重大违法记录。</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7、本公司愿意遵守招标公告及招标文件中所列的收费标准。</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8、本公司承诺该项投标（响应）在开标后的全过程中保持有效，不作任何更改和变动。</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9、如果本公司中标，本公司愿意按招标文件规定支付履约保证金和代理服务费。</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10、本公司承诺符合</w:t>
      </w:r>
      <w:r>
        <w:rPr>
          <w:rFonts w:hint="eastAsia" w:ascii="宋体" w:hAnsi="宋体" w:eastAsia="宋体" w:cs="宋体"/>
          <w:color w:val="000000" w:themeColor="text1"/>
          <w:sz w:val="24"/>
          <w:szCs w:val="24"/>
          <w:highlight w:val="none"/>
          <w14:textFill>
            <w14:solidFill>
              <w14:schemeClr w14:val="tx1"/>
            </w14:solidFill>
          </w14:textFill>
        </w:rPr>
        <w:t xml:space="preserve">招标公告中的“申请人的资格要求”</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的要求，若与真实情况不符，本公司愿意承担由此而产生的一切后果。</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11、综合说明：</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（1）伴随服务及配合措施；</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（2）要求甲方提供的配合；</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（3）对招标文件有不同意见的偏离说明；</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（4）其它说明。</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所有有关标书的函电，请按下列地址联系：</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单位：                     联系人：                 地址：</w:t>
      </w:r>
      <w:r/>
    </w:p>
    <w:p>
      <w:pPr>
        <w:ind w:firstLine="480"/>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邮政编码：                 联系电话：               传真：</w:t>
      </w:r>
      <w:r/>
    </w:p>
    <w:p>
      <w:pPr>
        <w:ind w:firstLine="48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公司电子邮箱：</w:t>
      </w:r>
      <w:r/>
    </w:p>
    <w:p>
      <w:pPr>
        <w:ind w:firstLine="480"/>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pPr>
      <w:r>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t xml:space="preserve">银行账号：</w:t>
      </w:r>
      <w:r/>
    </w:p>
    <w:p>
      <w:pPr>
        <w:ind w:firstLine="480"/>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pPr>
      <w:r>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t xml:space="preserve">银行开户行：</w:t>
      </w:r>
      <w:r/>
    </w:p>
    <w:p>
      <w:pPr>
        <w:ind w:firstLine="480"/>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pPr>
      <w:r>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t xml:space="preserve">数字人民币开户行（如有）：</w:t>
      </w:r>
      <w:r/>
    </w:p>
    <w:p>
      <w:pPr>
        <w:ind w:firstLine="480"/>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pPr>
      <w:r>
        <w:rPr>
          <w:rFonts w:hint="eastAsia" w:ascii="宋体" w:hAnsi="宋体" w:eastAsia="宋体" w:cs="Times New Roman"/>
          <w:color w:val="000000" w:themeColor="text1"/>
          <w:sz w:val="24"/>
          <w:szCs w:val="20"/>
          <w:highlight w:val="none"/>
          <w:shd w:val="clear" w:color="auto" w:fill="ffffff"/>
          <w14:textFill>
            <w14:solidFill>
              <w14:schemeClr w14:val="tx1"/>
            </w14:solidFill>
          </w14:textFill>
        </w:rPr>
        <w:t xml:space="preserve">数字人民币账户（数币钱包ID）：</w:t>
      </w:r>
      <w:r/>
    </w:p>
    <w:p>
      <w:pPr>
        <w:ind w:firstLine="21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240" w:firstLine="210"/>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793"/>
        <w:ind w:firstLine="0"/>
        <w:jc w:val="both"/>
        <w:spacing w:line="360" w:lineRule="auto"/>
        <w:rPr>
          <w:rFonts w:hint="eastAsia" w:ascii="宋体" w:hAnsi="宋体" w:eastAsia="宋体" w:cs="宋体"/>
          <w:b/>
          <w:color w:val="000000" w:themeColor="text1"/>
          <w:szCs w:val="24"/>
          <w:highlight w:val="none"/>
          <w14:textFill>
            <w14:solidFill>
              <w14:schemeClr w14:val="tx1"/>
            </w14:solidFill>
          </w14:textFill>
        </w:rPr>
        <w:outlineLvl w:val="1"/>
      </w:pPr>
      <w:r>
        <w:rPr>
          <w:rFonts w:hint="eastAsia" w:ascii="宋体" w:hAnsi="宋体" w:eastAsia="宋体" w:cs="宋体"/>
          <w:b/>
          <w:color w:val="000000" w:themeColor="text1"/>
          <w:szCs w:val="24"/>
          <w:highlight w:val="none"/>
          <w14:textFill>
            <w14:solidFill>
              <w14:schemeClr w14:val="tx1"/>
            </w14:solidFill>
          </w14:textFill>
        </w:rPr>
        <w:t xml:space="preserve">3、开标一览表</w:t>
      </w:r>
      <w:r/>
    </w:p>
    <w:p>
      <w:pPr>
        <w:pStyle w:val="1082"/>
        <w:jc w:val="center"/>
        <w:spacing w:line="360" w:lineRule="auto"/>
        <w:rPr>
          <w:rFonts w:hint="eastAsia"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r>
      <w:r/>
    </w:p>
    <w:p>
      <w:pPr>
        <w:pStyle w:val="1082"/>
        <w:jc w:val="center"/>
        <w:spacing w:line="360" w:lineRule="auto"/>
        <w:rPr>
          <w:rFonts w:hint="eastAsia"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 xml:space="preserve">开标一览表</w:t>
      </w:r>
      <w:r/>
    </w:p>
    <w:p>
      <w:pPr>
        <w:pStyle w:val="1082"/>
        <w:jc w:val="center"/>
        <w:spacing w:line="360" w:lineRule="auto"/>
        <w:rPr>
          <w:rFonts w:hint="eastAsia"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投标人全称（加盖公章）：</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采购包1</w:t>
      </w:r>
      <w:r/>
    </w:p>
    <w:tbl>
      <w:tblPr>
        <w:tblStyle w:val="7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91"/>
        <w:gridCol w:w="5763"/>
      </w:tblGrid>
      <w:tr>
        <w:trPr>
          <w:cantSplit/>
          <w:jc w:val="center"/>
          <w:trHeight w:val="109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924" w:type="pct"/>
            <w:vAlign w:val="center"/>
            <w:textDirection w:val="lrTb"/>
            <w:noWrap w:val="false"/>
          </w:tcPr>
          <w:p>
            <w:pPr>
              <w:jc w:val="center"/>
              <w:spacing w:line="6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优惠率</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53" w:name="XMMC"/>
            <w:r/>
            <w:bookmarkEnd w:id="53"/>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苏州幼儿师范高等专科学校食堂后勤服务采购项目</w:t>
            </w:r>
            <w:r/>
          </w:p>
        </w:tc>
        <w:tc>
          <w:tcPr>
            <w:tcBorders>
              <w:top w:val="single" w:color="auto" w:sz="4" w:space="0"/>
              <w:left w:val="single" w:color="auto" w:sz="4" w:space="0"/>
              <w:bottom w:val="single" w:color="auto" w:sz="4" w:space="0"/>
              <w:right w:val="single" w:color="auto" w:sz="4" w:space="0"/>
            </w:tcBorders>
            <w:tcW w:w="2924" w:type="pct"/>
            <w:vAlign w:val="center"/>
            <w:textDirection w:val="lrTb"/>
            <w:noWrap w:val="false"/>
          </w:tcPr>
          <w:p>
            <w:pPr>
              <w:jc w:val="center"/>
              <w:spacing w:line="6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bl>
    <w:p>
      <w:pPr>
        <w:ind w:left="1024"/>
        <w:spacing w:line="6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420" w:firstLine="210"/>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日期：     年</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     日</w:t>
      </w:r>
      <w:r/>
    </w:p>
    <w:p>
      <w:pPr>
        <w:pStyle w:val="832"/>
        <w:ind w:left="0" w:firstLine="480"/>
        <w:spacing w:after="0"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填写说明:</w:t>
      </w:r>
      <w:r/>
    </w:p>
    <w:p>
      <w:pPr>
        <w:pStyle w:val="832"/>
        <w:ind w:left="0" w:firstLine="480"/>
        <w:spacing w:after="0"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1、开标一览表必须加盖投标</w:t>
      </w:r>
      <w:r>
        <w:rPr>
          <w:rFonts w:hint="eastAsia" w:ascii="宋体" w:hAnsi="宋体" w:eastAsia="宋体" w:cs="宋体"/>
          <w:color w:val="000000" w:themeColor="text1"/>
          <w:sz w:val="24"/>
          <w:szCs w:val="24"/>
          <w:highlight w:val="none"/>
          <w:u w:val="single"/>
          <w14:textFill>
            <w14:solidFill>
              <w14:schemeClr w14:val="tx1"/>
            </w14:solidFill>
          </w14:textFill>
        </w:rPr>
        <w:t xml:space="preserve">人公章（复印件无效）。</w:t>
      </w:r>
      <w:r/>
    </w:p>
    <w:p>
      <w:pPr>
        <w:ind w:firstLine="480"/>
        <w:jc w:val="left"/>
        <w:spacing w:line="360" w:lineRule="auto"/>
        <w:widowControl/>
        <w:rPr>
          <w:rFonts w:hint="eastAsia" w:ascii="宋体" w:hAnsi="宋体" w:eastAsia="宋体" w:cs="宋体"/>
          <w:color w:val="000000" w:themeColor="text1"/>
          <w:sz w:val="24"/>
          <w:szCs w:val="24"/>
          <w:highlight w:val="none"/>
          <w:u w:val="single"/>
          <w:lang w:val="zh-CN"/>
          <w14:textFill>
            <w14:solidFill>
              <w14:schemeClr w14:val="tx1"/>
            </w14:solidFill>
          </w14:textFill>
        </w:rPr>
      </w:pP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2、如有分包，投标人投任何</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一个</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包的标的，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都需单</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独填写开标一览表。</w:t>
      </w:r>
      <w:r/>
    </w:p>
    <w:p>
      <w:pPr>
        <w:pStyle w:val="832"/>
        <w:ind w:firstLine="52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32"/>
        <w:ind w:firstLine="52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32"/>
        <w:ind w:left="0" w:firstLine="482"/>
        <w:rPr>
          <w:rFonts w:hint="eastAsia" w:ascii="宋体" w:hAnsi="宋体" w:eastAsia="宋体"/>
          <w:b/>
          <w:bCs/>
          <w:color w:val="000000" w:themeColor="text1"/>
          <w:sz w:val="24"/>
          <w:szCs w:val="24"/>
          <w:highlight w:val="none"/>
          <w:lang w:val="zh-CN"/>
          <w14:textFill>
            <w14:solidFill>
              <w14:schemeClr w14:val="tx1"/>
            </w14:solidFill>
          </w14:textFill>
        </w:rPr>
      </w:pPr>
      <w:r>
        <w:rPr>
          <w:rFonts w:hint="eastAsia" w:ascii="宋体" w:hAnsi="宋体" w:eastAsia="宋体"/>
          <w:b/>
          <w:bCs/>
          <w:color w:val="000000" w:themeColor="text1"/>
          <w:sz w:val="24"/>
          <w:szCs w:val="24"/>
          <w:highlight w:val="none"/>
          <w:lang w:val="zh-CN"/>
          <w14:textFill>
            <w14:solidFill>
              <w14:schemeClr w14:val="tx1"/>
            </w14:solidFill>
          </w14:textFill>
        </w:rPr>
        <w:t xml:space="preserve">注：</w:t>
      </w:r>
      <w:r/>
    </w:p>
    <w:p>
      <w:pPr>
        <w:pStyle w:val="832"/>
        <w:ind w:left="0" w:firstLine="482"/>
        <w:rPr>
          <w:rFonts w:hint="eastAsia" w:ascii="宋体" w:hAnsi="宋体" w:eastAsia="宋体"/>
          <w:b/>
          <w:bCs/>
          <w:color w:val="000000" w:themeColor="text1"/>
          <w:sz w:val="24"/>
          <w:szCs w:val="24"/>
          <w:highlight w:val="none"/>
          <w:lang w:val="zh-CN" w:eastAsia="zh-CN"/>
          <w14:textFill>
            <w14:solidFill>
              <w14:schemeClr w14:val="tx1"/>
            </w14:solidFill>
          </w14:textFill>
        </w:rPr>
      </w:pP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b/>
          <w:bCs/>
          <w:color w:val="000000" w:themeColor="text1"/>
          <w:sz w:val="24"/>
          <w:szCs w:val="24"/>
          <w:highlight w:val="none"/>
          <w:lang w:val="zh-CN" w:eastAsia="zh-CN"/>
          <w14:textFill>
            <w14:solidFill>
              <w14:schemeClr w14:val="tx1"/>
            </w14:solidFill>
          </w14:textFill>
        </w:rPr>
        <w:t xml:space="preserve">报价优惠率10%，即是指</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毛利率</w:t>
      </w:r>
      <w:r>
        <w:rPr>
          <w:rFonts w:hint="eastAsia" w:ascii="宋体" w:hAnsi="宋体" w:eastAsia="宋体"/>
          <w:b/>
          <w:bCs/>
          <w:color w:val="000000" w:themeColor="text1"/>
          <w:sz w:val="24"/>
          <w:szCs w:val="24"/>
          <w:highlight w:val="none"/>
          <w:lang w:val="zh-CN" w:eastAsia="zh-CN"/>
          <w14:textFill>
            <w14:solidFill>
              <w14:schemeClr w14:val="tx1"/>
            </w14:solidFill>
          </w14:textFill>
        </w:rPr>
        <w:t xml:space="preserve">下浮10%。</w:t>
      </w:r>
      <w:r/>
    </w:p>
    <w:p>
      <w:pPr>
        <w:pStyle w:val="832"/>
        <w:ind w:left="0" w:firstLine="482"/>
        <w:rPr>
          <w:rFonts w:hint="default" w:ascii="宋体" w:hAnsi="宋体" w:eastAsia="宋体"/>
          <w:b/>
          <w:bCs/>
          <w:color w:val="000000" w:themeColor="text1"/>
          <w:sz w:val="24"/>
          <w:szCs w:val="24"/>
          <w:highlight w:val="none"/>
          <w:lang w:val="en-US" w:eastAsia="zh-CN"/>
          <w14:textFill>
            <w14:solidFill>
              <w14:schemeClr w14:val="tx1"/>
            </w14:solidFill>
          </w14:textFill>
        </w:rPr>
      </w:pPr>
      <w:r>
        <w:rPr>
          <w:rFonts w:hint="eastAsia" w:ascii="宋体" w:hAnsi="宋体" w:eastAsia="宋体"/>
          <w:b/>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b/>
          <w:bCs/>
          <w:color w:val="000000" w:themeColor="text1"/>
          <w:sz w:val="24"/>
          <w:szCs w:val="24"/>
          <w:highlight w:val="none"/>
          <w:lang w:val="zh-CN" w:eastAsia="zh-CN"/>
          <w14:textFill>
            <w14:solidFill>
              <w14:schemeClr w14:val="tx1"/>
            </w14:solidFill>
          </w14:textFill>
        </w:rPr>
        <w:t xml:space="preserve">）毛利=营业收入-营业成本，毛利率=（毛利/营业收入）*100%。</w:t>
      </w:r>
      <w:r/>
    </w:p>
    <w:p>
      <w:pPr>
        <w:pStyle w:val="832"/>
        <w:ind w:left="0" w:firstLine="482"/>
        <w:rPr>
          <w:rFonts w:hint="default" w:ascii="宋体" w:hAnsi="宋体" w:eastAsia="宋体"/>
          <w:b/>
          <w:bCs/>
          <w:color w:val="000000" w:themeColor="text1"/>
          <w:sz w:val="24"/>
          <w:szCs w:val="24"/>
          <w:highlight w:val="none"/>
          <w:lang w:val="en-US" w:eastAsia="zh-CN"/>
          <w14:textFill>
            <w14:solidFill>
              <w14:schemeClr w14:val="tx1"/>
            </w14:solidFill>
          </w14:textFill>
        </w:rPr>
      </w:pP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（3）本项目最高毛利率为37%。</w:t>
      </w:r>
      <w:r/>
    </w:p>
    <w:p>
      <w:pPr>
        <w:pStyle w:val="832"/>
        <w:ind w:left="0" w:firstLine="482"/>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r>
      <w:r/>
    </w:p>
    <w:p>
      <w:pPr>
        <w:pStyle w:val="832"/>
        <w:ind w:left="0" w:firstLine="1205"/>
        <w:rPr>
          <w:rFonts w:hint="eastAsia" w:ascii="宋体" w:hAnsi="宋体" w:eastAsia="宋体"/>
          <w:b/>
          <w:bCs/>
          <w:color w:val="000000" w:themeColor="text1"/>
          <w:sz w:val="24"/>
          <w:szCs w:val="24"/>
          <w:highlight w:val="none"/>
          <w:lang w:val="zh-CN"/>
          <w14:textFill>
            <w14:solidFill>
              <w14:schemeClr w14:val="tx1"/>
            </w14:solidFill>
          </w14:textFill>
        </w:rPr>
      </w:pPr>
      <w:r>
        <w:rPr>
          <w:rFonts w:hint="eastAsia" w:ascii="宋体" w:hAnsi="宋体" w:eastAsia="宋体"/>
          <w:b/>
          <w:bCs/>
          <w:color w:val="000000" w:themeColor="text1"/>
          <w:sz w:val="24"/>
          <w:szCs w:val="24"/>
          <w:highlight w:val="none"/>
          <w:lang w:val="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1"/>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4、针对本项目制定的服务实施方案</w:t>
      </w:r>
      <w:r/>
    </w:p>
    <w:p>
      <w:pPr>
        <w:jc w:val="center"/>
        <w:spacing w:before="240"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针对本项目制定的服务实施方案</w:t>
      </w:r>
      <w:r/>
    </w:p>
    <w:p>
      <w:pPr>
        <w:pStyle w:val="832"/>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3980"/>
        </w:trPr>
        <w:tc>
          <w:tcPr>
            <w:tcW w:w="5000" w:type="pct"/>
            <w:textDirection w:val="lrTb"/>
            <w:noWrap w:val="false"/>
          </w:tcPr>
          <w:p>
            <w:pPr>
              <w:jc w:val="left"/>
              <w:spacing w:line="360" w:lineRule="auto"/>
              <w:tabs>
                <w:tab w:val="left" w:pos="1320" w:leader="none"/>
              </w:tabs>
              <w:rPr>
                <w:rFonts w:hint="eastAsia" w:ascii="宋体" w:hAnsi="宋体" w:eastAsia="宋体" w:cs="宋体"/>
                <w:color w:val="000000" w:themeColor="text1"/>
                <w:sz w:val="24"/>
                <w:szCs w:val="21"/>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提示：</w:t>
            </w:r>
            <w:r>
              <w:rPr>
                <w:rFonts w:hint="eastAsia" w:ascii="宋体" w:hAnsi="宋体" w:eastAsia="宋体" w:cs="宋体"/>
                <w:bCs/>
                <w:color w:val="000000" w:themeColor="text1"/>
                <w:sz w:val="24"/>
                <w:szCs w:val="24"/>
                <w:highlight w:val="none"/>
                <w14:textFill>
                  <w14:solidFill>
                    <w14:schemeClr w14:val="tx1"/>
                  </w14:solidFill>
                </w14:textFill>
              </w:rPr>
              <w:t xml:space="preserve">供应商应根据本次采购项目要求，对服务实施方案等进行详细的说明与描述。</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供应商可根据自身情况编写，本页不够可另加页附后。</w:t>
            </w:r>
            <w:r/>
          </w:p>
          <w:p>
            <w:pPr>
              <w:jc w:val="left"/>
              <w:spacing w:line="360" w:lineRule="auto"/>
              <w:tabs>
                <w:tab w:val="left" w:pos="0" w:leader="none"/>
              </w:tabs>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firstLine="260"/>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260"/>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shd w:val="clear" w:color="auto" w:fill="ffffff"/>
          <w:lang w:val="zh-CN"/>
          <w14:textFill>
            <w14:solidFill>
              <w14:schemeClr w14:val="tx1"/>
            </w14:solidFill>
          </w14:textFill>
        </w:rPr>
        <w:outlineLvl w:val="1"/>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br w:type="page" w:clear="all"/>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5、服务或技术要求偏离表</w:t>
      </w:r>
      <w:r/>
    </w:p>
    <w:p>
      <w:pPr>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服务或技术要求偏离表</w:t>
      </w:r>
      <w:r/>
    </w:p>
    <w:p>
      <w:pPr>
        <w:pStyle w:val="832"/>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序号</w:t>
            </w:r>
            <w:r/>
          </w:p>
        </w:tc>
        <w:tc>
          <w:tcPr>
            <w:tcW w:w="748"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采购内容</w:t>
            </w:r>
            <w:r/>
          </w:p>
        </w:tc>
        <w:tc>
          <w:tcPr>
            <w:tcW w:w="938"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采购要求</w:t>
            </w:r>
            <w:r/>
          </w:p>
        </w:tc>
        <w:tc>
          <w:tcPr>
            <w:tcW w:w="834"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响应情况</w:t>
            </w:r>
            <w:r/>
          </w:p>
        </w:tc>
        <w:tc>
          <w:tcPr>
            <w:tcW w:w="984"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偏离/响应</w:t>
            </w:r>
            <w:r/>
          </w:p>
        </w:tc>
        <w:tc>
          <w:tcPr>
            <w:tcW w:w="1017"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说明</w:t>
            </w:r>
            <w:r/>
          </w:p>
        </w:tc>
      </w:tr>
      <w:tr>
        <w:trPr>
          <w:jc w:val="center"/>
          <w:trHeight w:val="423"/>
        </w:trPr>
        <w:tc>
          <w:tcPr>
            <w:tcW w:w="479"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bl>
    <w:p>
      <w:pPr>
        <w:ind w:firstLine="482"/>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注：</w:t>
      </w:r>
      <w:r/>
    </w:p>
    <w:p>
      <w:pPr>
        <w:ind w:firstLine="482"/>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w:t>
      </w: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、本表不作为响应单位对所响应标的物</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服务</w:t>
      </w: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条款详细描述和说明的替代。</w:t>
      </w:r>
      <w:r/>
    </w:p>
    <w:p>
      <w:pPr>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1"/>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6、商务要求偏离表</w:t>
      </w:r>
      <w:r/>
    </w:p>
    <w:p>
      <w:pPr>
        <w:jc w:val="center"/>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商务要求偏离表</w:t>
      </w:r>
      <w:r/>
    </w:p>
    <w:p>
      <w:pPr>
        <w:pStyle w:val="832"/>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序号</w:t>
            </w:r>
            <w:r/>
          </w:p>
        </w:tc>
        <w:tc>
          <w:tcPr>
            <w:tcW w:w="748"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采购内容</w:t>
            </w:r>
            <w:r/>
          </w:p>
        </w:tc>
        <w:tc>
          <w:tcPr>
            <w:tcW w:w="938"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采购要求</w:t>
            </w:r>
            <w:r/>
          </w:p>
        </w:tc>
        <w:tc>
          <w:tcPr>
            <w:tcW w:w="834"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响应情况</w:t>
            </w:r>
            <w:r/>
          </w:p>
        </w:tc>
        <w:tc>
          <w:tcPr>
            <w:tcW w:w="984"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偏离/响应</w:t>
            </w:r>
            <w:r/>
          </w:p>
        </w:tc>
        <w:tc>
          <w:tcPr>
            <w:tcW w:w="1017" w:type="pct"/>
            <w:vAlign w:val="center"/>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说明</w:t>
            </w:r>
            <w:r/>
          </w:p>
        </w:tc>
      </w:tr>
      <w:tr>
        <w:trPr>
          <w:jc w:val="center"/>
          <w:trHeight w:val="423"/>
        </w:trPr>
        <w:tc>
          <w:tcPr>
            <w:tcW w:w="479"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jc w:val="center"/>
          <w:trHeight w:val="423"/>
        </w:trPr>
        <w:tc>
          <w:tcPr>
            <w:tcW w:w="479"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74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38"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83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984"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c>
          <w:tcPr>
            <w:tcW w:w="1017" w:type="pct"/>
            <w:textDirection w:val="lrTb"/>
            <w:noWrap w:val="false"/>
          </w:tcPr>
          <w:p>
            <w:pPr>
              <w:pStyle w:val="1099"/>
              <w:ind w:firstLine="0"/>
              <w:jc w:val="center"/>
              <w:spacing w:line="400" w:lineRule="exac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bl>
    <w:p>
      <w:pPr>
        <w:ind w:firstLine="482"/>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注：</w:t>
      </w:r>
      <w:r/>
    </w:p>
    <w:p>
      <w:pPr>
        <w:ind w:firstLine="482"/>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2</w:t>
      </w:r>
      <w:r>
        <w:rPr>
          <w:rFonts w:hint="eastAsia" w:ascii="宋体" w:hAnsi="宋体" w:eastAsia="宋体" w:cs="宋体"/>
          <w:b/>
          <w:color w:val="000000" w:themeColor="text1"/>
          <w:sz w:val="24"/>
          <w:szCs w:val="24"/>
          <w:highlight w:val="none"/>
          <w:shd w:val="clear" w:color="auto" w:fill="ffffff"/>
          <w:lang w:eastAsia="zh"/>
          <w14:textFill>
            <w14:solidFill>
              <w14:schemeClr w14:val="tx1"/>
            </w14:solidFill>
          </w14:textFill>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outlineLvl w:val="1"/>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7、拟投入本项目人员配备一览表</w:t>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拟投入本项目人员配备一览表</w:t>
      </w:r>
      <w:r/>
    </w:p>
    <w:p>
      <w:pPr>
        <w:pStyle w:val="832"/>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985"/>
        <w:gridCol w:w="1064"/>
        <w:gridCol w:w="826"/>
        <w:gridCol w:w="717"/>
        <w:gridCol w:w="859"/>
        <w:gridCol w:w="926"/>
        <w:gridCol w:w="1255"/>
        <w:gridCol w:w="1402"/>
        <w:gridCol w:w="1002"/>
      </w:tblGrid>
      <w:tr>
        <w:trPr>
          <w:jc w:val="center"/>
          <w:trHeight w:val="851"/>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序号</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岗位</w:t>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姓名</w:t>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性别</w:t>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年龄</w:t>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学历</w:t>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专业</w:t>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证书情况</w:t>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从事本工作时间</w:t>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备注</w:t>
            </w:r>
            <w:r/>
          </w:p>
        </w:tc>
      </w:tr>
      <w:tr>
        <w:trPr>
          <w:jc w:val="center"/>
          <w:trHeight w:val="403"/>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08"/>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2</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01"/>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3</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21"/>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4</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3"/>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5</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9"/>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6</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1"/>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7</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7"/>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8</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23"/>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9</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4"/>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10</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21"/>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11</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3"/>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12</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9"/>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13</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410"/>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14</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jc w:val="center"/>
          <w:trHeight w:val="567"/>
        </w:trPr>
        <w:tc>
          <w:tcPr>
            <w:tcW w:w="415"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w:t>
            </w:r>
            <w:r/>
          </w:p>
        </w:tc>
        <w:tc>
          <w:tcPr>
            <w:tcW w:w="50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4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1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364"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3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4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63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711"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50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bl>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rPr>
          <w:rFonts w:hint="eastAsia" w:ascii="宋体" w:hAnsi="宋体" w:eastAsia="宋体" w:cs="宋体"/>
          <w:b/>
          <w:color w:val="000000" w:themeColor="text1"/>
          <w:sz w:val="24"/>
          <w:szCs w:val="21"/>
          <w:highlight w:val="none"/>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1"/>
          <w:highlight w:val="none"/>
          <w14:textFill>
            <w14:solidFill>
              <w14:schemeClr w14:val="tx1"/>
            </w14:solidFill>
          </w14:textFill>
        </w:rPr>
        <w:t xml:space="preserve">8、类似业绩情况表</w:t>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类似业绩情况表</w:t>
      </w:r>
      <w:r/>
    </w:p>
    <w:p>
      <w:pPr>
        <w:pStyle w:val="832"/>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06"/>
        <w:gridCol w:w="2437"/>
        <w:gridCol w:w="2633"/>
        <w:gridCol w:w="1881"/>
        <w:gridCol w:w="1937"/>
      </w:tblGrid>
      <w:tr>
        <w:trPr>
          <w:cantSplit/>
          <w:jc w:val="center"/>
          <w:trHeight w:val="740"/>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序号</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项目名称</w:t>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合同期</w:t>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合同金额（万元）</w:t>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备注</w:t>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1</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2</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3</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4</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5</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t xml:space="preserve">……</w:t>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r>
        <w:trPr>
          <w:cantSplit/>
          <w:jc w:val="center"/>
          <w:trHeight w:val="510" w:hRule="exact"/>
        </w:trPr>
        <w:tc>
          <w:tcPr>
            <w:tcW w:w="416"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257"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1358"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70"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c>
          <w:tcPr>
            <w:tcW w:w="999" w:type="pct"/>
            <w:vAlign w:val="center"/>
            <w:textDirection w:val="lrTb"/>
            <w:noWrap w:val="false"/>
          </w:tcPr>
          <w:p>
            <w:pPr>
              <w:jc w:val="center"/>
              <w:rPr>
                <w:rFonts w:hint="eastAsia" w:cs="宋体" w:asciiTheme="minorEastAsia" w:hAnsiTheme="minorEastAsia"/>
                <w:color w:val="000000" w:themeColor="text1"/>
                <w:sz w:val="24"/>
                <w:szCs w:val="24"/>
                <w:highlight w:val="none"/>
                <w14:textFill>
                  <w14:solidFill>
                    <w14:schemeClr w14:val="tx1"/>
                  </w14:solidFill>
                </w14:textFill>
              </w:rPr>
            </w:pPr>
            <w:r>
              <w:rPr>
                <w:rFonts w:hint="eastAsia" w:cs="宋体" w:asciiTheme="minorEastAsia" w:hAnsiTheme="minorEastAsia"/>
                <w:color w:val="000000" w:themeColor="text1"/>
                <w:sz w:val="24"/>
                <w:szCs w:val="24"/>
                <w:highlight w:val="none"/>
                <w14:textFill>
                  <w14:solidFill>
                    <w14:schemeClr w14:val="tx1"/>
                  </w14:solidFill>
                </w14:textFill>
              </w:rPr>
            </w:r>
            <w:r/>
          </w:p>
        </w:tc>
      </w:tr>
    </w:tbl>
    <w:p>
      <w:pPr>
        <w:pStyle w:val="801"/>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1"/>
      </w:pPr>
      <w:r>
        <w:rPr>
          <w:rFonts w:hint="eastAsia" w:ascii="宋体" w:hAnsi="宋体" w:eastAsia="宋体" w:cs="宋体"/>
          <w:b/>
          <w:color w:val="000000" w:themeColor="text1"/>
          <w:sz w:val="24"/>
          <w:szCs w:val="21"/>
          <w:highlight w:val="none"/>
          <w14:textFill>
            <w14:solidFill>
              <w14:schemeClr w14:val="tx1"/>
            </w14:solidFill>
          </w14:textFill>
        </w:rPr>
        <w:t xml:space="preserve">9、资格证明文件</w:t>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2"/>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（1）资格文件的声明函</w:t>
      </w:r>
      <w:r/>
    </w:p>
    <w:p>
      <w:pPr>
        <w:jc w:val="center"/>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资格文件的声明函</w:t>
      </w:r>
      <w:r/>
    </w:p>
    <w:p>
      <w:pPr>
        <w:pStyle w:val="832"/>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u w:val="single"/>
          <w:shd w:val="clear" w:color="auto" w:fill="ffffff"/>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本公司愿就由贵司组织实施的编号为</w:t>
      </w:r>
      <w:r>
        <w:rPr>
          <w:rFonts w:hint="eastAsia" w:ascii="宋体" w:hAnsi="宋体" w:eastAsia="宋体" w:cs="宋体"/>
          <w:color w:val="000000" w:themeColor="text1"/>
          <w:sz w:val="24"/>
          <w:szCs w:val="20"/>
          <w:highlight w:val="none"/>
          <w:u w:val="single"/>
          <w:shd w:val="clear" w:color="auto" w:fill="ffffff"/>
          <w:lang w:eastAsia="zh-CN"/>
          <w14:textFill>
            <w14:solidFill>
              <w14:schemeClr w14:val="tx1"/>
            </w14:solidFill>
          </w14:textFill>
        </w:rPr>
        <w:t xml:space="preserve">JSZC-320500-XCXC-G2026-0006</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2"/>
      </w:pPr>
      <w:r/>
      <w:bookmarkStart w:id="54" w:name="_Hlk193378870"/>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（2）供应商基本情况表</w:t>
      </w:r>
      <w:r/>
    </w:p>
    <w:p>
      <w:pPr>
        <w:jc w:val="center"/>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供应商基本情况表</w:t>
      </w:r>
      <w:r/>
    </w:p>
    <w:p>
      <w:pPr>
        <w:pStyle w:val="832"/>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单位名称：</w:t>
      </w:r>
      <w:r/>
    </w:p>
    <w:tbl>
      <w:tblPr>
        <w:tblStyle w:val="79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法定代表人</w:t>
            </w:r>
            <w:r/>
          </w:p>
        </w:tc>
        <w:tc>
          <w:tcPr>
            <w:tcW w:w="1036"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tcW w:w="79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成立日期</w:t>
            </w:r>
            <w:r/>
          </w:p>
        </w:tc>
        <w:tc>
          <w:tcPr>
            <w:gridSpan w:val="2"/>
            <w:tcW w:w="162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企业地址</w:t>
            </w:r>
            <w:r/>
          </w:p>
        </w:tc>
        <w:tc>
          <w:tcPr>
            <w:tcW w:w="1036"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tcW w:w="79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经营范围</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职工人数</w:t>
            </w:r>
            <w:r/>
          </w:p>
        </w:tc>
        <w:tc>
          <w:tcPr>
            <w:tcW w:w="1036"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gridSpan w:val="2"/>
            <w:tcW w:w="188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其中：有中高级以上职称的人数</w:t>
            </w:r>
            <w:r/>
          </w:p>
        </w:tc>
        <w:tc>
          <w:tcPr>
            <w:tcW w:w="52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1548" w:type="pct"/>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资产总计</w:t>
            </w:r>
            <w:r/>
          </w:p>
        </w:tc>
        <w:tc>
          <w:tcPr>
            <w:tcW w:w="1036" w:type="pct"/>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万元</w:t>
            </w:r>
            <w:r/>
          </w:p>
        </w:tc>
        <w:tc>
          <w:tcPr>
            <w:tcW w:w="793" w:type="pct"/>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净资产</w:t>
            </w:r>
            <w:r/>
          </w:p>
        </w:tc>
        <w:tc>
          <w:tcPr>
            <w:gridSpan w:val="2"/>
            <w:tcW w:w="1623" w:type="pct"/>
            <w:vAlign w:val="center"/>
            <w:textDirection w:val="lrTb"/>
            <w:noWrap w:val="false"/>
          </w:tcPr>
          <w:p>
            <w:pPr>
              <w:ind w:firstLine="96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股东权益</w:t>
            </w:r>
            <w:r/>
          </w:p>
        </w:tc>
        <w:tc>
          <w:tcPr>
            <w:tcW w:w="1036" w:type="pct"/>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万元</w:t>
            </w:r>
            <w:r/>
          </w:p>
        </w:tc>
        <w:tc>
          <w:tcPr>
            <w:tcW w:w="793" w:type="pct"/>
            <w:vAlign w:val="center"/>
            <w:textDirection w:val="lrTb"/>
            <w:noWrap w:val="false"/>
          </w:tcPr>
          <w:p>
            <w:pP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销售收入</w:t>
            </w:r>
            <w:r/>
          </w:p>
        </w:tc>
        <w:tc>
          <w:tcPr>
            <w:gridSpan w:val="2"/>
            <w:tcW w:w="1623" w:type="pct"/>
            <w:vAlign w:val="center"/>
            <w:textDirection w:val="lrTb"/>
            <w:noWrap w:val="false"/>
          </w:tcPr>
          <w:p>
            <w:pPr>
              <w:jc w:val="center"/>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实现利润</w:t>
            </w:r>
            <w:r/>
          </w:p>
        </w:tc>
        <w:tc>
          <w:tcPr>
            <w:tcW w:w="1036"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202</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年  万元</w:t>
            </w:r>
            <w:r/>
          </w:p>
        </w:tc>
        <w:tc>
          <w:tcPr>
            <w:tcW w:w="79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c>
          <w:tcPr>
            <w:gridSpan w:val="2"/>
            <w:tcW w:w="162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营业面积（含厂房面积）</w:t>
            </w:r>
            <w:r/>
          </w:p>
        </w:tc>
        <w:tc>
          <w:tcPr>
            <w:tcW w:w="1036" w:type="pct"/>
            <w:vAlign w:val="center"/>
            <w:textDirection w:val="lrTb"/>
            <w:noWrap w:val="false"/>
          </w:tcPr>
          <w:p>
            <w:pPr>
              <w:ind w:firstLine="960"/>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平方米</w:t>
            </w:r>
            <w:r/>
          </w:p>
        </w:tc>
        <w:tc>
          <w:tcPr>
            <w:tcW w:w="79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其中：</w:t>
            </w:r>
            <w:r/>
          </w:p>
        </w:tc>
        <w:tc>
          <w:tcPr>
            <w:gridSpan w:val="2"/>
            <w:tcW w:w="1623"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自有面积      平方米</w:t>
            </w:r>
            <w:r/>
          </w:p>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单位优势及特长</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是否处于被行政或司法机关责令停业或停止承接项目或停止投标（响应）资格</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r>
        <w:trPr>
          <w:cantSplit/>
          <w:jc w:val="center"/>
        </w:trPr>
        <w:tc>
          <w:tcPr>
            <w:tcW w:w="1548"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tc>
      </w:tr>
    </w:tbl>
    <w:p>
      <w:pPr>
        <w:ind w:right="105"/>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05"/>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bookmarkEnd w:id="54"/>
      <w:r/>
      <w:r/>
    </w:p>
    <w:p>
      <w:pP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2"/>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（3）中小企业声明函</w:t>
      </w:r>
      <w:r/>
    </w:p>
    <w:p>
      <w:pPr>
        <w:jc w:val="center"/>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r>
      <w:r/>
    </w:p>
    <w:p>
      <w:pPr>
        <w:ind w:firstLine="482"/>
        <w:jc w:val="center"/>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中小企业声明函（服务）</w:t>
      </w:r>
      <w:r/>
    </w:p>
    <w:p>
      <w:pPr>
        <w:ind w:left="57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苏州幼儿师范高等专科学校</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0"/>
          <w:highlight w:val="none"/>
          <w:u w:val="single"/>
          <w:shd w:val="clear" w:color="auto" w:fill="ffffff"/>
          <w:lang w:eastAsia="zh-CN"/>
          <w14:textFill>
            <w14:solidFill>
              <w14:schemeClr w14:val="tx1"/>
            </w14:solidFill>
          </w14:textFill>
        </w:rPr>
        <w:t xml:space="preserve">苏州幼儿师范高等专科学校食堂后勤服务采购项目</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苏州幼儿师范高等专科学校食堂后勤服务采购项目</w:t>
      </w:r>
      <w:r>
        <w:rPr>
          <w:rFonts w:hint="eastAsia" w:ascii="宋体" w:hAnsi="宋体" w:eastAsia="宋体" w:cs="宋体"/>
          <w:b/>
          <w:color w:val="000000" w:themeColor="text1"/>
          <w:sz w:val="24"/>
          <w:szCs w:val="20"/>
          <w:highlight w:val="none"/>
          <w:u w:val="singl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餐饮业</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；承建（承接）企业为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（企业名称）</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，从业人员</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人，营业收入为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万元，资产总额为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万元，属于</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（中型企业、小型企业、微型企业）</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w:t>
      </w:r>
      <w:r/>
    </w:p>
    <w:p>
      <w:pPr>
        <w:numPr>
          <w:ilvl w:val="0"/>
          <w:numId w:val="3"/>
        </w:num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b/>
          <w:color w:val="000000" w:themeColor="text1"/>
          <w:sz w:val="24"/>
          <w:szCs w:val="20"/>
          <w:highlight w:val="none"/>
          <w:u w:val="singl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；承建（承接）企业为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（企业名称）</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，从业人员</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人，营业收入为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万元，资产总额为</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万元，属于</w:t>
      </w:r>
      <w:r>
        <w:rPr>
          <w:rFonts w:hint="eastAsia" w:ascii="宋体" w:hAnsi="宋体" w:eastAsia="宋体" w:cs="宋体"/>
          <w:color w:val="000000" w:themeColor="text1"/>
          <w:sz w:val="24"/>
          <w:szCs w:val="20"/>
          <w:highlight w:val="none"/>
          <w:u w:val="single"/>
          <w:shd w:val="clear" w:color="auto" w:fill="ffffff"/>
          <w14:textFill>
            <w14:solidFill>
              <w14:schemeClr w14:val="tx1"/>
            </w14:solidFill>
          </w14:textFill>
        </w:rPr>
        <w:t xml:space="preserve">     （中型企业、小型企业、微型企业）</w:t>
      </w: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t xml:space="preserve">以上企业，不属于大企业的分支机构，不存在控股股东</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为大企业的情形，也不存在与大企业的负责人为同一人的情形。</w:t>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0"/>
          <w:highlight w:val="none"/>
          <w:shd w:val="clear" w:color="auto" w:fill="ffffff"/>
          <w14:textFill>
            <w14:solidFill>
              <w14:schemeClr w14:val="tx1"/>
            </w14:solidFill>
          </w14:textFill>
        </w:rPr>
      </w:r>
      <w:r/>
    </w:p>
    <w:p>
      <w:pPr>
        <w:ind w:firstLine="52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企业名称（盖章）：</w:t>
      </w:r>
      <w:r/>
    </w:p>
    <w:p>
      <w:pPr>
        <w:ind w:firstLine="52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日期：</w:t>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spacing w:line="38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备注：</w:t>
      </w:r>
      <w:r/>
    </w:p>
    <w:p>
      <w:pPr>
        <w:numPr>
          <w:ilvl w:val="255"/>
          <w:numId w:val="0"/>
        </w:numPr>
        <w:ind w:firstLine="420"/>
        <w:spacing w:line="380"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1、从业人员、营业收入、资产总额填报上一年度数据，无上一年度数据的新成立企业可不填报。</w:t>
      </w:r>
      <w:r/>
    </w:p>
    <w:p>
      <w:pPr>
        <w:spacing w:line="380"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br w:type="page" w:clear="all"/>
      </w:r>
      <w:r/>
    </w:p>
    <w:p>
      <w:pPr>
        <w:spacing w:line="360" w:lineRule="auto"/>
        <w:rPr>
          <w:rFonts w:hint="eastAsia" w:ascii="宋体" w:hAnsi="宋体" w:eastAsia="宋体" w:cs="宋体"/>
          <w:b/>
          <w:color w:val="000000" w:themeColor="text1"/>
          <w:sz w:val="24"/>
          <w:szCs w:val="20"/>
          <w:highlight w:val="none"/>
          <w:shd w:val="clear" w:color="auto" w:fill="ffffff"/>
          <w14:textFill>
            <w14:solidFill>
              <w14:schemeClr w14:val="tx1"/>
            </w14:solidFill>
          </w14:textFill>
        </w:rPr>
        <w:outlineLvl w:val="2"/>
      </w:pP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（4）残疾人福利性单位声明函</w:t>
      </w:r>
      <w:r/>
    </w:p>
    <w:p>
      <w:pPr>
        <w:jc w:val="center"/>
        <w:spacing w:before="100" w:after="100" w:line="360" w:lineRule="auto"/>
        <w:widowControl/>
        <w:rPr>
          <w:rFonts w:hint="eastAsia" w:ascii="宋体" w:hAnsi="宋体" w:eastAsia="宋体" w:cs="宋体"/>
          <w:b/>
          <w:color w:val="000000" w:themeColor="text1"/>
          <w:sz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highlight w:val="none"/>
          <w:shd w:val="clear" w:color="auto" w:fill="ffffff"/>
          <w14:textFill>
            <w14:solidFill>
              <w14:schemeClr w14:val="tx1"/>
            </w14:solidFill>
          </w14:textFill>
        </w:rPr>
      </w:r>
      <w:r/>
    </w:p>
    <w:p>
      <w:pPr>
        <w:jc w:val="center"/>
        <w:spacing w:before="100" w:after="100" w:line="360" w:lineRule="auto"/>
        <w:widowControl/>
        <w:rPr>
          <w:rFonts w:hint="eastAsia" w:ascii="宋体" w:hAnsi="宋体" w:eastAsia="宋体" w:cs="宋体"/>
          <w:b/>
          <w:color w:val="000000" w:themeColor="text1"/>
          <w:sz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highlight w:val="none"/>
          <w:shd w:val="clear" w:color="auto" w:fill="ffffff"/>
          <w14:textFill>
            <w14:solidFill>
              <w14:schemeClr w14:val="tx1"/>
            </w14:solidFill>
          </w14:textFill>
        </w:rPr>
        <w:t xml:space="preserve">残疾人福利性单位声明函</w:t>
      </w:r>
      <w:r/>
    </w:p>
    <w:p>
      <w:pPr>
        <w:ind w:firstLine="4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r>
      <w:r/>
    </w:p>
    <w:p>
      <w:pPr>
        <w:ind w:firstLine="480"/>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r>
      <w:r/>
    </w:p>
    <w:p>
      <w:pPr>
        <w:ind w:firstLine="4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r>
      <w:r/>
    </w:p>
    <w:p>
      <w:pPr>
        <w:ind w:firstLine="52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单位名称（盖章）：</w:t>
      </w:r>
      <w:r/>
    </w:p>
    <w:p>
      <w:pPr>
        <w:ind w:firstLine="5280"/>
        <w:jc w:val="left"/>
        <w:spacing w:before="100" w:after="100" w:line="360" w:lineRule="auto"/>
        <w:widowControl/>
        <w:rPr>
          <w:rFonts w:hint="eastAsia"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日期：</w:t>
      </w:r>
      <w:r/>
    </w:p>
    <w:p>
      <w:pPr>
        <w:ind w:firstLine="422"/>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r>
      <w:r/>
    </w:p>
    <w:p>
      <w:pPr>
        <w:ind w:firstLine="422"/>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注：</w:t>
      </w:r>
      <w:bookmarkStart w:id="55" w:name="_Hlk158140990"/>
      <w:r>
        <w:rPr>
          <w:rFonts w:hint="eastAsia" w:ascii="宋体" w:hAnsi="宋体" w:eastAsia="宋体" w:cs="宋体"/>
          <w:b/>
          <w:color w:val="000000" w:themeColor="text1"/>
          <w:szCs w:val="21"/>
          <w:highlight w:val="none"/>
          <w14:textFill>
            <w14:solidFill>
              <w14:schemeClr w14:val="tx1"/>
            </w14:solidFill>
          </w14:textFill>
        </w:rPr>
        <w:t xml:space="preserve">投标文件中的电子签章视为供应商对本声明进行了签署盖章并承担相应责任</w:t>
      </w:r>
      <w:bookmarkEnd w:id="55"/>
      <w:r>
        <w:rPr>
          <w:rFonts w:hint="eastAsia" w:ascii="宋体" w:hAnsi="宋体" w:eastAsia="宋体" w:cs="宋体"/>
          <w:b/>
          <w:color w:val="000000" w:themeColor="text1"/>
          <w:szCs w:val="21"/>
          <w:highlight w:val="none"/>
          <w14:textFill>
            <w14:solidFill>
              <w14:schemeClr w14:val="tx1"/>
            </w14:solidFill>
          </w14:textFill>
        </w:rPr>
        <w:t xml:space="preserve">。</w:t>
      </w:r>
      <w:r/>
    </w:p>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br w:type="page" w:clear="all"/>
      </w:r>
      <w:r>
        <w:rPr>
          <w:rFonts w:hint="eastAsia" w:ascii="宋体" w:hAnsi="宋体" w:eastAsia="宋体" w:cs="宋体"/>
          <w:b/>
          <w:color w:val="000000" w:themeColor="text1"/>
          <w:sz w:val="24"/>
          <w:szCs w:val="20"/>
          <w:highlight w:val="none"/>
          <w:shd w:val="clear" w:color="auto" w:fill="ffffff"/>
          <w14:textFill>
            <w14:solidFill>
              <w14:schemeClr w14:val="tx1"/>
            </w14:solidFill>
          </w14:textFill>
        </w:rPr>
        <w:t xml:space="preserve">（5）供应商与其他单位存在直接控股、管理关系情况表</w:t>
      </w:r>
      <w:r/>
    </w:p>
    <w:p>
      <w:pPr>
        <w:jc w:val="center"/>
        <w:spacing w:line="360" w:lineRule="auto"/>
        <w:widowControl/>
        <w:rPr>
          <w:rFonts w:hint="eastAsia" w:ascii="宋体" w:hAnsi="宋体" w:eastAsia="宋体" w:cs="宋体"/>
          <w:b/>
          <w:color w:val="000000" w:themeColor="text1"/>
          <w:sz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highlight w:val="none"/>
          <w:shd w:val="clear" w:color="auto" w:fill="ffffff"/>
          <w14:textFill>
            <w14:solidFill>
              <w14:schemeClr w14:val="tx1"/>
            </w14:solidFill>
          </w14:textFill>
        </w:rPr>
      </w:r>
      <w:r/>
    </w:p>
    <w:p>
      <w:pPr>
        <w:jc w:val="center"/>
        <w:spacing w:line="360" w:lineRule="auto"/>
        <w:widowControl/>
        <w:rPr>
          <w:rFonts w:hint="eastAsia" w:ascii="宋体" w:hAnsi="宋体" w:eastAsia="宋体" w:cs="宋体"/>
          <w:b/>
          <w:color w:val="000000" w:themeColor="text1"/>
          <w:sz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highlight w:val="none"/>
          <w:shd w:val="clear" w:color="auto" w:fill="ffffff"/>
          <w14:textFill>
            <w14:solidFill>
              <w14:schemeClr w14:val="tx1"/>
            </w14:solidFill>
          </w14:textFill>
        </w:rPr>
        <w:t xml:space="preserve">供应商与其他单位存在直接控股、管理关系情况表</w:t>
      </w:r>
      <w:r/>
    </w:p>
    <w:p>
      <w:pPr>
        <w:pStyle w:val="832"/>
        <w:ind w:firstLine="5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shd w:val="clear" w:color="auto" w:fill="ffffff"/>
          <w14:textFill>
            <w14:solidFill>
              <w14:schemeClr w14:val="tx1"/>
            </w14:solidFill>
          </w14:textFill>
        </w:rPr>
        <w:t xml:space="preserve">单位名称：</w:t>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1332"/>
      </w:tblGrid>
      <w:tr>
        <w:trPr>
          <w:jc w:val="center"/>
          <w:trHeight w:val="766"/>
        </w:trPr>
        <w:tc>
          <w:tcPr>
            <w:gridSpan w:val="4"/>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t xml:space="preserve">与供应商存在直接股权关系</w:t>
            </w:r>
            <w:r/>
          </w:p>
        </w:tc>
        <w:tc>
          <w:tcPr>
            <w:gridSpan w:val="3"/>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t xml:space="preserve">与供应商存在直接管理关系</w:t>
            </w:r>
            <w:r/>
          </w:p>
        </w:tc>
      </w:tr>
      <w:tr>
        <w:trPr>
          <w:jc w:val="center"/>
          <w:trHeight w:val="991"/>
        </w:trPr>
        <w:tc>
          <w:tcPr>
            <w:tcW w:w="1541"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单位名称</w:t>
            </w:r>
            <w:r/>
          </w:p>
        </w:tc>
        <w:tc>
          <w:tcPr>
            <w:tcW w:w="1520"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是否为大型企业</w:t>
            </w:r>
            <w:r/>
          </w:p>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（填写“是”或 “否”）</w:t>
            </w:r>
            <w:r/>
          </w:p>
        </w:tc>
        <w:tc>
          <w:tcPr>
            <w:tcW w:w="1340"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是否直接控股</w:t>
            </w:r>
            <w:r/>
          </w:p>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（填写“是”或 “否”）</w:t>
            </w:r>
            <w:r/>
          </w:p>
        </w:tc>
        <w:tc>
          <w:tcPr>
            <w:tcW w:w="1362"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直接控股关系情况说明（持股比例等）</w:t>
            </w:r>
            <w:r/>
          </w:p>
        </w:tc>
        <w:tc>
          <w:tcPr>
            <w:tcW w:w="1268"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单位名称</w:t>
            </w:r>
            <w:r/>
          </w:p>
        </w:tc>
        <w:tc>
          <w:tcPr>
            <w:tcW w:w="1491" w:type="dxa"/>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是否为大型企业</w:t>
            </w:r>
            <w:r/>
          </w:p>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（填写“是”或 “否”）</w:t>
            </w:r>
            <w:r/>
          </w:p>
        </w:tc>
        <w:tc>
          <w:tcPr>
            <w:tcW w:w="0" w:type="auto"/>
            <w:vAlign w:val="center"/>
            <w:textDirection w:val="lrTb"/>
            <w:noWrap w:val="false"/>
          </w:tcPr>
          <w:p>
            <w:pPr>
              <w:jc w:val="center"/>
              <w:widowControl/>
              <w:rPr>
                <w:rFonts w:hint="eastAsia" w:ascii="宋体" w:hAnsi="宋体" w:eastAsia="宋体" w:cs="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cs="宋体"/>
                <w:b/>
                <w:color w:val="000000" w:themeColor="text1"/>
                <w:sz w:val="18"/>
                <w:szCs w:val="18"/>
                <w:highlight w:val="none"/>
                <w:shd w:val="clear" w:color="auto" w:fill="ffffff"/>
                <w14:textFill>
                  <w14:solidFill>
                    <w14:schemeClr w14:val="tx1"/>
                  </w14:solidFill>
                </w14:textFill>
              </w:rPr>
              <w:t xml:space="preserve">直接管理关系情况说明</w:t>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r>
        <w:trPr>
          <w:jc w:val="center"/>
          <w:trHeight w:val="850"/>
        </w:trPr>
        <w:tc>
          <w:tcPr>
            <w:tcW w:w="154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52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40"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362"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268"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1491" w:type="dxa"/>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hint="eastAsia" w:ascii="宋体" w:hAnsi="宋体" w:eastAsia="宋体" w:cs="宋体"/>
                <w:b/>
                <w:color w:val="000000" w:themeColor="text1"/>
                <w:szCs w:val="21"/>
                <w:highlight w:val="none"/>
                <w:shd w:val="clear" w:color="auto" w:fill="ffffff"/>
                <w14:textFill>
                  <w14:solidFill>
                    <w14:schemeClr w14:val="tx1"/>
                  </w14:solidFill>
                </w14:textFill>
              </w:rPr>
            </w:pPr>
            <w:r>
              <w:rPr>
                <w:rFonts w:hint="eastAsia" w:ascii="宋体" w:hAnsi="宋体" w:eastAsia="宋体" w:cs="宋体"/>
                <w:b/>
                <w:color w:val="000000" w:themeColor="text1"/>
                <w:szCs w:val="21"/>
                <w:highlight w:val="none"/>
                <w:shd w:val="clear" w:color="auto" w:fill="ffffff"/>
                <w14:textFill>
                  <w14:solidFill>
                    <w14:schemeClr w14:val="tx1"/>
                  </w14:solidFill>
                </w14:textFill>
              </w:rPr>
            </w:r>
            <w:r/>
          </w:p>
        </w:tc>
      </w:tr>
    </w:tbl>
    <w:p>
      <w:pPr>
        <w:ind w:firstLine="482"/>
        <w:spacing w:line="360" w:lineRule="auto"/>
        <w:rPr>
          <w:rFonts w:hint="eastAsia" w:ascii="宋体" w:hAnsi="宋体" w:eastAsia="宋体" w:cs="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注：1、本表仅须填写与供应商存在直接股权、管理关系的企业情况。供应商应按上表要求据实填写</w:t>
      </w:r>
      <w:r>
        <w:rPr>
          <w:rFonts w:hint="eastAsia" w:ascii="宋体" w:hAnsi="宋体" w:eastAsia="宋体" w:cs="宋体"/>
          <w:b/>
          <w:color w:val="000000" w:themeColor="text1"/>
          <w:sz w:val="24"/>
          <w:highlight w:val="none"/>
          <w:shd w:val="clear" w:color="auto" w:fill="ffffff"/>
          <w14:textFill>
            <w14:solidFill>
              <w14:schemeClr w14:val="tx1"/>
            </w14:solidFill>
          </w14:textFill>
        </w:rPr>
        <w:t xml:space="preserve">，</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如填写“无”或不填写，均视为供应商声明不存在有关情形。</w:t>
      </w:r>
      <w:r/>
    </w:p>
    <w:p>
      <w:pPr>
        <w:pStyle w:val="800"/>
        <w:ind w:left="0"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4"/>
          <w:highlight w:val="none"/>
          <w:shd w:val="clear" w:color="auto" w:fill="ffffff"/>
          <w14:textFill>
            <w14:solidFill>
              <w14:schemeClr w14:val="tx1"/>
            </w14:solidFill>
          </w14:textFill>
        </w:rPr>
        <w:t xml:space="preserve">2、其中“直接控股”是指供应商与大型企业之间存在直接投资并控股（非普通持股）的关系。</w:t>
      </w:r>
      <w:r/>
    </w:p>
    <w:p>
      <w:pPr>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ind w:right="105"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br w:type="page" w:clear="all"/>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spacing w:line="360" w:lineRule="auto"/>
        <w:rPr>
          <w:rFonts w:hint="eastAsia" w:ascii="宋体" w:hAnsi="宋体" w:eastAsia="宋体" w:cs="宋体"/>
          <w:color w:val="000000" w:themeColor="text1"/>
          <w:sz w:val="30"/>
          <w:szCs w:val="30"/>
          <w:highlight w:val="none"/>
          <w:shd w:val="clear" w:color="auto" w:fill="ffffff"/>
          <w14:textFill>
            <w14:solidFill>
              <w14:schemeClr w14:val="tx1"/>
            </w14:solidFill>
          </w14:textFill>
        </w:rPr>
      </w:pPr>
      <w:r>
        <w:rPr>
          <w:rFonts w:hint="eastAsia" w:ascii="宋体" w:hAnsi="宋体" w:eastAsia="宋体" w:cs="宋体"/>
          <w:color w:val="000000" w:themeColor="text1"/>
          <w:sz w:val="30"/>
          <w:szCs w:val="30"/>
          <w:highlight w:val="none"/>
          <w:shd w:val="clear" w:color="auto" w:fill="ffffff"/>
          <w14:textFill>
            <w14:solidFill>
              <w14:schemeClr w14:val="tx1"/>
            </w14:solidFill>
          </w14:textFill>
        </w:rPr>
      </w:r>
      <w:r/>
    </w:p>
    <w:p>
      <w:pPr>
        <w:pStyle w:val="832"/>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2"/>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2"/>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2"/>
        <w:ind w:firstLine="5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keepNext/>
        <w:spacing w:before="340" w:after="330" w:line="360" w:lineRule="auto"/>
        <w:rPr>
          <w:rFonts w:hint="eastAsia" w:ascii="宋体" w:hAnsi="宋体" w:eastAsia="宋体" w:cs="宋体"/>
          <w:b/>
          <w:color w:val="000000" w:themeColor="text1"/>
          <w:sz w:val="52"/>
          <w:szCs w:val="20"/>
          <w:highlight w:val="none"/>
          <w:shd w:val="clear" w:color="auto" w:fill="ffffff"/>
          <w14:textFill>
            <w14:solidFill>
              <w14:schemeClr w14:val="tx1"/>
            </w14:solidFill>
          </w14:textFill>
        </w:rPr>
        <w:outlineLvl w:val="0"/>
      </w:pPr>
      <w:r/>
      <w:bookmarkStart w:id="56" w:name="_Toc105940240"/>
      <w:r/>
      <w:bookmarkStart w:id="57" w:name="_Toc13642115"/>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第四章 招标书</w:t>
      </w:r>
      <w:bookmarkEnd w:id="56"/>
      <w:r/>
      <w:bookmarkEnd w:id="57"/>
      <w:r/>
      <w:r/>
    </w:p>
    <w:p>
      <w:pPr>
        <w:jc w:val="center"/>
        <w:spacing w:line="360" w:lineRule="auto"/>
        <w:rPr>
          <w:rFonts w:hint="eastAsia" w:ascii="宋体" w:hAnsi="宋体" w:eastAsia="宋体" w:cs="宋体"/>
          <w:b/>
          <w:color w:val="000000" w:themeColor="text1"/>
          <w:sz w:val="32"/>
          <w:szCs w:val="32"/>
          <w:highlight w:val="none"/>
          <w:shd w:val="clear" w:color="auto" w:fill="ffffff"/>
          <w14:textFill>
            <w14:solidFill>
              <w14:schemeClr w14:val="tx1"/>
            </w14:solidFill>
          </w14:textFill>
        </w:rPr>
      </w:pPr>
      <w:r/>
      <w:bookmarkStart w:id="58" w:name="_Toc13543212"/>
      <w:r>
        <w:rPr>
          <w:rFonts w:hint="eastAsia" w:ascii="宋体" w:hAnsi="宋体" w:eastAsia="宋体" w:cs="宋体"/>
          <w:b/>
          <w:color w:val="000000" w:themeColor="text1"/>
          <w:sz w:val="48"/>
          <w:szCs w:val="48"/>
          <w:highlight w:val="none"/>
          <w:shd w:val="clear" w:color="auto" w:fill="ffffff"/>
          <w14:textFill>
            <w14:solidFill>
              <w14:schemeClr w14:val="tx1"/>
            </w14:solidFill>
          </w14:textFill>
        </w:rPr>
        <w:br w:type="page" w:clear="all"/>
      </w:r>
      <w:r>
        <w:rPr>
          <w:rFonts w:hint="eastAsia" w:ascii="宋体" w:hAnsi="宋体" w:eastAsia="宋体" w:cs="宋体"/>
          <w:b/>
          <w:color w:val="000000" w:themeColor="text1"/>
          <w:sz w:val="32"/>
          <w:szCs w:val="32"/>
          <w:highlight w:val="none"/>
          <w:shd w:val="clear" w:color="auto" w:fill="ffffff"/>
          <w14:textFill>
            <w14:solidFill>
              <w14:schemeClr w14:val="tx1"/>
            </w14:solidFill>
          </w14:textFill>
        </w:rPr>
        <w:t xml:space="preserve">招标书</w:t>
      </w:r>
      <w:bookmarkEnd w:id="58"/>
      <w:r/>
      <w:r/>
    </w:p>
    <w:p>
      <w:pPr>
        <w:ind w:firstLine="480"/>
        <w:spacing w:line="360" w:lineRule="auto"/>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苏州星创招投标咨询有限公司</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受苏州幼儿师范高等专科学校的委托，就其所需的</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苏州幼儿师范高等专科学校食堂后勤服务采购项目</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进行国内公开招标。</w:t>
      </w:r>
      <w:r>
        <w:rPr>
          <w:rFonts w:hint="eastAsia" w:ascii="宋体" w:hAnsi="宋体" w:eastAsia="宋体" w:cs="宋体"/>
          <w:color w:val="000000" w:themeColor="text1"/>
          <w:sz w:val="24"/>
          <w:szCs w:val="24"/>
          <w:highlight w:val="none"/>
          <w14:textFill>
            <w14:solidFill>
              <w14:schemeClr w14:val="tx1"/>
            </w14:solidFill>
          </w14:textFill>
        </w:rPr>
        <w:t xml:space="preserve">欢迎符合条件的供应商</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前来参加投标（响应）。</w:t>
      </w:r>
      <w:r/>
    </w:p>
    <w:p>
      <w:pPr>
        <w:ind w:firstLine="482"/>
        <w:jc w:val="left"/>
        <w:spacing w:line="360" w:lineRule="auto"/>
        <w:rPr>
          <w:rFonts w:hint="eastAsia" w:ascii="宋体" w:hAnsi="宋体" w:eastAsia="宋体" w:cs="宋体"/>
          <w:b/>
          <w:color w:val="000000" w:themeColor="text1"/>
          <w:sz w:val="24"/>
          <w:szCs w:val="24"/>
          <w:highlight w:val="none"/>
          <w:shd w:val="clear" w:color="auto" w:fill="ffffff"/>
          <w:lang w:eastAsia="zh-CN"/>
          <w14:textFill>
            <w14:solidFill>
              <w14:schemeClr w14:val="tx1"/>
            </w14:solidFill>
          </w14:textFill>
        </w:rPr>
        <w:outlineLvl w:val="1"/>
      </w:pP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一、招标编号：</w:t>
      </w:r>
      <w:bookmarkStart w:id="59" w:name="OLE_LINK1"/>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JSZC-320500-XCXC-G2026-0006</w:t>
      </w:r>
      <w:r/>
    </w:p>
    <w:p>
      <w:pPr>
        <w:ind w:firstLine="482"/>
        <w:jc w:val="left"/>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二、采购需求</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（一）项目概况</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1、采购预算：本项目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2736000</w:t>
      </w:r>
      <w:r>
        <w:rPr>
          <w:rFonts w:hint="eastAsia" w:ascii="宋体" w:hAnsi="宋体" w:eastAsia="宋体" w:cs="宋体"/>
          <w:color w:val="000000" w:themeColor="text1"/>
          <w:sz w:val="24"/>
          <w:highlight w:val="none"/>
          <w14:textFill>
            <w14:solidFill>
              <w14:schemeClr w14:val="tx1"/>
            </w14:solidFill>
          </w14:textFill>
        </w:rPr>
        <w:t xml:space="preserve">元经费，为教职工一年餐费金额。学生一年餐费按实际用餐量计算。中标单位需对教职工餐厅及学生餐厅（全体师生）进行服务。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中标单位每月服务费（人员成本费用+管理费）结算金额：【当月餐费总收入（包括教职工+学生）-食材费用-食堂用所有易耗品费用-其它相关食堂需承担的费用】。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（1）如每月实际毛利率大于中标毛利率，按每月实际收入*中标毛利率进行结算。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（2）全年服务费累计不得超过2100000元（人民币）。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2、苏州幼儿师范高等专科学校坐落在苏州市相城区华元路2号，学校现有全日制在校生（住宿生）约2300人，教职工及</w:t>
      </w:r>
      <w:r>
        <w:rPr>
          <w:rFonts w:hint="eastAsia" w:ascii="宋体" w:hAnsi="宋体" w:eastAsia="宋体" w:cs="宋体"/>
          <w:color w:val="000000" w:themeColor="text1"/>
          <w:sz w:val="24"/>
          <w:highlight w:val="none"/>
          <w14:textFill>
            <w14:solidFill>
              <w14:schemeClr w14:val="tx1"/>
            </w14:solidFill>
          </w14:textFill>
        </w:rPr>
        <w:t xml:space="preserve">外来服务单位人员约250人。学校食堂建筑总面积约4800平方米（其中老食堂：学生餐厅2个、食堂操作间1个。新食堂：学生餐厅1个，教工餐厅1个，食堂操作间一个）。共分为两个食堂，可同时容纳1396人同时用餐（其中：老食堂一楼学生餐厅有280个餐位，二楼学生餐厅有716个餐位。新食堂教师餐厅有200个餐位，学生餐厅有380个餐位）。老食堂：一、二层设中餐组、风味小吃组、面食组、西点组、早点组等等；新食堂：设置教工餐及各类风味小吃组。学校为各组配备了基本的厨房设备，水、电、气铺设到位，配备了餐桌椅，可供正常使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按【关于印发《苏州市中小学学生集体用餐管理意见（试行）》的通知】（苏教发[2020]62号）的文件要求，学校坚决贯彻自主经营模式，同时为了优化师生集体用餐服务，选择能提供专业管理、用工服务的专业餐饮服务管理企业来为学校食堂的自主经营保驾护航。</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（二）服务期限：</w:t>
      </w:r>
      <w:r>
        <w:rPr>
          <w:rFonts w:hint="eastAsia" w:ascii="宋体" w:hAnsi="宋体" w:eastAsia="宋体" w:cs="宋体"/>
          <w:bCs/>
          <w:color w:val="000000" w:themeColor="text1"/>
          <w:sz w:val="24"/>
          <w:szCs w:val="24"/>
          <w:highlight w:val="none"/>
          <w14:textFill>
            <w14:solidFill>
              <w14:schemeClr w14:val="tx1"/>
            </w14:solidFill>
          </w14:textFill>
        </w:rPr>
        <w:t xml:space="preserve">合同签订之日起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二年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（三）服务人员</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14:textFill>
            <w14:solidFill>
              <w14:schemeClr w14:val="tx1"/>
            </w14:solidFill>
          </w14:textFill>
        </w:rPr>
        <w:t xml:space="preserve">教职工餐厅、学生餐厅：</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68"/>
        <w:gridCol w:w="3829"/>
        <w:gridCol w:w="3667"/>
        <w:gridCol w:w="1274"/>
      </w:tblGrid>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序号</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岗位</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年龄要求</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人数</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项目经理</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30周岁（含）-48周岁（含）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1人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厨师（大众）</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20周岁（含）-55周岁（含）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厨师（风味）</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20周岁（含）-48周岁（含）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面点师</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20周岁（含）-55周岁（含）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食品安全员</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20周岁（含）-55周岁（含）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6</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营养师</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20周岁（含）-55周岁（含）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7</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内勤（阳光平台管理、收银）</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20周岁（含）-55周岁（含）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4人</w:t>
            </w:r>
            <w:r/>
          </w:p>
        </w:tc>
      </w:tr>
      <w:tr>
        <w:trPr>
          <w:jc w:val="center"/>
        </w:trPr>
        <w:tc>
          <w:tcPr>
            <w:tcW w:w="868"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8</w:t>
            </w:r>
            <w:r/>
          </w:p>
        </w:tc>
        <w:tc>
          <w:tcPr>
            <w:tcW w:w="3829"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服务人员</w:t>
            </w:r>
            <w:r/>
          </w:p>
        </w:tc>
        <w:tc>
          <w:tcPr>
            <w:tcW w:w="3667"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20周岁（含）-65周岁（含）</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34人</w:t>
            </w:r>
            <w:r/>
          </w:p>
        </w:tc>
      </w:tr>
      <w:tr>
        <w:trPr>
          <w:jc w:val="center"/>
        </w:trPr>
        <w:tc>
          <w:tcPr>
            <w:gridSpan w:val="3"/>
            <w:tcW w:w="836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合计[60周岁-65周岁人员配置不得超过总人数的20%]</w:t>
            </w:r>
            <w:r/>
          </w:p>
        </w:tc>
        <w:tc>
          <w:tcPr>
            <w:tcW w:w="1274"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 xml:space="preserve">52人</w:t>
            </w:r>
            <w:r/>
          </w:p>
        </w:tc>
      </w:tr>
    </w:tbl>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三、服务（技术）要求</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（一）服务工作要求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1、按照“四个最严”总体要求，严格落实《学校食品安全与营养健康管理规定》（国家三部委第45号文件），从思想认识、措施保障等方面确保师生集体用餐安全。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2、推行先进管理模式：食堂量化分级优秀率达100%；“五常”管理100%实施；“明厨亮灶”正常运行、维保100%。</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3、须落实使用“苏州市食用农产品统一销售凭证”、“重点单位食品安全全程监控管理平台”，“阳光信息化监管平台”等，实现食品安全全程信息化管理。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4、食材采购和配送严格执行《苏州市教育局直属学校（单位）食堂食材“集中采购、定点配送”工作管理办法（试行）》的通知要求。食堂的原材料及其它食材全部由学校指定专人进行采购，由学校与服务方共同验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5、菜肴价格由服务方按照学校规定的原材料成本进行核算定价，由学校认定，服务方不得随意定价。</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6、学校设立食堂专用账户，对食堂所有收入和支出进行独立记账、核算。列入食堂成本：（1）服务费（2）管理费（3）原材料（粮油、食材、配料、辅料等）（4）日常低值易耗品（餐巾纸、洗洁精等）。食堂运营所产生的水电气、其它各类保障费用（厨余垃圾处理、管道清洗等）及设备添置、维修等其它费用，不列入食堂成本。</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7、服务方确保专业化的经营管理，严格把控盈亏平衡和菜品菜价的科学合理，务必做到食堂盈亏平衡。学校派专人每月对食堂收支进行报表统计，监督盈亏情况。食堂盈亏情况将直接纳入服务方考核内容，如不能保持盈亏平衡，校方将根据实际情况扣除相应的服务费及管理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8、坚持以人为本、以安全、卫生、实惠、可口为目的，科学配餐，营养配餐，不断提高膳食质量。坚持预防为主、综合治理的方针，确保师生集体用餐安全。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9、根据学校实际要求为师生提供一日三餐的集体用餐服务。</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（二）其他要求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1、食堂基本要求：食堂实行“一日三餐制”，早餐6:00-8:00，午餐11:15-12:45，晚餐17:00-18:30，根据学校实际要求，提供夜宵服务，不得拖延。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2、明码标价，定期公布（每周五上午公布下一周菜单）。</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早餐满足2000人以上，早点不少于20个品种；中、晚餐采取自选形式，满足2500人左右就餐，品种包括：不少于6个大荤、4个小荤、6个素菜、2种点心、1份粗粮及米饭等；中、晚餐各类风味、特色小吃不少于10个品种并根据学校要求适时更换品种。</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4、服务方在进驻采购人时要提供所有服务人员基本信息（身份证、简历）岗前对所有人员进行体检，然后按有关规定，定期体检，并将体检报告报学校报备，不符合要求的人员立即调整。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5、食堂内部管理要求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（1）食品卫生合格率必须达到100%。严格控制物品损耗率并按规定程序报损。</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食堂厨房要保持设备整齐划一。工作台、餐具、炊具、地面、墙面按时消毒，干净无异物。冰箱保持干净卫生，分档分类存放食物（生熟分开、肉类、鱼类、海鲜类等分档分类保存）。各类餐具物品年耗损率要控制在2%以内。</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（3）在食堂餐厅管理中，不使用腐烂变质的主副食品，包括各类辅料，不供应变质饭菜，保证饭菜卫生质量。注意荤素、营养的搭配，花色品种不断翻新，做到饭热、菜香、价廉物美。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（4）食堂内粗加工间、更衣间、仓库、面点间等功能区域划分明确。餐具严格洗、消、冲、保洁，利用消毒柜对餐具进行严格消毒。</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5）搞好食堂餐厅内外环境卫生，做到熟食、生料加工分开，杜绝生、熟食混放，每餐对食品留样、以备抽检。制定餐厅卫生管理制度，建立餐厅卫生工作自查记录。食堂餐厅内所有垃圾倒在指定地点，定期对就餐场所、就餐桌椅、板凳进行打扫消毒。</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（6）确保食堂餐厅操作的安全卫生，杜绝各类设施设备的安全卫生事故。全体工作人员都应熟练掌握消防安全常规常识，严格执行消防安全标准，确保不出问题。做到人走灯灭，人走水停。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（7）每年由卫生检疫进行二次抽检，抽检得分列入考核；对抽检整改项目，立即整改，整改不到位的，采购单位有权终止合同。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（8）服务方员工衣帽统一、穿戴整齐，保持整洁，上岗期间必须戴口罩，着工作服、工作帽，每个员工有冬、夏工作服各两套。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（9）食堂餐厅内有健全的防鼠、防蝇、防尘“三防措施”（特别是分菜间、加工间、餐厅等场所的门窗）。餐厅、操作间、室外通道、楼梯等区域，必须保持干净整洁。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6、服务方在学校领导下做好食堂自主经营服务，在学校专职食堂经营管理负责人的管理下开展具体工作，并接受学校膳食委员会的监督管理。食品安全、伙食质量、卫生等常规管理工作由中标餐饮团队负责，学校对食品安全、产品定价和伙食质量等进行监督，月度考核和年度综合考核由学校负责实施。</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7、服务方在投标文件中必须书面承诺：服务方若因自身原因受到食品药品监管部门、卫生防疫部门、市（区）创建部门、经营管理部门等处罚的，服务方承担全部责任，学校不负连带责任。因服务方的管理不善造成师生食物中毒的，由服务方负全部责任。未按上述要求承诺或未提供承诺的，视同非实质性响应招标文件的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8、服务方所有工作人员要有相关的健康证明，严禁无证上岗。服务方工作人员要遵守国家法委餐饮法规和学校各项规章制度，要有良好的服务态度。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9、服务方必须保证食堂的食品安全卫生与就餐环境达到苏州市学校食堂量化分级管理优秀等级，学校负责监督，并定时检查。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10、食堂设施：学校根据集体用餐服务需求提供所有的设施设备，并保证正常使用。服务方负责妥善使用好所有设施设备及日常维护。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11、服务方所委派的符合要求的工作人员一经确定，合同期内不得变更，如因特殊原因需要变更，必须先征得学校同意方可换人。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12、服务方要根据学校自主经营需求，明确服务宗旨、经营理念和提供具体措施，要制定完整的内部管理规章制度，要配合学校创建温馨的餐厅文化，并配合学校做好成本控制、利润核算，菜肴价位控制等。</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13、服务方负责食堂的饮食安全卫生，在服务期间中应遵守国家的相关法律法规，无条件接受学校管理，必须按照《食品安全法》的要求，建立和遵守食品安全卫生管理的各项规章制度，确保不发生食物中毒事件。</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14、服务方在投标文件中必须书面承诺：在以往经营过程中无食物中毒事故及消防安全事故的不良记录。若提供虚假承诺，将按政府采购的相关规定接受处理，由此造成的影响和损失全部由服务方承担。未按上述要求承诺或未提供承诺的，视同非实质性响应招标文件的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15、因服务方管理不善，造成工作范围内的设施、设备等损坏的，由直接负责人赔偿，若直接负责人因故无法赔偿的，学校有权要求服务方负责赔偿损失，情节严重的可终止合同甚至诉诸法律。</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16、市场风险：服务方在投标时应充分考虑服务期内的市场因素和成本变化等的风险，一旦中标，不得擅自缩减团队服务人员，并接受学校的实时督查。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17、为确保师生食品安全，满足不同口味师生个性化的需求，满足不同收入家庭学生的需求，需建立多元化的餐饮形式来满足师生饮食的不同需求，服务方要引入快餐、风味等多种供餐品种，来丰富校园的餐饮市场，打造“安全、文明、美味、温馨”的供餐服务特色。</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18、服务方工作人员在岗履行职责期间（包括上下班途中），发生自身的人身伤害、伤亡或劳务纠纷等均由服务方负责处理并承担经济和道义上的责任，学校不承担任何责任。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19、食堂内配套设施设备、电路、网络维修及下水道疏通等，服务方必须每天向学校反馈运行情况，若有问题必须及时提出，由学校负责处理。若由于服务方反馈不及时等而耽误饭菜的供应，则由服务方承担一切后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20、为筑牢食品安全底线，为提升服务方的服务水平和服务质量，对食堂集体用餐服务方实施绩效管理考核。由学校膳食委员会每月对服务方经营情况进行考核，并根据考核情况进行每月服务费的发放。年度按照每月考核的平均分做为年度综合考核分数，根据考核情况进行管理费的发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21、服务方工作人员在供餐期间严禁收取现金，如有发现将处于重罚，情节严重可中止合同。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22、关于服务方工作人员服务费的发放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（1）服务方工作人员的服务费，由学校统一交给服务方（单位）按月发放。</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（2）服务方（单位）同时也须保证按社保相关要求为服务方成员提供各类保障性待遇。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（3）无营业额的月份不发放服务费。</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（4）所有服务费用都纳入食堂供餐服务成本核算中。</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（5）服务方工作人员一年总服务费用最高且不得超过2100000元（人民币：贰佰壹拾万元整）。</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（6）服务方（单位）管理费包含在服务费中结算，不再另行结算。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23、学校食堂实行自主经营，不对外承包。若服务方在服务期间，出现下列情形之一的，学校有权终止或解除合同</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（1）严禁将中标的服务全部或部分转包他人。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（2）严重违反学校考核办法的有关规定或招标方的有关规定。</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（3）学校组织的对服务方的月考核不合格的。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（4）派驻学校的所有服务方工作人员，年龄不符合招标文件的年龄要求，学校要求更换拒不更换的。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（5）服务方长期（连续两个月内）有人员不到位，实际到岗人数（岗位）未达招标文件规定的人数，影响服务管理质量的，经学校要求服务方及时改正，服务方仍拒不改正的。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（6）服务方派驻的工作人员有健康状况不达标、无法提供健康证明或体检合格证的，学校要求服务方及时改正，服务方仍拒不改正的。</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7）出现重大食品安全或事故问题，包括因服务方管理出现严重失误，导致学校或服务方出现食物中毒等生命财产安全重大事故的（如有人员伤亡医药费在2万元以上的或有财产损失2万元以上的），服务方对学校造成的经济损失负有赔偿责任。</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1"/>
      </w:pPr>
      <w:r>
        <w:rPr>
          <w:rFonts w:hint="eastAsia" w:ascii="宋体" w:hAnsi="宋体" w:eastAsia="宋体" w:cs="宋体"/>
          <w:color w:val="000000" w:themeColor="text1"/>
          <w:sz w:val="24"/>
          <w:highlight w:val="none"/>
          <w14:textFill>
            <w14:solidFill>
              <w14:schemeClr w14:val="tx1"/>
            </w14:solidFill>
          </w14:textFill>
        </w:rPr>
        <w:t xml:space="preserve">24、学校如未按约付款的，则服务方应书面催告；经服务方催告后仍未付款，则每逾期一日，承担应付款万分之零点三的违约金，逾期付款达30日的，则服务方有权解除合同，并要求学校赔偿未履行部分合同金额的10%作为违约金。</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1"/>
      </w:pPr>
      <w:r>
        <w:rPr>
          <w:rFonts w:hint="eastAsia" w:ascii="宋体" w:hAnsi="宋体" w:eastAsia="宋体" w:cs="宋体"/>
          <w:b/>
          <w:bCs/>
          <w:color w:val="000000" w:themeColor="text1"/>
          <w:sz w:val="24"/>
          <w:highlight w:val="none"/>
          <w14:textFill>
            <w14:solidFill>
              <w14:schemeClr w14:val="tx1"/>
            </w14:solidFill>
          </w14:textFill>
        </w:rPr>
        <w:t xml:space="preserve">（三）食堂管理要求及标准</w:t>
      </w:r>
      <w:r/>
    </w:p>
    <w:tbl>
      <w:tblPr>
        <w:tblStyle w:val="790"/>
        <w:tblW w:w="10338" w:type="dxa"/>
        <w:jc w:val="center"/>
        <w:tblLayout w:type="fixed"/>
        <w:tblCellMar>
          <w:left w:w="15" w:type="dxa"/>
          <w:top w:w="15" w:type="dxa"/>
          <w:right w:w="15" w:type="dxa"/>
          <w:bottom w:w="0" w:type="dxa"/>
        </w:tblCellMar>
        <w:tblLook w:val="04A0" w:firstRow="1" w:lastRow="0" w:firstColumn="1" w:lastColumn="0" w:noHBand="0" w:noVBand="1"/>
      </w:tblPr>
      <w:tblGrid>
        <w:gridCol w:w="1020"/>
        <w:gridCol w:w="594"/>
        <w:gridCol w:w="5617"/>
        <w:gridCol w:w="2396"/>
        <w:gridCol w:w="711"/>
      </w:tblGrid>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项目要求和标准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处罚标准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备注</w:t>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食品采购、贮存、加工及销售环节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食品原材料必须由学校集中采购，团队做好进货验收、台帐记录。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经检查不符合要求，第一次扣1分/项，同月出现第二次，双倍扣分，以此类推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不收、不加工、不出售腐烂变质和有毒有害食品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原料先进先出，及时处理，不使用过期原料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原料仓库、食品加工操作间没人情况下上锁，钥匙专人管理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加强食堂后场管理，严禁非食堂工作人员随意进入食堂后场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蔬菜加工前要摘蒂洗净，对可能存在农药残留的绿叶蔬菜，要用清水浸泡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冰箱存储规范，生熟食品分开，设有标志；加工荤素食品的盛器、抹布、刀具、砧墩板要专用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素菜不隔餐，荤菜不隔夜，确定未变质后，方可回锅，经烧熟煮透后才能使用，应单独销售，专人负责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成品、半成品和和食品原料应分架存放，盛放器具单独使用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荤素菜、水产清洗池分开，设有明显标记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卤、烤食品销售符合“五专”要求，专人、专室、专用工具、专用消毒设施、专用冷藏设备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禁止销售场外定制或定型包装食品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经检查不符合要求，发现一次处扣5分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食堂使用的肉馅、菜馅须冷藏存放，存放时间不得超过24小时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经检查不符合要求，第一次扣1分/项，当月出现第二次，双倍扣分，以此类推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荤素食品原料应清洗干净后再加工烹调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加工场所收尾卫生工作符合要求，加工场地、设备、器具卫生整洁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食堂纱门、纱窗、地沟盖板保持完好，符合要求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食堂紫外线灯、灭蝇灯保持完好，符合要求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食品留样专人负责，留样品种齐全，有标识，有记录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食堂售卖区设置消毒洗手池（盆）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窗口销售主副食品，一律不得用手直接接触食品，戴一次性手套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hint="eastAsia" w:cs="宋体" w:asciiTheme="minorEastAsia" w:hAnsiTheme="minorEastAsia"/>
                <w:color w:val="000000" w:themeColor="text1"/>
                <w:szCs w:val="21"/>
                <w:highlight w:val="none"/>
                <w:lang w:bidi="ar"/>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w:t>
            </w:r>
            <w:r/>
          </w:p>
          <w:p>
            <w:pPr>
              <w:jc w:val="center"/>
              <w:rPr>
                <w:rFonts w:hint="eastAsia" w:cs="宋体" w:asciiTheme="minorEastAsia" w:hAnsiTheme="minorEastAsia"/>
                <w:color w:val="000000" w:themeColor="text1"/>
                <w:szCs w:val="21"/>
                <w:highlight w:val="none"/>
                <w:lang w:bidi="ar"/>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堂</w:t>
            </w:r>
            <w:r/>
          </w:p>
          <w:p>
            <w:pPr>
              <w:jc w:val="center"/>
              <w:rPr>
                <w:rFonts w:hint="eastAsia" w:cs="宋体" w:asciiTheme="minorEastAsia" w:hAnsiTheme="minorEastAsia"/>
                <w:color w:val="000000" w:themeColor="text1"/>
                <w:szCs w:val="21"/>
                <w:highlight w:val="none"/>
                <w:lang w:bidi="ar"/>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环</w:t>
            </w:r>
            <w:r/>
          </w:p>
          <w:p>
            <w:pPr>
              <w:jc w:val="center"/>
              <w:rPr>
                <w:rFonts w:hint="eastAsia" w:cs="宋体" w:asciiTheme="minorEastAsia" w:hAnsiTheme="minorEastAsia"/>
                <w:color w:val="000000" w:themeColor="text1"/>
                <w:szCs w:val="21"/>
                <w:highlight w:val="none"/>
                <w:lang w:bidi="ar"/>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境</w:t>
            </w:r>
            <w:r/>
          </w:p>
          <w:p>
            <w:pPr>
              <w:jc w:val="center"/>
              <w:rPr>
                <w:rFonts w:hint="eastAsia" w:cs="宋体" w:asciiTheme="minorEastAsia" w:hAnsiTheme="minorEastAsia"/>
                <w:color w:val="000000" w:themeColor="text1"/>
                <w:szCs w:val="21"/>
                <w:highlight w:val="none"/>
                <w:lang w:bidi="ar"/>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卫</w:t>
            </w:r>
            <w:r/>
          </w:p>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食堂周边道路和区域保持整洁，不得乱堆乱放杂物，每天坚持清扫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更衣间专人负责，摆放整齐，无污垢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餐厅保持窗明、地净，桌椅摆放整齐划一，水池清洁，桌椅清洁无污垢，三包场地（楼梯过道、楼梯扶手等）保持清洁无灰尘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加工间设备、设施、工具定位摆放，整洁无污染、无异味；废弃物用加盖专用容器存放，及时清理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后场地沟、地面、墙面清洁干净，无积水，无油垢，无灰尘，无蛛网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男女更衣室清洁，物品摆放整齐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从业人员个人卫生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食堂从业人员应持证上岗，并保持健康证在有效期内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从业人员穿戴整洁的工作衣帽、不留长指甲，站窗口人员戴口罩。男同志不留长胡须、不留长发，女同志不戴耳环、戒指、不抹口红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不得穿戴工作衣帽、围裙上卫生间，做到便后洗手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食堂后场不准吸烟，不得随地吐痰、乱扔垃圾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Height w:val="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餐具清洗消毒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碗、筷、餐盘、盆、桶、饭箱等食堂餐饮器具须严格清洗、消毒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vMerge w:val="restart"/>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餐具消毒专人负责，做好消毒记录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消毒后的餐具，应存放于清洁的保洁柜中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同上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restart"/>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其它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对政府行政部门、学校下发的的食品安全卫生整改意见，应在规定的时间内落实整改到位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逾期未整改，给予超期天数每天扣5分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“校园一卡通”等为学校指定支付方式，不允许收受现金或使用其它支付方式结算费用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经检查不符合要求，发现一次扣5分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定期做好消防设备、燃气报警系统、监控设备的检查，保证设施处在正常状态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经检查不符合要求，设备缺失，发现一次扣1分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不私自拆装、动用消防、报警、监控等设施设备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无故动用消防设施，或人为触发报警的，发现一次扣5分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0" w:type="dxa"/>
            <w:vAlign w:val="center"/>
            <w:vMerge w:val="continue"/>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4"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617"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进出车辆按学校要求办理手续，无乱停放现象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6" w:type="dxa"/>
            <w:vAlign w:val="center"/>
            <w:textDirection w:val="lrTb"/>
            <w:noWrap w:val="false"/>
          </w:tcPr>
          <w:p>
            <w:pPr>
              <w:jc w:val="cente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lang w:bidi="ar"/>
                <w14:textFill>
                  <w14:solidFill>
                    <w14:schemeClr w14:val="tx1"/>
                  </w14:solidFill>
                </w14:textFill>
              </w:rPr>
              <w:t xml:space="preserve">经检查不符合要求，发现一次扣1分/项，同月出现第二次，双倍扣分，以此类推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1" w:type="dxa"/>
            <w:vAlign w:val="center"/>
            <w:textDirection w:val="lrTb"/>
            <w:noWrap w:val="false"/>
          </w:tcPr>
          <w:p>
            <w:pPr>
              <w:rPr>
                <w:rFonts w:hint="eastAsia" w:cs="宋体" w:asciiTheme="minorEastAsia" w:hAnsiTheme="minorEastAsia"/>
                <w:color w:val="000000" w:themeColor="text1"/>
                <w:szCs w:val="21"/>
                <w:highlight w:val="none"/>
                <w14:textFill>
                  <w14:solidFill>
                    <w14:schemeClr w14:val="tx1"/>
                  </w14:solidFill>
                </w14:textFill>
              </w:rPr>
            </w:pPr>
            <w:r>
              <w:rPr>
                <w:rFonts w:hint="eastAsia" w:cs="宋体" w:asciiTheme="minorEastAsia" w:hAnsiTheme="minorEastAsia"/>
                <w:color w:val="000000" w:themeColor="text1"/>
                <w:szCs w:val="21"/>
                <w:highlight w:val="none"/>
                <w14:textFill>
                  <w14:solidFill>
                    <w14:schemeClr w14:val="tx1"/>
                  </w14:solidFill>
                </w14:textFill>
              </w:rPr>
            </w:r>
            <w:r/>
          </w:p>
        </w:tc>
      </w:tr>
    </w:tbl>
    <w:p>
      <w:pPr>
        <w:ind w:firstLine="482"/>
        <w:jc w:val="left"/>
        <w:spacing w:line="360" w:lineRule="auto"/>
        <w:rPr>
          <w:rFonts w:hint="eastAsia"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四、综合说明及其他要求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60" w:name="_Hlk193379214"/>
      <w:r/>
      <w:bookmarkStart w:id="61" w:name="_Hlk117243055"/>
      <w:r>
        <w:rPr>
          <w:rFonts w:hint="eastAsia" w:ascii="宋体" w:hAnsi="宋体" w:eastAsia="宋体" w:cs="宋体"/>
          <w:color w:val="000000" w:themeColor="text1"/>
          <w:sz w:val="24"/>
          <w:szCs w:val="24"/>
          <w:highlight w:val="none"/>
          <w14:textFill>
            <w14:solidFill>
              <w14:schemeClr w14:val="tx1"/>
            </w14:solidFill>
          </w14:textFill>
        </w:rPr>
        <w:t xml:space="preserve">1、供应商提供的服务能够至少达到以上要求，同时明确详细的服务方案，并对所提供的全部资料的真实性承担法律责任。</w:t>
      </w:r>
      <w:bookmarkEnd w:id="60"/>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bookmarkStart w:id="62" w:name="_Hlk193379165"/>
      <w:r>
        <w:rPr>
          <w:rFonts w:hint="eastAsia" w:ascii="宋体" w:hAnsi="宋体" w:eastAsia="宋体" w:cs="宋体"/>
          <w:color w:val="000000" w:themeColor="text1"/>
          <w:sz w:val="24"/>
          <w:szCs w:val="24"/>
          <w:highlight w:val="none"/>
          <w14:textFill>
            <w14:solidFill>
              <w14:schemeClr w14:val="tx1"/>
            </w14:solidFill>
          </w14:textFill>
        </w:rPr>
        <w:t xml:space="preserve">供应商应对所投标段的全部内容进行报价，只投其中部分内容者，其投标（响应）文件将被拒绝。投标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率一次报定，不得更改，</w:t>
      </w:r>
      <w:bookmarkEnd w:id="62"/>
      <w:r>
        <w:rPr>
          <w:rFonts w:hint="eastAsia" w:ascii="宋体" w:hAnsi="宋体" w:eastAsia="宋体" w:cs="宋体"/>
          <w:color w:val="000000" w:themeColor="text1"/>
          <w:sz w:val="24"/>
          <w:szCs w:val="24"/>
          <w:highlight w:val="none"/>
          <w14:textFill>
            <w14:solidFill>
              <w14:schemeClr w14:val="tx1"/>
            </w14:solidFill>
          </w14:textFill>
        </w:rPr>
        <w:t xml:space="preserve">包括但不限于完成该项工作所需的所有服务管理费、税金、人工费用（本项目所有用工人员基本工资、绩效工资、全年福利、年终奖金等）、投入的工作设施设备费用、国家规定的社保、公积金等其他全部费用以及投标人企业利润和政策性文件规定及合同包含的各项应有费用，合同价中还包括耗材、服装、高温费、加班费、节日慰问费、代理服务费、体检费、劳保、各种税费及政策性文件规定及合同包含的所有风险（如人员工资、材料上涨等）、责任等各项应有费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单位须按照本招标文件的要求对该招标项目提供综合服务工作，未经采购单位同意，中标单位不得将项目转包给任何单位和个人，否则，招标单位有权即刻终止合同，并要求中标单位赔偿相应损失。中标单位对服务缺陷不予更正，采购单位有权另请其他单位更正，所发生的费用在剩余合同未付款中扣除。如遇服务范围内有大的调整等重大情况，采购单位将提前告知中标单位，合同内容经双方协商调整。</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5、中标单位将根据招标文件、投标（响应）文件的相关约定，承担合同责任，履行合同义务。</w:t>
      </w:r>
      <w:bookmarkEnd w:id="61"/>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6、付款方式：见合同主要条款。</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7、凡涉及招标文件的补充说明和修改，均以苏州政府采购网发布的内容为准。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left"/>
        <w:rPr>
          <w:rFonts w:hint="eastAsia" w:ascii="宋体" w:hAnsi="宋体" w:eastAsia="宋体" w:cs="宋体"/>
          <w:color w:val="000000" w:themeColor="text1"/>
          <w:highlight w:val="none"/>
          <w14:textFill>
            <w14:solidFill>
              <w14:schemeClr w14:val="tx1"/>
            </w14:solidFill>
          </w14:textFill>
        </w:rPr>
      </w:pPr>
      <w:r/>
      <w:bookmarkStart w:id="63" w:name="_Toc396747046"/>
      <w:r/>
      <w:bookmarkStart w:id="64" w:name="_Toc105940241"/>
      <w:r/>
      <w:r/>
    </w:p>
    <w:p>
      <w:pPr>
        <w:pStyle w:val="832"/>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2"/>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2"/>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2"/>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2"/>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2"/>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2"/>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2"/>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2"/>
        <w:ind w:left="0" w:firstLine="0"/>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pStyle w:val="832"/>
        <w:ind w:firstLine="964"/>
        <w:rPr>
          <w:rFonts w:hint="eastAsia" w:ascii="宋体" w:hAnsi="宋体" w:eastAsia="宋体" w:cs="宋体"/>
          <w:b/>
          <w:color w:val="000000" w:themeColor="text1"/>
          <w:sz w:val="48"/>
          <w:szCs w:val="48"/>
          <w:highlight w:val="none"/>
          <w:shd w:val="clear" w:color="auto" w:fill="ffffff"/>
          <w14:textFill>
            <w14:solidFill>
              <w14:schemeClr w14:val="tx1"/>
            </w14:solidFill>
          </w14:textFill>
        </w:rPr>
      </w:pPr>
      <w:r>
        <w:rPr>
          <w:rFonts w:hint="eastAsia" w:ascii="宋体" w:hAnsi="宋体" w:eastAsia="宋体" w:cs="宋体"/>
          <w:b/>
          <w:color w:val="000000" w:themeColor="text1"/>
          <w:sz w:val="48"/>
          <w:szCs w:val="48"/>
          <w:highlight w:val="none"/>
          <w:shd w:val="clear" w:color="auto" w:fill="ffffff"/>
          <w14:textFill>
            <w14:solidFill>
              <w14:schemeClr w14:val="tx1"/>
            </w14:solidFill>
          </w14:textFill>
        </w:rPr>
      </w:r>
      <w:r/>
    </w:p>
    <w:p>
      <w:pPr>
        <w:jc w:val="center"/>
        <w:keepLines/>
        <w:keepNext/>
        <w:spacing w:before="340" w:after="330" w:line="360" w:lineRule="auto"/>
        <w:rPr>
          <w:rFonts w:hint="eastAsia" w:ascii="宋体" w:hAnsi="宋体" w:eastAsia="宋体" w:cs="宋体"/>
          <w:b/>
          <w:color w:val="000000" w:themeColor="text1"/>
          <w:sz w:val="48"/>
          <w:szCs w:val="48"/>
          <w:highlight w:val="none"/>
          <w:shd w:val="clear" w:color="auto" w:fill="ffffff"/>
          <w14:textFill>
            <w14:solidFill>
              <w14:schemeClr w14:val="tx1"/>
            </w14:solidFill>
          </w14:textFill>
        </w:rPr>
        <w:outlineLvl w:val="0"/>
      </w:pPr>
      <w:r>
        <w:rPr>
          <w:rFonts w:hint="eastAsia" w:ascii="宋体" w:hAnsi="宋体" w:eastAsia="宋体" w:cs="宋体"/>
          <w:b/>
          <w:color w:val="000000" w:themeColor="text1"/>
          <w:sz w:val="48"/>
          <w:szCs w:val="48"/>
          <w:highlight w:val="none"/>
          <w:shd w:val="clear" w:color="auto" w:fill="ffffff"/>
          <w14:textFill>
            <w14:solidFill>
              <w14:schemeClr w14:val="tx1"/>
            </w14:solidFill>
          </w14:textFill>
        </w:rPr>
        <w:t xml:space="preserve">第五章 合同主要条款</w:t>
      </w:r>
      <w:bookmarkEnd w:id="63"/>
      <w:r/>
      <w:bookmarkEnd w:id="64"/>
      <w:r/>
      <w:bookmarkEnd w:id="59"/>
      <w:r/>
      <w:r/>
    </w:p>
    <w:p>
      <w:pPr>
        <w:jc w:val="left"/>
        <w:rPr>
          <w:rFonts w:hint="eastAsia" w:ascii="宋体" w:hAnsi="宋体" w:eastAsia="宋体" w:cs="宋体"/>
          <w:color w:val="000000" w:themeColor="text1"/>
          <w:sz w:val="24"/>
          <w:szCs w:val="24"/>
          <w:highlight w:val="none"/>
          <w14:textFill>
            <w14:solidFill>
              <w14:schemeClr w14:val="tx1"/>
            </w14:solidFill>
          </w14:textFill>
        </w:rPr>
      </w:pPr>
      <w:r/>
      <w:bookmarkStart w:id="65" w:name="_Toc13889378"/>
      <w:r/>
      <w:bookmarkStart w:id="66" w:name="_Toc13642118"/>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32"/>
          <w:szCs w:val="32"/>
          <w:highlight w:val="none"/>
          <w:shd w:val="clear" w:color="auto" w:fill="ffffff"/>
          <w14:textFill>
            <w14:solidFill>
              <w14:schemeClr w14:val="tx1"/>
            </w14:solidFill>
          </w14:textFill>
        </w:rPr>
      </w:pPr>
      <w:r>
        <w:rPr>
          <w:rFonts w:hint="eastAsia" w:ascii="宋体" w:hAnsi="宋体" w:eastAsia="宋体" w:cs="宋体"/>
          <w:b/>
          <w:color w:val="000000" w:themeColor="text1"/>
          <w:sz w:val="32"/>
          <w:szCs w:val="32"/>
          <w:highlight w:val="none"/>
          <w:shd w:val="clear" w:color="auto" w:fill="ffffff"/>
          <w14:textFill>
            <w14:solidFill>
              <w14:schemeClr w14:val="tx1"/>
            </w14:solidFill>
          </w14:textFill>
        </w:rPr>
        <w:t xml:space="preserve">合同主要条款</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甲方（采购人）：</w:t>
      </w:r>
      <w:r>
        <w:rPr>
          <w:rFonts w:hint="eastAsia" w:ascii="宋体" w:hAnsi="宋体" w:eastAsia="宋体" w:cs="宋体"/>
          <w:bCs/>
          <w:color w:val="000000" w:themeColor="text1"/>
          <w:sz w:val="24"/>
          <w:szCs w:val="24"/>
          <w:highlight w:val="none"/>
          <w14:textFill>
            <w14:solidFill>
              <w14:schemeClr w14:val="tx1"/>
            </w14:solidFill>
          </w14:textFill>
        </w:rPr>
        <w:t xml:space="preserve">苏州幼儿师范高等专科学校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地址：苏州市相城区华元路2号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p>
      <w:pPr>
        <w:ind w:firstLine="482"/>
        <w:spacing w:before="100" w:beforeAutospacing="1"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乙方（供应商）：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邮政编码：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                      手机号码：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办公电话：                    电子邮件：</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苏州星创招投标咨询有限公司</w:t>
      </w:r>
      <w:r/>
    </w:p>
    <w:p>
      <w:pPr>
        <w:pStyle w:val="110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val="zh-TW"/>
          <w14:textFill>
            <w14:solidFill>
              <w14:schemeClr w14:val="tx1"/>
            </w14:solidFill>
          </w14:textFill>
        </w:rPr>
        <w:t xml:space="preserve">苏州姑苏区桐泾北路218号今雨荟商务大厦908室</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联系电话：0512-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68153882</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Style w:val="1097"/>
          <w:rFonts w:hint="eastAsia" w:ascii="宋体" w:hAnsi="宋体" w:eastAsia="宋体" w:cs="宋体"/>
          <w:color w:val="000000" w:themeColor="text1"/>
          <w:sz w:val="24"/>
          <w:szCs w:val="24"/>
          <w:highlight w:val="none"/>
          <w14:textFill>
            <w14:solidFill>
              <w14:schemeClr w14:val="tx1"/>
            </w14:solidFill>
          </w14:textFill>
        </w:rPr>
      </w:pPr>
      <w:r>
        <w:rPr>
          <w:rStyle w:val="1097"/>
          <w:rFonts w:hint="eastAsia" w:ascii="宋体" w:hAnsi="宋体" w:eastAsia="宋体" w:cs="宋体"/>
          <w:color w:val="000000" w:themeColor="text1"/>
          <w:sz w:val="24"/>
          <w:szCs w:val="24"/>
          <w:highlight w:val="none"/>
          <w14:textFill>
            <w14:solidFill>
              <w14:schemeClr w14:val="tx1"/>
            </w14:solidFill>
          </w14:textFill>
        </w:rPr>
        <w:t xml:space="preserve">依据甲方委托</w:t>
      </w:r>
      <w:r>
        <w:rPr>
          <w:rStyle w:val="1097"/>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苏州星创招投标咨询有限公司</w:t>
      </w:r>
      <w:r>
        <w:rPr>
          <w:rStyle w:val="1097"/>
          <w:rFonts w:hint="eastAsia" w:ascii="宋体" w:hAnsi="宋体" w:eastAsia="宋体" w:cs="宋体"/>
          <w:color w:val="000000" w:themeColor="text1"/>
          <w:sz w:val="24"/>
          <w:szCs w:val="24"/>
          <w:highlight w:val="none"/>
          <w14:textFill>
            <w14:solidFill>
              <w14:schemeClr w14:val="tx1"/>
            </w14:solidFill>
          </w14:textFill>
        </w:rPr>
        <w:t xml:space="preserve">进行本项目政府采购</w:t>
      </w:r>
      <w:r>
        <w:rPr>
          <w:rStyle w:val="1097"/>
          <w:rFonts w:hint="eastAsia" w:ascii="宋体" w:hAnsi="宋体" w:eastAsia="宋体" w:cs="宋体"/>
          <w:color w:val="000000" w:themeColor="text1"/>
          <w:sz w:val="24"/>
          <w:szCs w:val="24"/>
          <w:highlight w:val="none"/>
          <w:u w:val="single"/>
          <w14:textFill>
            <w14:solidFill>
              <w14:schemeClr w14:val="tx1"/>
            </w14:solidFill>
          </w14:textFill>
        </w:rPr>
        <w:t xml:space="preserve">（采购编号：</w:t>
      </w:r>
      <w:r>
        <w:rPr>
          <w:rStyle w:val="1097"/>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JSZC-320500-XCXC-G2026-0006</w:t>
      </w:r>
      <w:r>
        <w:rPr>
          <w:rStyle w:val="1097"/>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097"/>
          <w:rFonts w:hint="eastAsia" w:ascii="宋体" w:hAnsi="宋体" w:eastAsia="宋体" w:cs="宋体"/>
          <w:color w:val="000000" w:themeColor="text1"/>
          <w:sz w:val="24"/>
          <w:szCs w:val="24"/>
          <w:highlight w:val="none"/>
          <w14:textFill>
            <w14:solidFill>
              <w14:schemeClr w14:val="tx1"/>
            </w14:solidFill>
          </w14:textFill>
        </w:rPr>
        <w:t xml:space="preserve">的采购结果，确定乙方为本次中标供应商，现依照招标文件、乙方的投标文件及相关文件的内容，签订本合同书。</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bookmarkStart w:id="67" w:name="_Hlk172100209"/>
      <w:r>
        <w:rPr>
          <w:rFonts w:hint="eastAsia" w:asciiTheme="minorEastAsia" w:hAnsiTheme="minorEastAsia"/>
          <w:b/>
          <w:bCs/>
          <w:color w:val="000000" w:themeColor="text1"/>
          <w:sz w:val="24"/>
          <w:szCs w:val="24"/>
          <w:highlight w:val="none"/>
          <w14:textFill>
            <w14:solidFill>
              <w14:schemeClr w14:val="tx1"/>
            </w14:solidFill>
          </w14:textFill>
        </w:rPr>
        <w:t xml:space="preserve">一、合同内容</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下列文件为本合同不可分割部分：</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1、中标通知书。</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2、乙方的投标文件。</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3、乙方在招投标过程中所作的其它承诺、声明、书面澄清等。</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4、招标文件及其附件。</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5、合同附件。</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以上与本合同具有同等法律效力</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二、费用及结算</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1、合同</w:t>
      </w:r>
      <w:r>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t xml:space="preserve">优惠</w:t>
      </w:r>
      <w:r>
        <w:rPr>
          <w:rFonts w:hint="eastAsia" w:asciiTheme="minorEastAsia" w:hAnsiTheme="minorEastAsia"/>
          <w:color w:val="000000" w:themeColor="text1"/>
          <w:sz w:val="24"/>
          <w:szCs w:val="24"/>
          <w:highlight w:val="none"/>
          <w14:textFill>
            <w14:solidFill>
              <w14:schemeClr w14:val="tx1"/>
            </w14:solidFill>
          </w14:textFill>
        </w:rPr>
        <w:t xml:space="preserve">率：</w:t>
      </w:r>
      <w:r>
        <w:rPr>
          <w:rFonts w:hint="eastAsia" w:asciiTheme="minorEastAsia" w:hAnsiTheme="minorEastAsia"/>
          <w:color w:val="000000" w:themeColor="text1"/>
          <w:sz w:val="24"/>
          <w:szCs w:val="24"/>
          <w:highlight w:val="none"/>
          <w:u w:val="single"/>
          <w14:textFill>
            <w14:solidFill>
              <w14:schemeClr w14:val="tx1"/>
            </w14:solidFill>
          </w14:textFill>
        </w:rPr>
        <w:t xml:space="preserve">         </w:t>
      </w:r>
      <w:r>
        <w:rPr>
          <w:rFonts w:hint="eastAsia" w:asciiTheme="minorEastAsia" w:hAnsiTheme="minorEastAsia"/>
          <w:color w:val="000000" w:themeColor="text1"/>
          <w:sz w:val="24"/>
          <w:szCs w:val="24"/>
          <w:highlight w:val="none"/>
          <w14:textFill>
            <w14:solidFill>
              <w14:schemeClr w14:val="tx1"/>
            </w14:solidFill>
          </w14:textFill>
        </w:rPr>
        <w:t xml:space="preserve">%。包括但不限于完成该项工作所需的所有服务管理费、税金、人工费用（本项目所有用工人员基本工资、绩效工资、全年福利、年终奖金等）、投入的工作设施设备费用、国家规定的社保、公积金等其他全部费用以及投标人企业利润和政策性文件规定及合同包含的各项应有费用，合同价中还包括耗材、服装、高温费、加班费、节日慰问费、代理服务费、体检费、劳保、各种税费及政策性文件规定及合同包含的所有风险（如人员工资、材料上涨等）、责任等各项应有费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2、合同价款的支付及付款方式</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（1）甲方每月对乙方服务进行考核，根据考核结果支付当月服务费用。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（2）服务费（人员成本费用+管理费）结算金额：【当月餐费总收入（包括教职工+学生）-食材费用-食堂用所有易耗品费用-其它相关食堂需承担的费用】。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（1）如每月实际毛利率大于合同毛利率，按每月实际收入*合同毛利率进行结算。</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（2）全年服务费累计不得超过2100000元（人民币）。</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（3）考核标准：</w:t>
      </w:r>
      <w:r/>
    </w:p>
    <w:p>
      <w:pPr>
        <w:ind w:firstLine="787"/>
        <w:jc w:val="left"/>
        <w:spacing w:line="360" w:lineRule="auto"/>
        <w:shd w:val="clear" w:color="auto" w:fill="auto"/>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支付的价款为当月考核得分在90分以上（含90分）的支付当月应付全部费用。考核得分在80分以上（含80分）90分以下的，每少1分扣除当月应付费用的1%，考核得分低于80分的为不合格，扣除当月应付费用的15%，甲方书面告知</w:t>
      </w:r>
      <w:r>
        <w:rPr>
          <w:rFonts w:hint="eastAsia" w:ascii="宋体" w:hAnsi="宋体" w:cs="宋体"/>
          <w:color w:val="000000" w:themeColor="text1"/>
          <w:sz w:val="24"/>
          <w:highlight w:val="none"/>
          <w:lang w:val="en-US" w:eastAsia="zh-CN"/>
          <w14:textFill>
            <w14:solidFill>
              <w14:schemeClr w14:val="tx1"/>
            </w14:solidFill>
          </w14:textFill>
        </w:rPr>
        <w:t xml:space="preserve">服务单位</w:t>
      </w:r>
      <w:r>
        <w:rPr>
          <w:rFonts w:hint="eastAsia" w:ascii="宋体" w:hAnsi="宋体" w:cs="宋体"/>
          <w:color w:val="000000" w:themeColor="text1"/>
          <w:sz w:val="24"/>
          <w:highlight w:val="none"/>
          <w14:textFill>
            <w14:solidFill>
              <w14:schemeClr w14:val="tx1"/>
            </w14:solidFill>
          </w14:textFill>
        </w:rPr>
        <w:t xml:space="preserve">整改，整改期限为一个月，若经整改后仍不能达到要求，甲方有权终止合同，并无需支付因终止合同而产生的相关费用。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3、甲方根据乙方在本合同中所提供银行开户信息转账支付。</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乙方开户名称：</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开户银行：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银行账号：</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数字人民币账号：</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4、乙方要求付款应提供以下资料</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（1）合格的销售发票。</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（2）由甲乙双方及采购代理机构签章的《政府采购合同履行验收报告》。</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5、支付方式：数字人民币转账、银行转账、银行汇票或转账支票，具体支付方式甲方有权根据财务安排自主选择。</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6、甲方将根据月度考核检查情况调整每月实际支付金额。</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7、甲方支付此项费用外不再承担其它任何费用（包括个人），服务人员的薪金、福利、休假日补贴等由乙方付给，与甲方无关。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8、确因甲方工作需要，乙方应无条件配合甲方完成一些突击工作。如：安排服务人员（内部）临时加班等。</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三、服务内容及要求</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详见第四章。</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四、甲、乙双方的责任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1、甲方责任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（1）为乙方提供所需相关场地及设备，并指定专人作为甲方联系人予以协调工作。加强与乙方沟通，交流情况，互通信息。</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（2）甲方应教育所属人员尊重乙方工作人员的劳动成果，积极配合乙方工作人员履行好合同所规定的职责和义务。</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（3）甲方招标文件、投标文件、采购合同和考核办法的相关服务标准每月实行检查考核，对工作中的不足将以书面形式汇总至乙方，要求乙方根据要求限期整改并在相应支付的款额中进行抵扣。</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2、乙方责任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（1）乙方在从事食堂外包服务工作中应当做到文明工作、安全生产，采取必要的安全防范措施，合同期内若发生安全事故由乙方承担，与甲方无关。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（2）乙方应及时调整不适应工作需求的服务人员。如甲方认为该员工不能胜任本职工作的，必须调整。</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五、违约责任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1、甲方违约责任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（1）在合同生效后，甲方无故要求解除合同的，应向乙方偿付合同总价款5%的违约金，违约金不足以补偿损失的，乙方有权要求甲方补足。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（2）甲方逾期付款的应按照逾期付款金额的每天万分之四支付逾期付款违约金。</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2、乙方的违约责任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（1）在合同生效后，乙方无故要求解除合同的，应向甲方偿付合同总价款5%的违约金，违约金不足以补偿损失的，甲方有权要求乙方补足。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（3）乙方必须自己完成合同内容，不得自行分包，否则，甲方有权按乙方不能完成合同处理；乙方需要分包的都必须在投标文件中明确单位承担和承担单位的情况介绍。</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（4）乙方应执行国家有关规定（如苏州最低工资标准和其他规定），负责乙方员工的生病、事故、伤残、死亡和劳务纠纷，甲方不承担任何相关责任。</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（5）乙方负有对自己员工的安全责任，甲方不承担任何相关责任。</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六、不可抗力</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2、本条所述的“不可抗力”系指那些双方无法控制，不可预见的事件，但不包括双方的违约或疏忽。这些事件包括但不限于：战争、严重火灾、洪水、台风、地震以及其它双方商定的事件。</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七、争端的解决</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1、甲方和乙方应通过友好协商，解决在执行本合同过程中所发生的或与本合同有关的一切争端。如从协商开始十天内仍不能解决，可向有关合同管理部门提请调解。</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2、如果调解不成，双方中的任何一方可向人民法院提起诉讼。诉讼由合同签订地人民法院管辖。</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3、诉讼费由败诉方负担。</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4、因合同部分履行引发诉讼的，在诉讼期间，除正在进行诉讼的部分外，本合同的其它部分应继续执行。</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八、违约终止合同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1、在甲方因乙方违约而按合同约定采取的任何补救措施不受影响的情况下，甲方可在下列情况下向乙方发出书面通知，提出终止部分或全部合同。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（1）如果乙方未能在合同规定的限期或甲方同意延长的限期内提供部分或全部服务。</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（2）如果乙方未能履行合同规定的其它任何义务。</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如果乙方在本合同的竞争或实施中有腐败和欺诈行为。为此，定义如下：“腐败行为”是指提供、给予、接受或索取任何有价值的东西来影响甲方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3、如果甲方违约，应承担相应的违约责任。</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九、破产终止合同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十、政府采购法对政府采购合同变更终止的规定</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十一、合同的解除和转让</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1、有下列情形之一，合同一方可以解除合同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（1）因不可抗力致使不能实现合同目的，未受不可抗力影响的一方有权解除合同；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（2）因合同一方违约导致合同不能履行，另一方有权解除合同；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（3）因乙方在履行合同过程中造成社会不良影响的，甲方有权解除合同。</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3、合同的部分和全部都不得转让。</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4、依据预留项目和价格扣除等优惠政策获取政府采购合同后，小型、微型企业不得分包或转包给大型、中型企业，中型企业不得分包或转包给大型企业。</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5、本合同履行过程中出现危害国家利益和社会公共利益问题的，甲方有权立即终止合同。</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十二、需要补充的合同条款</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根据评标过程中或者商务谈判时商定的条款和条件在订立合同时标明。</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十三、合同的生效</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本合同在双方签字或盖章后生效。</w:t>
      </w:r>
      <w:r/>
    </w:p>
    <w:p>
      <w:pPr>
        <w:ind w:firstLine="482"/>
        <w:spacing w:line="360" w:lineRule="auto"/>
        <w:rPr>
          <w:rFonts w:hint="eastAsia" w:asciiTheme="minorEastAsia" w:hAnsiTheme="minorEastAsia"/>
          <w:b/>
          <w:bCs/>
          <w:color w:val="000000" w:themeColor="text1"/>
          <w:sz w:val="24"/>
          <w:szCs w:val="24"/>
          <w:highlight w:val="none"/>
          <w14:textFill>
            <w14:solidFill>
              <w14:schemeClr w14:val="tx1"/>
            </w14:solidFill>
          </w14:textFill>
        </w:rPr>
      </w:pPr>
      <w:r>
        <w:rPr>
          <w:rFonts w:hint="eastAsia" w:asciiTheme="minorEastAsia" w:hAnsiTheme="minorEastAsia"/>
          <w:b/>
          <w:bCs/>
          <w:color w:val="000000" w:themeColor="text1"/>
          <w:sz w:val="24"/>
          <w:szCs w:val="24"/>
          <w:highlight w:val="none"/>
          <w14:textFill>
            <w14:solidFill>
              <w14:schemeClr w14:val="tx1"/>
            </w14:solidFill>
          </w14:textFill>
        </w:rPr>
        <w:t xml:space="preserve">十四、附则</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1、本合同一式</w:t>
      </w:r>
      <w:r>
        <w:rPr>
          <w:rFonts w:hint="eastAsia" w:asciiTheme="minorEastAsia" w:hAnsiTheme="minorEastAsia"/>
          <w:color w:val="000000" w:themeColor="text1"/>
          <w:sz w:val="24"/>
          <w:szCs w:val="24"/>
          <w:highlight w:val="none"/>
          <w:u w:val="single"/>
          <w14:textFill>
            <w14:solidFill>
              <w14:schemeClr w14:val="tx1"/>
            </w14:solidFill>
          </w14:textFill>
        </w:rPr>
        <w:t xml:space="preserve"> 五 </w:t>
      </w:r>
      <w:r>
        <w:rPr>
          <w:rFonts w:hint="eastAsia" w:asciiTheme="minorEastAsia" w:hAnsiTheme="minorEastAsia"/>
          <w:color w:val="000000" w:themeColor="text1"/>
          <w:sz w:val="24"/>
          <w:szCs w:val="24"/>
          <w:highlight w:val="none"/>
          <w14:textFill>
            <w14:solidFill>
              <w14:schemeClr w14:val="tx1"/>
            </w14:solidFill>
          </w14:textFill>
        </w:rPr>
        <w:t xml:space="preserve">份，甲方</w:t>
      </w:r>
      <w:r>
        <w:rPr>
          <w:rFonts w:hint="eastAsia" w:asciiTheme="minorEastAsia" w:hAnsiTheme="minorEastAsia"/>
          <w:color w:val="000000" w:themeColor="text1"/>
          <w:sz w:val="24"/>
          <w:szCs w:val="24"/>
          <w:highlight w:val="none"/>
          <w:u w:val="single"/>
          <w14:textFill>
            <w14:solidFill>
              <w14:schemeClr w14:val="tx1"/>
            </w14:solidFill>
          </w14:textFill>
        </w:rPr>
        <w:t xml:space="preserve"> 两 </w:t>
      </w:r>
      <w:r>
        <w:rPr>
          <w:rFonts w:hint="eastAsia" w:asciiTheme="minorEastAsia" w:hAnsiTheme="minorEastAsia"/>
          <w:color w:val="000000" w:themeColor="text1"/>
          <w:sz w:val="24"/>
          <w:szCs w:val="24"/>
          <w:highlight w:val="none"/>
          <w14:textFill>
            <w14:solidFill>
              <w14:schemeClr w14:val="tx1"/>
            </w14:solidFill>
          </w14:textFill>
        </w:rPr>
        <w:t xml:space="preserve">份，乙方</w:t>
      </w:r>
      <w:r>
        <w:rPr>
          <w:rFonts w:hint="eastAsia" w:asciiTheme="minorEastAsia" w:hAnsiTheme="minorEastAsia"/>
          <w:color w:val="000000" w:themeColor="text1"/>
          <w:sz w:val="24"/>
          <w:szCs w:val="24"/>
          <w:highlight w:val="none"/>
          <w:u w:val="single"/>
          <w14:textFill>
            <w14:solidFill>
              <w14:schemeClr w14:val="tx1"/>
            </w14:solidFill>
          </w14:textFill>
        </w:rPr>
        <w:t xml:space="preserve"> 两 </w:t>
      </w:r>
      <w:r>
        <w:rPr>
          <w:rFonts w:hint="eastAsia" w:asciiTheme="minorEastAsia" w:hAnsiTheme="minorEastAsia"/>
          <w:color w:val="000000" w:themeColor="text1"/>
          <w:sz w:val="24"/>
          <w:szCs w:val="24"/>
          <w:highlight w:val="none"/>
          <w14:textFill>
            <w14:solidFill>
              <w14:schemeClr w14:val="tx1"/>
            </w14:solidFill>
          </w14:textFill>
        </w:rPr>
        <w:t xml:space="preserve">份，采购代理机构</w:t>
      </w:r>
      <w:r>
        <w:rPr>
          <w:rFonts w:hint="eastAsia" w:asciiTheme="minorEastAsia" w:hAnsiTheme="minorEastAsia"/>
          <w:color w:val="000000" w:themeColor="text1"/>
          <w:sz w:val="24"/>
          <w:szCs w:val="24"/>
          <w:highlight w:val="none"/>
          <w:u w:val="single"/>
          <w14:textFill>
            <w14:solidFill>
              <w14:schemeClr w14:val="tx1"/>
            </w14:solidFill>
          </w14:textFill>
        </w:rPr>
        <w:t xml:space="preserve"> 一 </w:t>
      </w:r>
      <w:r>
        <w:rPr>
          <w:rFonts w:hint="eastAsia" w:asciiTheme="minorEastAsia" w:hAnsiTheme="minorEastAsia"/>
          <w:color w:val="000000" w:themeColor="text1"/>
          <w:sz w:val="24"/>
          <w:szCs w:val="24"/>
          <w:highlight w:val="none"/>
          <w14:textFill>
            <w14:solidFill>
              <w14:schemeClr w14:val="tx1"/>
            </w14:solidFill>
          </w14:textFill>
        </w:rPr>
        <w:t xml:space="preserve">份。</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2、本合同文件使用中文书写、解释和说明。</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3、本合同履行过程中产生的纪要、协议以及中标通知书、投标（响应）文件和采购文件为本合同的附件，与合同具有同等效力。</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4、未尽事宜</w:t>
      </w:r>
      <w:r/>
    </w:p>
    <w:p>
      <w:pPr>
        <w:ind w:firstLine="480"/>
        <w:spacing w:line="360" w:lineRule="auto"/>
        <w:rPr>
          <w:rFonts w:hint="eastAsia" w:asciiTheme="minorEastAsia" w:hAnsiTheme="minorEastAsia"/>
          <w:color w:val="000000" w:themeColor="text1"/>
          <w:sz w:val="24"/>
          <w:szCs w:val="24"/>
          <w:highlight w:val="none"/>
          <w14:textFill>
            <w14:solidFill>
              <w14:schemeClr w14:val="tx1"/>
            </w14:solidFill>
          </w14:textFill>
        </w:rPr>
      </w:pPr>
      <w:r>
        <w:rPr>
          <w:rFonts w:hint="eastAsia" w:asciiTheme="minorEastAsia" w:hAnsiTheme="minorEastAsia"/>
          <w:color w:val="000000" w:themeColor="text1"/>
          <w:sz w:val="24"/>
          <w:szCs w:val="24"/>
          <w:highlight w:val="none"/>
          <w14:textFill>
            <w14:solidFill>
              <w14:schemeClr w14:val="tx1"/>
            </w14:solidFill>
          </w14:textFill>
        </w:rPr>
        <w:t xml:space="preserve">按《中华人民共和国民法典》、《中华人民共和国政府采购法》及其他有关的法律法规的规定执行。</w:t>
      </w:r>
      <w:r/>
    </w:p>
    <w:p>
      <w:pPr>
        <w:ind w:firstLine="480"/>
        <w:spacing w:line="360" w:lineRule="auto"/>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t xml:space="preserve">甲方：</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w:t>
      </w:r>
      <w:r>
        <w:rPr>
          <w:rFonts w:hint="eastAsia" w:ascii="宋体" w:hAnsi="宋体" w:eastAsia="宋体" w:cs="宋体"/>
          <w:b/>
          <w:color w:val="000000" w:themeColor="text1"/>
          <w:sz w:val="24"/>
          <w:szCs w:val="24"/>
          <w:highlight w:val="non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t xml:space="preserve">乙方： </w:t>
      </w:r>
      <w:r/>
    </w:p>
    <w:p>
      <w:pPr>
        <w:ind w:firstLine="480"/>
        <w:spacing w:line="360" w:lineRule="auto"/>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t xml:space="preserve">（加盖公章或合同专用章）                    （加盖公章或合同专用章）</w:t>
      </w:r>
      <w:r/>
    </w:p>
    <w:p>
      <w:pPr>
        <w:ind w:firstLine="480"/>
        <w:spacing w:line="360" w:lineRule="auto"/>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t xml:space="preserve">法定代表人签字或签章：                      法定代表人签字或签章：  </w:t>
      </w:r>
      <w:r/>
    </w:p>
    <w:p>
      <w:pPr>
        <w:ind w:firstLine="480"/>
        <w:spacing w:line="360" w:lineRule="auto"/>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zh-CN"/>
          <w14:textFill>
            <w14:solidFill>
              <w14:schemeClr w14:val="tx1"/>
            </w14:solidFill>
          </w14:textFill>
        </w:rPr>
        <w:t xml:space="preserve">签约日期：    年    月    日                签约日期：    年    月    日</w:t>
      </w:r>
      <w:bookmarkEnd w:id="67"/>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400" w:lineRule="exact"/>
        <w:shd w:val="clear" w:color="auto" w:fill="auto"/>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合同附件：</w:t>
      </w:r>
      <w:r/>
    </w:p>
    <w:p>
      <w:pPr>
        <w:jc w:val="center"/>
        <w:spacing w:line="360" w:lineRule="auto"/>
        <w:shd w:val="clear" w:color="auto" w:fill="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考核标准</w:t>
      </w:r>
      <w:r/>
    </w:p>
    <w:tbl>
      <w:tblPr>
        <w:tblStyle w:val="790"/>
        <w:tblW w:w="9381" w:type="dxa"/>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3750"/>
        <w:gridCol w:w="1880"/>
        <w:gridCol w:w="915"/>
        <w:gridCol w:w="2178"/>
      </w:tblGrid>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食堂卫生与管理考核标准表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地面、下水道、明沟积有污水、污物</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连续3次无问题，加0.5分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墙壁、门窗、天花板有积尘、油污、蜘蛛网和涂层脱落</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月度清洁记录完整，加0.5分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厨房内垃圾桶未及时加盖</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垃圾分类达标，加1分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设备、设施、用具未保持卫生清洁</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冷库未专人保管、定时清洗</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外来无关人员进入厨房</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加工与烹调卫生考核标准表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荤素食品未分池清洗</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月度抽检合格率100%，加1分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清洗后食品接触地面</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生熟食品刀、砧板未分开</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菜肴中发现异物（如头发、虫等）</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连续季度无投诉，加2分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未按季节调整菜单（每周重复菜品超3次，每两周菜单雷同）</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创新菜品获好评，每道加0.5分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未满足特殊饮食需求（如素食）</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提供多样化选择，加1分</w:t>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r>
            <w:r/>
          </w:p>
          <w:p>
            <w:pPr>
              <w:jc w:val="center"/>
              <w:shd w:val="clear" w:color="auto" w:fill="auto"/>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r>
            <w:r/>
          </w:p>
          <w:p>
            <w:pPr>
              <w:jc w:val="center"/>
              <w:shd w:val="clear" w:color="auto" w:fill="auto"/>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r>
            <w:r/>
          </w:p>
          <w:p>
            <w:pPr>
              <w:jc w:val="center"/>
              <w:shd w:val="clear" w:color="auto" w:fill="auto"/>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r>
            <w:r/>
          </w:p>
          <w:p>
            <w:pPr>
              <w:jc w:val="center"/>
              <w:shd w:val="clear" w:color="auto" w:fill="auto"/>
              <w:widowControl/>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r>
            <w:r/>
          </w:p>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服务与菜肴质量考核标准表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服务态度冷漠或与顾客争执</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餐台未及时补充餐具/调料</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未处理顾客投诉（超24小时）</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投诉解决率100%，加1分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未提供标准化份量（±10%）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份量精准率≥98%，加1分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未在电子提示窗提供菜品信息或信息有误</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工作期间未保持通讯顺畅，无故失联影响工作</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个人卫生与行为规范考核标准表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员工未穿戴整洁工作服</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月度仪容仪表全优，加1分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工作区吸烟、吃零食</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季度无违规记录，加1分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未定期参加卫生培训</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每人次扣0.5分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全员持有效健康证，加1分</w:t>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食品采购与贮存考核标准表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使用过期食品</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发现一次扣2分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季度无过期记录，加2分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未分类存放食品（生熟混放）</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库房管理评级优秀，加1分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未记录食材采购批次</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发现一次扣0.5分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溯源系统完善，加1分</w:t>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节能管理考核标准表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检查项目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扣分标准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用能规范及节能降耗现场执行情况</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检查</w:t>
            </w:r>
            <w:r>
              <w:rPr>
                <w:rFonts w:hint="eastAsia" w:ascii="宋体" w:hAnsi="宋体" w:cs="宋体"/>
                <w:color w:val="000000" w:themeColor="text1"/>
                <w:szCs w:val="21"/>
                <w:highlight w:val="none"/>
                <w:lang w:bidi="ar"/>
                <w14:textFill>
                  <w14:solidFill>
                    <w14:schemeClr w14:val="tx1"/>
                  </w14:solidFill>
                </w14:textFill>
              </w:rPr>
              <w:t xml:space="preserve">未达标扣1分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6</w:t>
            </w:r>
            <w:r>
              <w:rPr>
                <w:rFonts w:hint="eastAsia" w:ascii="宋体" w:hAnsi="宋体" w:cs="宋体"/>
                <w:color w:val="000000" w:themeColor="text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检查时未发现类似情况</w:t>
            </w:r>
            <w:r>
              <w:rPr>
                <w:rFonts w:hint="eastAsia" w:ascii="宋体" w:hAnsi="宋体" w:cs="宋体"/>
                <w:color w:val="000000" w:themeColor="text1"/>
                <w:szCs w:val="21"/>
                <w:highlight w:val="none"/>
                <w:lang w:bidi="ar"/>
                <w14:textFill>
                  <w14:solidFill>
                    <w14:schemeClr w14:val="tx1"/>
                  </w14:solidFill>
                </w14:textFill>
              </w:rPr>
              <w:t xml:space="preserve">，加2分</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食堂水电运行保障及节能管理制度建设</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制度不完善</w:t>
            </w:r>
            <w:r>
              <w:rPr>
                <w:rFonts w:hint="eastAsia" w:ascii="宋体" w:hAnsi="宋体" w:cs="宋体"/>
                <w:color w:val="000000" w:themeColor="text1"/>
                <w:szCs w:val="21"/>
                <w:highlight w:val="none"/>
                <w:lang w:bidi="ar"/>
                <w14:textFill>
                  <w14:solidFill>
                    <w14:schemeClr w14:val="tx1"/>
                  </w14:solidFill>
                </w14:textFill>
              </w:rPr>
              <w:t xml:space="preserve">扣0.5分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6</w:t>
            </w:r>
            <w:r>
              <w:rPr>
                <w:rFonts w:hint="eastAsia" w:ascii="宋体" w:hAnsi="宋体" w:cs="宋体"/>
                <w:color w:val="000000" w:themeColor="text1"/>
                <w:szCs w:val="21"/>
                <w:highlight w:val="none"/>
                <w:lang w:bidi="ar"/>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能耗同比降低10%，加2分</w:t>
            </w:r>
            <w:r/>
          </w:p>
        </w:tc>
      </w:tr>
      <w:tr>
        <w:trPr>
          <w:trHeight w:val="697"/>
        </w:trPr>
        <w:tc>
          <w:tcPr>
            <w:tcBorders>
              <w:top w:val="none" w:color="000000" w:sz="4" w:space="0"/>
              <w:left w:val="none" w:color="000000" w:sz="4" w:space="0"/>
              <w:bottom w:val="none" w:color="000000" w:sz="4" w:space="0"/>
              <w:right w:val="none" w:color="000000" w:sz="4" w:space="0"/>
            </w:tcBorders>
            <w:tcW w:w="65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3750" w:type="dxa"/>
            <w:vAlign w:val="center"/>
            <w:textDirection w:val="lrTb"/>
            <w:noWrap/>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奖励项考核标准表</w:t>
            </w:r>
            <w:r/>
          </w:p>
        </w:tc>
        <w:tc>
          <w:tcPr>
            <w:tcBorders>
              <w:top w:val="none" w:color="000000" w:sz="4" w:space="0"/>
              <w:left w:val="none" w:color="000000" w:sz="4" w:space="0"/>
              <w:bottom w:val="none" w:color="000000" w:sz="4" w:space="0"/>
              <w:right w:val="none" w:color="000000" w:sz="4" w:space="0"/>
            </w:tcBorders>
            <w:tcW w:w="1880"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2178"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22"/>
                <w:szCs w:val="22"/>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加分项目</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加分标准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基本分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加分项</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食品安全零事故</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年度无事故，加2分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包含食物中毒、重大投诉</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满意度测评率高于90%</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达标加1分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2分</w:t>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需提供书面证明</w:t>
            </w:r>
            <w:r/>
          </w:p>
        </w:tc>
      </w:tr>
      <w:tr>
        <w:trPr>
          <w:trHeight w:val="69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shd w:val="clear" w:color="auto" w:fill="auto"/>
              <w:widowControl/>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员工技能竞赛获奖</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区级加1分，市级加2分</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hd w:val="clear" w:color="auto" w:fill="auto"/>
              <w:rPr>
                <w:rFonts w:hint="eastAsia"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val="false"/>
          </w:tcPr>
          <w:p>
            <w:pPr>
              <w:jc w:val="center"/>
              <w:shd w:val="clear" w:color="auto" w:fill="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需提供证书</w:t>
            </w:r>
            <w:r/>
          </w:p>
        </w:tc>
      </w:tr>
    </w:tbl>
    <w:p>
      <w:pPr>
        <w:shd w:val="clear" w:color="auto" w:fil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注：每季应支付的合同价款在次月20日前向</w:t>
      </w:r>
      <w:r>
        <w:rPr>
          <w:rFonts w:hint="eastAsia" w:eastAsia="宋体"/>
          <w:color w:val="000000" w:themeColor="text1"/>
          <w:highlight w:val="none"/>
          <w:lang w:eastAsia="zh-CN"/>
          <w14:textFill>
            <w14:solidFill>
              <w14:schemeClr w14:val="tx1"/>
            </w14:solidFill>
          </w14:textFill>
        </w:rPr>
        <w:t xml:space="preserve">中标单位</w:t>
      </w:r>
      <w:r>
        <w:rPr>
          <w:rFonts w:hint="eastAsia"/>
          <w:color w:val="000000" w:themeColor="text1"/>
          <w:highlight w:val="none"/>
          <w14:textFill>
            <w14:solidFill>
              <w14:schemeClr w14:val="tx1"/>
            </w14:solidFill>
          </w14:textFill>
        </w:rPr>
        <w:t xml:space="preserve">支付。每月应支付的价款为当月考核得分在90分以上（含90分）的支付当月应付全部费用。考核得分在80分以上（含80分）90分以下的，每少1分扣除当月应付费用的1%，考核得分低于80分的为不合格，扣除当月应付费用的15%，甲方书面告知</w:t>
      </w:r>
      <w:r>
        <w:rPr>
          <w:rFonts w:hint="eastAsia"/>
          <w:color w:val="000000" w:themeColor="text1"/>
          <w:highlight w:val="none"/>
          <w:lang w:val="en-US" w:eastAsia="zh-CN"/>
          <w14:textFill>
            <w14:solidFill>
              <w14:schemeClr w14:val="tx1"/>
            </w14:solidFill>
          </w14:textFill>
        </w:rPr>
        <w:t xml:space="preserve">服务单位</w:t>
      </w:r>
      <w:r>
        <w:rPr>
          <w:rFonts w:hint="eastAsia"/>
          <w:color w:val="000000" w:themeColor="text1"/>
          <w:highlight w:val="none"/>
          <w14:textFill>
            <w14:solidFill>
              <w14:schemeClr w14:val="tx1"/>
            </w14:solidFill>
          </w14:textFill>
        </w:rPr>
        <w:t xml:space="preserve">整改，整改期限为一个月，若经整改后仍不能达到要求，甲方有权终止合同，并无需支付因终止合同而产生的相关费用。</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bookmarkStart w:id="68" w:name="_Toc105940242"/>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ind w:firstLine="520"/>
        <w:jc w:val="left"/>
        <w:spacing w:line="360" w:lineRule="auto"/>
        <w:rPr>
          <w:rFonts w:hint="eastAsia" w:ascii="宋体" w:hAnsi="宋体" w:eastAsia="宋体" w:cs="宋体"/>
          <w:color w:val="000000" w:themeColor="text1"/>
          <w:sz w:val="26"/>
          <w:szCs w:val="20"/>
          <w:highlight w:val="none"/>
          <w:shd w:val="clear" w:color="auto" w:fill="ffffff"/>
          <w14:textFill>
            <w14:solidFill>
              <w14:schemeClr w14:val="tx1"/>
            </w14:solidFill>
          </w14:textFill>
        </w:rPr>
      </w:pPr>
      <w:r>
        <w:rPr>
          <w:rFonts w:hint="eastAsia" w:ascii="宋体" w:hAnsi="宋体" w:eastAsia="宋体" w:cs="宋体"/>
          <w:color w:val="000000" w:themeColor="text1"/>
          <w:sz w:val="26"/>
          <w:szCs w:val="20"/>
          <w:highlight w:val="none"/>
          <w:shd w:val="clear" w:color="auto" w:fill="ffffff"/>
          <w14:textFill>
            <w14:solidFill>
              <w14:schemeClr w14:val="tx1"/>
            </w14:solidFill>
          </w14:textFill>
        </w:rPr>
      </w:r>
      <w:r/>
    </w:p>
    <w:p>
      <w:pPr>
        <w:jc w:val="center"/>
        <w:keepLines/>
        <w:keepNext/>
        <w:spacing w:before="340" w:after="330" w:line="360" w:lineRule="auto"/>
        <w:rPr>
          <w:rFonts w:hint="eastAsia" w:ascii="宋体" w:hAnsi="宋体" w:eastAsia="宋体" w:cs="宋体"/>
          <w:b/>
          <w:color w:val="000000" w:themeColor="text1"/>
          <w:sz w:val="52"/>
          <w:szCs w:val="20"/>
          <w:highlight w:val="none"/>
          <w:shd w:val="clear" w:color="auto" w:fill="ffffff"/>
          <w14:textFill>
            <w14:solidFill>
              <w14:schemeClr w14:val="tx1"/>
            </w14:solidFill>
          </w14:textFill>
        </w:rPr>
        <w:outlineLvl w:val="0"/>
      </w:pPr>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第六章 评分</w:t>
      </w:r>
      <w:bookmarkEnd w:id="65"/>
      <w:r/>
      <w:bookmarkEnd w:id="66"/>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标准</w:t>
      </w:r>
      <w:bookmarkEnd w:id="68"/>
      <w:r/>
      <w:r/>
    </w:p>
    <w:p>
      <w:pPr>
        <w:ind w:firstLine="52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1"/>
      </w:pPr>
      <w:r/>
      <w:bookmarkStart w:id="69" w:name="OLE_LINK2"/>
      <w:r>
        <w:rPr>
          <w:rFonts w:hint="eastAsia" w:ascii="宋体" w:hAnsi="宋体" w:eastAsia="宋体" w:cs="宋体"/>
          <w:color w:val="000000" w:themeColor="text1"/>
          <w:sz w:val="26"/>
          <w:szCs w:val="20"/>
          <w:highlight w:val="none"/>
          <w:shd w:val="clear" w:color="auto" w:fill="ffffff"/>
          <w14:textFill>
            <w14:solidFill>
              <w14:schemeClr w14:val="tx1"/>
            </w14:solidFill>
          </w14:textFill>
        </w:rPr>
        <w:br w:type="page" w:clear="all"/>
      </w:r>
      <w:bookmarkEnd w:id="69"/>
      <w:r>
        <w:rPr>
          <w:rFonts w:hint="eastAsia" w:ascii="宋体" w:hAnsi="宋体" w:eastAsia="宋体" w:cs="宋体"/>
          <w:b/>
          <w:bCs/>
          <w:color w:val="000000" w:themeColor="text1"/>
          <w:sz w:val="24"/>
          <w:szCs w:val="24"/>
          <w:highlight w:val="none"/>
          <w14:textFill>
            <w14:solidFill>
              <w14:schemeClr w14:val="tx1"/>
            </w14:solidFill>
          </w14:textFill>
        </w:rPr>
        <w:t xml:space="preserve">一、评标办法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1、评价和比较采用综合评分法，即指投标（响应）文件满足招标文件全部实质性要求，且按照评审因素的量化指标评审得分最高的供应商为排名第一的中标候选人的评标方法。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2、评标委员会各成员独立对每个进入打分程序的有效投标（响应）单位的标书技术和资质部分以打分的形式进行评审和评价。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评委的评分(除价格分外)进行统计汇总，直接算术平均，计算出每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4、评标委员会根据采购人的授权，按照中标候选人的顺序在中标候选人中直接确定中标供应商。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评分标准</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（一）价格基准分：</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10 </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1.本项目所报价格为优惠率报价（优惠率=1-折扣率）；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2.在有效投标报价中选择报价优惠率最高者的优惠率为评标基准优惠率，得满分，其他供应商的分值按照下列公式计算（计算结果四舍五入保留两位小数）：</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投标报价得分=【（1-评标基准优惠率）/（1-投标优惠率）】*折扣权值*100（本次招标折扣权值</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（二）技术部分：</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68</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119"/>
        <w:gridCol w:w="4677"/>
        <w:gridCol w:w="1241"/>
      </w:tblGrid>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评分项名称</w:t>
            </w:r>
            <w:r/>
          </w:p>
        </w:tc>
        <w:tc>
          <w:tcPr>
            <w:tcW w:w="467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评分标准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食堂管理制度比较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食堂管理组织架构、食堂各岗位规章制度，食堂内部管理制度、员工培训及奖惩制度等。内容全面完整详细、具有明确针对性、操作流程清晰明了的得8分；内容完整、针对性不突出、操作流程存在不明确的得5分；无实质性内容、针对性缺失、操作流程不具备可实施性的得3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0,3,5,8</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食堂原料采购方案比较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集中采购的管理办法、索证索票制度、原材料验收制度、原材料储存制度等。方案内容全面完整详细、具有明确针对性、操作流程清晰明了的得6分；方案内容完整、针对性不突出、操作流程存在不明确的得3分；方案无实质性内容、针对性缺失、操作流程不具备可实施性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食堂卫生管理制度比较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人员卫生、环境卫生、垃圾处理等方案。方案内容全面完整详细、具有明确针对性、操作流程清晰明了的得8分；方案内容完整、针对性不突出、操作流程存在不明确的得5分；方案无实质性内容、针对性缺失、操作流程不具备可实施性的得3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0,3,5,8</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食堂安全管理制度比较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食品安全管理、消防安全管理、机械安全管理、人身安全管理等方案。方案内容全面完整详细、具有明确针对性、操作流程清晰明了的得6分；方案内容完整、针对性不突出、操作流程存在不明确的得3分；方案无实质性内容、针对性缺失、操作流程不具备可实施性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食堂设备保养维修方案比较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对设备维护与保养等方案。方案内容全面完整详细、具有明确针对性、操作流程清晰明了的得6分；方案内容完整、针对性不突出、操作流程存在不明确的得3分；方案无实质性内容、针对性缺失、操作流程不具备可实施性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食堂五常法管理方案比较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五常法管理方案及员工培训等方案。方案内容全面完整详细、具有明确针对性、操作流程清晰明了的得6分；方案内容完整、针对性不突出、操作流程存在不明确的得3分；方案无实质性内容、针对性缺失、操作流程不具备可实施性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食堂菜品方案比较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菜品丰富，营养搭配合理（早餐不得少于20种，中晚餐菜品不得少于30种）。菜品丰富，营养搭配合理的得6分；菜品较为丰富，营养搭配较为合理的得3分；菜品较少、营养搭配一般的得1分；未提供不得分。早餐、中晚餐菜品少于最少要求的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食堂应急预案比较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包括食品安全、突发事件、灾害事件等应急预案。有自有中央厨房应急的得6分；有合作中央厨房应急的得3分；有其他应急预案的得1分；未提供不得分。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食堂投诉方案比较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包括投诉渠道及处理办法等。内容全面完整详细、操作流程清晰明了的得6分；方案内容完整但操作流程存在不明确的得3分；方案无实质性内容、操作流程不具备可实施性的得1分；未提供不得分。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0,1,3,6</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项目经理比较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投标单位拟派驻食堂的项目经理：具有高级职业经理人证书的得2分；具有公共营养师高级证书的得2分；具有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食品安全总监</w:t>
            </w:r>
            <w:r>
              <w:rPr>
                <w:rFonts w:hint="eastAsia" w:ascii="宋体" w:hAnsi="宋体" w:eastAsia="宋体" w:cs="宋体"/>
                <w:bCs/>
                <w:color w:val="000000" w:themeColor="text1"/>
                <w:sz w:val="24"/>
                <w:szCs w:val="24"/>
                <w:highlight w:val="none"/>
                <w14:textFill>
                  <w14:solidFill>
                    <w14:schemeClr w14:val="tx1"/>
                  </w14:solidFill>
                </w14:textFill>
              </w:rPr>
              <w:t xml:space="preserve">证书的得2分；本项最高得6分。投标文件中提供相关证书扫描件及投标单位为其缴纳的近期社保证明扫描件，未提供或提供不全的不得分。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r>
      <w:tr>
        <w:trPr>
          <w:jc w:val="center"/>
        </w:trPr>
        <w:tc>
          <w:tcPr>
            <w:tcW w:w="817" w:type="dxa"/>
            <w:vAlign w:val="center"/>
            <w:textDirection w:val="lrTb"/>
            <w:noWrap w:val="false"/>
          </w:tcPr>
          <w:p>
            <w:pPr>
              <w:jc w:val="center"/>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厨师团队</w:t>
            </w:r>
            <w:r>
              <w:rPr>
                <w:rFonts w:hint="eastAsia" w:ascii="宋体" w:hAnsi="宋体" w:eastAsia="宋体" w:cs="宋体"/>
                <w:bCs/>
                <w:color w:val="000000" w:themeColor="text1"/>
                <w:sz w:val="24"/>
                <w:szCs w:val="24"/>
                <w:highlight w:val="none"/>
                <w14:textFill>
                  <w14:solidFill>
                    <w14:schemeClr w14:val="tx1"/>
                  </w14:solidFill>
                </w14:textFill>
              </w:rPr>
              <w:t xml:space="preserve">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投标单位拟派驻食堂的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厨师团队：具有中式烹调师高级证书的，</w:t>
            </w:r>
            <w:r>
              <w:rPr>
                <w:rFonts w:hint="eastAsia" w:ascii="宋体" w:hAnsi="宋体" w:eastAsia="宋体" w:cs="宋体"/>
                <w:bCs/>
                <w:color w:val="000000" w:themeColor="text1"/>
                <w:sz w:val="24"/>
                <w:szCs w:val="24"/>
                <w:highlight w:val="none"/>
                <w14:textFill>
                  <w14:solidFill>
                    <w14:schemeClr w14:val="tx1"/>
                  </w14:solidFill>
                </w14:textFill>
              </w:rPr>
              <w:t xml:space="preserve">得2分；本项最高得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分。投标文件中提供相关证书扫描件及投标单位为其缴纳的近期社保证明扫描件，未提供或提供不全的不得分。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p>
        </w:tc>
      </w:tr>
    </w:tbl>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（三）商务部分：</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2</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bl>
      <w:tblPr>
        <w:tblStyle w:val="7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119"/>
        <w:gridCol w:w="4677"/>
        <w:gridCol w:w="1241"/>
      </w:tblGrid>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评分项名称</w:t>
            </w:r>
            <w:r/>
          </w:p>
        </w:tc>
        <w:tc>
          <w:tcPr>
            <w:tcW w:w="467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评分标准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认证证书比较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投标单位具有有效期内的质量管理体系认证证书、环境管理体系认证证书、职业健康安全管理体系认证证书、食品安全管理体系认证证书的，有一个得2分，最高得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分。投标文件中提供相关证书扫描件及在中国国家认证认可监督管理委员会官网查询截图，未提供或提供不全的不得分。</w:t>
            </w:r>
            <w:r/>
          </w:p>
        </w:tc>
        <w:tc>
          <w:tcPr>
            <w:tcW w:w="1241" w:type="dxa"/>
            <w:vAlign w:val="center"/>
            <w:textDirection w:val="lrTb"/>
            <w:noWrap w:val="false"/>
          </w:tcPr>
          <w:p>
            <w:pPr>
              <w:jc w:val="center"/>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业绩比较</w:t>
            </w:r>
            <w:r/>
          </w:p>
        </w:tc>
        <w:tc>
          <w:tcPr>
            <w:tcW w:w="4677" w:type="dxa"/>
            <w:vAlign w:val="center"/>
            <w:textDirection w:val="lrTb"/>
            <w:noWrap w:val="false"/>
          </w:tcPr>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投标单位自202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年1月1日至今（以合同签订时间为准）具有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餐饮</w:t>
            </w:r>
            <w:r>
              <w:rPr>
                <w:rFonts w:hint="eastAsia" w:ascii="宋体" w:hAnsi="宋体" w:eastAsia="宋体" w:cs="宋体"/>
                <w:bCs/>
                <w:color w:val="000000" w:themeColor="text1"/>
                <w:sz w:val="24"/>
                <w:szCs w:val="24"/>
                <w:highlight w:val="none"/>
                <w14:textFill>
                  <w14:solidFill>
                    <w14:schemeClr w14:val="tx1"/>
                  </w14:solidFill>
                </w14:textFill>
              </w:rPr>
              <w:t xml:space="preserve">项目业绩的，有一个得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分，最高得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分。投标文件中提供相关完整合同扫描件，未提供或提供不全的不得分。</w:t>
            </w:r>
            <w:r/>
          </w:p>
        </w:tc>
        <w:tc>
          <w:tcPr>
            <w:tcW w:w="1241" w:type="dxa"/>
            <w:vAlign w:val="center"/>
            <w:textDirection w:val="lrTb"/>
            <w:noWrap w:val="false"/>
          </w:tcPr>
          <w:p>
            <w:pPr>
              <w:jc w:val="center"/>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p>
        </w:tc>
      </w:tr>
      <w:tr>
        <w:trPr>
          <w:jc w:val="center"/>
        </w:trPr>
        <w:tc>
          <w:tcPr>
            <w:tcW w:w="817"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W w:w="3119" w:type="dxa"/>
            <w:vAlign w:val="center"/>
            <w:textDirection w:val="lrTb"/>
            <w:noWrap w:val="false"/>
          </w:tcPr>
          <w:p>
            <w:pPr>
              <w:jc w:val="cente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企业荣誉</w:t>
            </w:r>
            <w:r>
              <w:rPr>
                <w:rFonts w:hint="eastAsia" w:ascii="宋体" w:hAnsi="宋体" w:eastAsia="宋体" w:cs="宋体"/>
                <w:bCs/>
                <w:color w:val="000000" w:themeColor="text1"/>
                <w:sz w:val="24"/>
                <w:szCs w:val="24"/>
                <w:highlight w:val="none"/>
                <w14:textFill>
                  <w14:solidFill>
                    <w14:schemeClr w14:val="tx1"/>
                  </w14:solidFill>
                </w14:textFill>
              </w:rPr>
              <w:t xml:space="preserve">比较</w:t>
            </w:r>
            <w:r/>
          </w:p>
        </w:tc>
        <w:tc>
          <w:tcPr>
            <w:tcW w:w="4677" w:type="dxa"/>
            <w:vAlign w:val="center"/>
            <w:textDirection w:val="lrTb"/>
            <w:noWrap w:val="false"/>
          </w:tcPr>
          <w:p>
            <w:pPr>
              <w:numPr>
                <w:ilvl w:val="0"/>
                <w:numId w:val="0"/>
              </w:numPr>
              <w:jc w:val="both"/>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投标单位</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具有省级餐饮行业协会颁发的荣誉证书</w:t>
            </w:r>
            <w:r>
              <w:rPr>
                <w:rFonts w:hint="eastAsia" w:ascii="宋体" w:hAnsi="宋体" w:eastAsia="宋体" w:cs="宋体"/>
                <w:bCs/>
                <w:color w:val="000000" w:themeColor="text1"/>
                <w:sz w:val="24"/>
                <w:szCs w:val="24"/>
                <w:highlight w:val="none"/>
                <w14:textFill>
                  <w14:solidFill>
                    <w14:schemeClr w14:val="tx1"/>
                  </w14:solidFill>
                </w14:textFill>
              </w:rPr>
              <w:t xml:space="preserve">，有一个得2分，最高得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W w:w="1241" w:type="dxa"/>
            <w:vAlign w:val="center"/>
            <w:textDirection w:val="lrTb"/>
            <w:noWrap w:val="false"/>
          </w:tcPr>
          <w:p>
            <w:pPr>
              <w:jc w:val="center"/>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p>
        </w:tc>
      </w:tr>
    </w:tbl>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针对评分标准中评分的每一条，供应商在投标（响应）文件中均应提供相关资料的清晰扫描件并作出相应说明供评委评判，未提供或提供不完整的视为不具备该项得分的条件。</w:t>
      </w:r>
      <w:r/>
    </w:p>
    <w:p>
      <w:pPr>
        <w:ind w:firstLine="482"/>
        <w:spacing w:line="360" w:lineRule="auto"/>
        <w:rPr>
          <w:rFonts w:hint="eastAsia" w:ascii="宋体" w:hAnsi="宋体" w:eastAsia="宋体" w:cs="宋体"/>
          <w:b/>
          <w:color w:val="000000" w:themeColor="text1"/>
          <w:szCs w:val="21"/>
          <w:highlight w:val="none"/>
          <w14:textFill>
            <w14:solidFill>
              <w14:schemeClr w14:val="tx1"/>
            </w14:solidFill>
          </w14:textFill>
        </w:rPr>
        <w:outlineLvl w:val="1"/>
      </w:pPr>
      <w:r/>
      <w:bookmarkStart w:id="70" w:name="_Toc48723925"/>
      <w:r/>
      <w:bookmarkStart w:id="71" w:name="_Toc105940243"/>
      <w:r>
        <w:rPr>
          <w:rFonts w:hint="eastAsia" w:ascii="宋体" w:hAnsi="宋体" w:eastAsia="宋体" w:cs="宋体"/>
          <w:b/>
          <w:bCs/>
          <w:color w:val="000000" w:themeColor="text1"/>
          <w:sz w:val="24"/>
          <w:szCs w:val="24"/>
          <w:highlight w:val="none"/>
          <w14:textFill>
            <w14:solidFill>
              <w14:schemeClr w14:val="tx1"/>
            </w14:solidFill>
          </w14:textFill>
        </w:rPr>
        <w:t xml:space="preserve">三、政府采购政策</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（一）中、小企业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72" w:name="_Hlk193380633"/>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1、本项目属于专门面向中小企业的项目。</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2、本项目采购标的对应的中小企业划分标准所属行业为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餐饮业</w:t>
      </w:r>
      <w:r>
        <w:rPr>
          <w:rFonts w:hint="eastAsia" w:ascii="宋体" w:hAnsi="宋体" w:eastAsia="宋体" w:cs="宋体"/>
          <w:color w:val="000000" w:themeColor="text1"/>
          <w:sz w:val="24"/>
          <w:szCs w:val="24"/>
          <w:highlight w:val="none"/>
          <w14:textFill>
            <w14:solidFill>
              <w14:schemeClr w14:val="tx1"/>
            </w14:solidFill>
          </w14:textFill>
        </w:rPr>
        <w:t xml:space="preserve">，承接服务的供应商应为中小微企业、监狱企业、残疾人福利性单位。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中小微企业划型标准根据《中小企业划型标准规定》（工信部联企业【2011】300号）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6、若供应商提供的《中小企业声明函》为虚假声明则视同提供虚假材料，按政府采购相关规定处理并报请政府监管部门给予行政处罚。</w:t>
      </w:r>
      <w:bookmarkEnd w:id="72"/>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（二）残疾人福利性单位</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（三）监狱企业</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br w:type="page" w:clear="all"/>
      </w:r>
      <w:r/>
    </w:p>
    <w:p>
      <w:pPr>
        <w:pStyle w:val="8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00"/>
        <w:jc w:val="lef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00"/>
        <w:jc w:val="lef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00"/>
        <w:jc w:val="lef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keepNext/>
        <w:spacing w:before="340" w:after="330" w:line="360" w:lineRule="auto"/>
        <w:rPr>
          <w:rFonts w:hint="eastAsia" w:ascii="宋体" w:hAnsi="宋体" w:eastAsia="宋体" w:cs="宋体"/>
          <w:color w:val="000000" w:themeColor="text1"/>
          <w:highlight w:val="none"/>
          <w14:textFill>
            <w14:solidFill>
              <w14:schemeClr w14:val="tx1"/>
            </w14:solidFill>
          </w14:textFill>
        </w:rPr>
        <w:outlineLvl w:val="0"/>
      </w:pPr>
      <w:r>
        <w:rPr>
          <w:rFonts w:hint="eastAsia" w:ascii="宋体" w:hAnsi="宋体" w:eastAsia="宋体" w:cs="宋体"/>
          <w:b/>
          <w:color w:val="000000" w:themeColor="text1"/>
          <w:sz w:val="52"/>
          <w:szCs w:val="20"/>
          <w:highlight w:val="none"/>
          <w:shd w:val="clear" w:color="auto" w:fill="ffffff"/>
          <w14:textFill>
            <w14:solidFill>
              <w14:schemeClr w14:val="tx1"/>
            </w14:solidFill>
          </w14:textFill>
        </w:rPr>
        <w:t xml:space="preserve">第七章 附件</w:t>
      </w:r>
      <w:bookmarkEnd w:id="70"/>
      <w:r/>
      <w:bookmarkEnd w:id="71"/>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附件1：政府采购合同信用融资政策告知函</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
          <w14:textFill>
            <w14:solidFill>
              <w14:schemeClr w14:val="tx1"/>
            </w14:solidFill>
          </w14:textFill>
        </w:rPr>
        <w:t xml:space="preserve">附件2：中小企业</w:t>
      </w:r>
      <w:r>
        <w:rPr>
          <w:rFonts w:hint="eastAsia" w:ascii="宋体" w:hAnsi="宋体" w:eastAsia="宋体" w:cs="宋体"/>
          <w:b/>
          <w:bCs/>
          <w:color w:val="000000" w:themeColor="text1"/>
          <w:sz w:val="24"/>
          <w:szCs w:val="24"/>
          <w:highlight w:val="none"/>
          <w14:textFill>
            <w14:solidFill>
              <w14:schemeClr w14:val="tx1"/>
            </w14:solidFill>
          </w14:textFill>
        </w:rPr>
        <w:t xml:space="preserve">相关要求</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附件3：中小企业划型标准规定</w:t>
      </w:r>
      <w:r>
        <w:rPr>
          <w:rFonts w:hint="eastAsia" w:ascii="宋体" w:hAnsi="宋体" w:eastAsia="宋体" w:cs="宋体"/>
          <w:b/>
          <w:color w:val="000000" w:themeColor="text1"/>
          <w:sz w:val="24"/>
          <w:szCs w:val="24"/>
          <w:highlight w:val="none"/>
          <w14:textFill>
            <w14:solidFill>
              <w14:schemeClr w14:val="tx1"/>
            </w14:solidFill>
          </w14:textFill>
        </w:rPr>
        <w:t xml:space="preserve">（工信部联企业〔2011〕300号）</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附件1：</w:t>
      </w:r>
      <w:r/>
    </w:p>
    <w:p>
      <w:pPr>
        <w:jc w:val="center"/>
        <w:spacing w:line="360" w:lineRule="auto"/>
        <w:widowControl/>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8"/>
          <w:szCs w:val="24"/>
          <w:highlight w:val="none"/>
          <w14:textFill>
            <w14:solidFill>
              <w14:schemeClr w14:val="tx1"/>
            </w14:solidFill>
          </w14:textFill>
        </w:rPr>
        <w:t xml:space="preserve">政府采购合同信用融资政策告知函</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各政府采购供应商：</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欢迎贵公司参加苏州市政府采购活动！</w:t>
      </w:r>
      <w:r/>
    </w:p>
    <w:p>
      <w:pPr>
        <w:ind w:firstLine="48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pStyle w:val="1024"/>
        <w:ind w:firstLine="0"/>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附件2：</w:t>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
          <w14:textFill>
            <w14:solidFill>
              <w14:schemeClr w14:val="tx1"/>
            </w14:solidFill>
          </w14:textFill>
        </w:rPr>
        <w:t xml:space="preserve">中小企业</w:t>
      </w:r>
      <w:r>
        <w:rPr>
          <w:rFonts w:hint="eastAsia" w:ascii="宋体" w:hAnsi="宋体" w:eastAsia="宋体" w:cs="宋体"/>
          <w:b/>
          <w:bCs/>
          <w:color w:val="000000" w:themeColor="text1"/>
          <w:sz w:val="24"/>
          <w:szCs w:val="24"/>
          <w:highlight w:val="none"/>
          <w14:textFill>
            <w14:solidFill>
              <w14:schemeClr w14:val="tx1"/>
            </w14:solidFill>
          </w14:textFill>
        </w:rPr>
        <w:t xml:space="preserve">相关要求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000000" w:themeColor="text1"/>
          <w:sz w:val="24"/>
          <w:szCs w:val="24"/>
          <w:highlight w:val="none"/>
          <w14:textFill>
            <w14:solidFill>
              <w14:schemeClr w14:val="tx1"/>
            </w14:solidFill>
          </w14:textFill>
        </w:rPr>
        <w:t xml:space="preserve">服务类项目中供应商若使用退休人员，将不享受相应扶持政策。</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000000" w:themeColor="text1"/>
          <w:sz w:val="24"/>
          <w:szCs w:val="24"/>
          <w:highlight w:val="none"/>
          <w14:textFill>
            <w14:solidFill>
              <w14:schemeClr w14:val="tx1"/>
            </w14:solidFill>
          </w14:textFill>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如未对（中型企业、小型企业、微型企业）进行勾选，视同非中小微企业，不可享受相应扶持政策</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4.中标（成交）单位为中小企业的，《中小企业声明函》将随中标（成交）结果同时公告。</w:t>
      </w:r>
      <w:r>
        <w:rPr>
          <w:rFonts w:hint="eastAsia" w:ascii="宋体" w:hAnsi="宋体" w:eastAsia="宋体" w:cs="宋体"/>
          <w:b/>
          <w:color w:val="000000" w:themeColor="text1"/>
          <w:highlight w:val="none"/>
          <w14:textFill>
            <w14:solidFill>
              <w14:schemeClr w14:val="tx1"/>
            </w14:solidFill>
          </w14:textFill>
        </w:rPr>
        <w:br w:type="page" w:clear="all"/>
      </w:r>
      <w:r/>
    </w:p>
    <w:p>
      <w:pPr>
        <w:pStyle w:val="1024"/>
        <w:ind w:firstLine="0"/>
        <w:jc w:val="lef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附件3：</w:t>
      </w:r>
      <w:r/>
    </w:p>
    <w:p>
      <w:pPr>
        <w:pStyle w:val="1024"/>
        <w:ind w:firstLine="0"/>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中小企业划型标准规定</w:t>
      </w:r>
      <w:r>
        <w:rPr>
          <w:rFonts w:hint="eastAsia" w:ascii="宋体" w:hAnsi="宋体" w:eastAsia="宋体" w:cs="宋体"/>
          <w:b/>
          <w:color w:val="000000" w:themeColor="text1"/>
          <w:highlight w:val="none"/>
          <w14:textFill>
            <w14:solidFill>
              <w14:schemeClr w14:val="tx1"/>
            </w14:solidFill>
          </w14:textFill>
        </w:rPr>
        <w:t xml:space="preserve">（工信部联企业〔2011〕300号）</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（一）农、林、牧、渔业。</w:t>
      </w:r>
      <w:r>
        <w:rPr>
          <w:rFonts w:hint="eastAsia" w:ascii="宋体" w:hAnsi="宋体" w:eastAsia="宋体" w:cs="宋体"/>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（二）工业。</w:t>
      </w:r>
      <w:r>
        <w:rPr>
          <w:rFonts w:hint="eastAsia" w:ascii="宋体" w:hAnsi="宋体" w:eastAsia="宋体" w:cs="宋体"/>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（三）建筑业。</w:t>
      </w:r>
      <w:r>
        <w:rPr>
          <w:rFonts w:hint="eastAsia" w:ascii="宋体" w:hAnsi="宋体" w:eastAsia="宋体" w:cs="宋体"/>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（四）批发业。</w:t>
      </w:r>
      <w:r>
        <w:rPr>
          <w:rFonts w:hint="eastAsia" w:ascii="宋体" w:hAnsi="宋体" w:eastAsia="宋体" w:cs="宋体"/>
          <w:color w:val="000000" w:themeColor="text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（五）零售业。</w:t>
      </w:r>
      <w:r>
        <w:rPr>
          <w:rFonts w:hint="eastAsia" w:ascii="宋体" w:hAnsi="宋体" w:eastAsia="宋体" w:cs="宋体"/>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（六）交通运输业。</w:t>
      </w:r>
      <w:r>
        <w:rPr>
          <w:rFonts w:hint="eastAsia" w:ascii="宋体" w:hAnsi="宋体" w:eastAsia="宋体" w:cs="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（七）仓储业。</w:t>
      </w:r>
      <w:r>
        <w:rPr>
          <w:rFonts w:hint="eastAsia" w:ascii="宋体" w:hAnsi="宋体" w:eastAsia="宋体" w:cs="宋体"/>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（八）邮政业。</w:t>
      </w:r>
      <w:r>
        <w:rPr>
          <w:rFonts w:hint="eastAsia" w:ascii="宋体" w:hAnsi="宋体" w:eastAsia="宋体" w:cs="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（九）住宿业。</w:t>
      </w:r>
      <w:r>
        <w:rPr>
          <w:rFonts w:hint="eastAsia" w:ascii="宋体" w:hAnsi="宋体" w:eastAsia="宋体" w:cs="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（十）餐饮业。</w:t>
      </w:r>
      <w:r>
        <w:rPr>
          <w:rFonts w:hint="eastAsia" w:ascii="宋体" w:hAnsi="宋体" w:eastAsia="宋体" w:cs="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（十一）信息传输业。</w:t>
      </w:r>
      <w:r>
        <w:rPr>
          <w:rFonts w:hint="eastAsia" w:ascii="宋体" w:hAnsi="宋体" w:eastAsia="宋体" w:cs="宋体"/>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（十二）软件和信息技术服务业。</w:t>
      </w:r>
      <w:r>
        <w:rPr>
          <w:rFonts w:hint="eastAsia" w:ascii="宋体" w:hAnsi="宋体" w:eastAsia="宋体" w:cs="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（十三）房地产开发经营。</w:t>
      </w:r>
      <w:r>
        <w:rPr>
          <w:rFonts w:hint="eastAsia" w:ascii="宋体" w:hAnsi="宋体" w:eastAsia="宋体" w:cs="宋体"/>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（十四）物业管理。</w:t>
      </w:r>
      <w:r>
        <w:rPr>
          <w:rFonts w:hint="eastAsia" w:ascii="宋体" w:hAnsi="宋体" w:eastAsia="宋体" w:cs="宋体"/>
          <w:color w:val="000000" w:themeColor="text1"/>
          <w:highlight w:val="none"/>
          <w14:textFill>
            <w14:solidFill>
              <w14:schemeClr w14:val="tx1"/>
            </w14:solidFill>
          </w14:textFill>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（十五）租赁和商务服务业。</w:t>
      </w:r>
      <w:r>
        <w:rPr>
          <w:rFonts w:hint="eastAsia" w:ascii="宋体" w:hAnsi="宋体" w:eastAsia="宋体" w:cs="宋体"/>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（十六）其他未列明行业。</w:t>
      </w:r>
      <w:r>
        <w:rPr>
          <w:rFonts w:hint="eastAsia" w:ascii="宋体" w:hAnsi="宋体" w:eastAsia="宋体" w:cs="宋体"/>
          <w:color w:val="000000" w:themeColor="text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r>
      <w:r/>
    </w:p>
    <w:p>
      <w:pPr>
        <w:jc w:val="righ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0"/>
          <w:highlight w:val="none"/>
          <w:shd w:val="clear" w:color="auto" w:fill="ffffff"/>
          <w14:textFill>
            <w14:solidFill>
              <w14:schemeClr w14:val="tx1"/>
            </w14:solidFill>
          </w14:textFill>
        </w:rPr>
        <w:t xml:space="preserve">（全文完）</w:t>
      </w:r>
      <w:r/>
    </w:p>
    <w:sectPr>
      <w:headerReference w:type="default" r:id="rId12"/>
      <w:footerReference w:type="default" r:id="rId16"/>
      <w:footnotePr/>
      <w:endnotePr/>
      <w:type w:val="nextPage"/>
      <w:pgSz w:w="11906" w:h="16838" w:orient="portrait"/>
      <w:pgMar w:top="1134" w:right="1134" w:bottom="1134" w:left="1134"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12"/>
                            <w:rPr>
                              <w:rFonts w:hint="eastAsia"/>
                            </w:rPr>
                          </w:pPr>
                          <w:r>
                            <w:rPr>
                              <w:rFonts w:hint="eastAsia"/>
                            </w:r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12"/>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Fonts w:hint="eastAsia"/>
      </w:rPr>
    </w:pPr>
    <w:r>
      <w:rPr>
        <w:rFonts w:hint="eastAsia"/>
      </w:rPr>
      <w:t xml:space="preserve">第</w:t>
    </w:r>
    <w:sdt>
      <w:sdtPr>
        <w15:appearance w15:val="boundingBox"/>
        <w:id w:val="1689094317"/>
        <w:docPartObj>
          <w:docPartGallery w:val="autotext"/>
        </w:docPartObj>
        <w:rPr/>
      </w:sdtPr>
      <w:sdtContent>
        <w:r>
          <w:fldChar w:fldCharType="begin"/>
        </w:r>
        <w:r>
          <w:instrText xml:space="preserve">PAGE   \* MERGEFORMAT</w:instrText>
        </w:r>
        <w:r>
          <w:fldChar w:fldCharType="separate"/>
        </w:r>
        <w:r>
          <w:rPr>
            <w:lang w:val="zh-CN"/>
          </w:rPr>
          <w:t xml:space="preserve">2</w:t>
        </w:r>
        <w:r>
          <w:fldChar w:fldCharType="end"/>
        </w:r>
        <w:r>
          <w:rPr>
            <w:rFonts w:hint="eastAsia"/>
          </w:rPr>
          <w:t xml:space="preserve">页</w:t>
        </w:r>
      </w:sdtContent>
    </w:sdt>
    <w:r/>
    <w:r/>
  </w:p>
  <w:p>
    <w:pPr>
      <w:jc w:val="left"/>
      <w:tabs>
        <w:tab w:val="left" w:pos="4013" w:leader="none"/>
      </w:tabs>
      <w:rPr>
        <w:rFonts w:hint="eastAsia" w:ascii="宋体" w:hAnsi="宋体" w:eastAsia="宋体"/>
        <w:sz w:val="18"/>
        <w:szCs w:val="18"/>
      </w:rPr>
    </w:pPr>
    <w:r>
      <w:rPr>
        <w:rFonts w:hint="eastAsia" w:ascii="宋体" w:hAnsi="宋体" w:eastAsia="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rPr>
        <w:rFonts w:hint="default" w:ascii="宋体" w:hAnsi="宋体" w:eastAsia="宋体"/>
        <w:color w:val="ff0000"/>
        <w:lang w:val="en-US" w:eastAsia="zh-CN"/>
      </w:rPr>
    </w:pPr>
    <w:r>
      <w:rPr>
        <w:rFonts w:hint="eastAsia" w:ascii="宋体" w:hAnsi="宋体" w:eastAsia="宋体"/>
      </w:rPr>
      <w:t xml:space="preserve">政府采购招标文件                                       </w:t>
    </w:r>
    <w:r>
      <w:rPr>
        <w:rFonts w:hint="eastAsia" w:ascii="宋体" w:hAnsi="宋体" w:eastAsia="宋体"/>
        <w:lang w:val="en-US" w:eastAsia="zh-CN"/>
      </w:rPr>
      <w:t xml:space="preserve">           </w:t>
    </w:r>
    <w:r>
      <w:rPr>
        <w:rFonts w:hint="eastAsia" w:ascii="宋体" w:hAnsi="宋体" w:eastAsia="宋体"/>
      </w:rPr>
      <w:t xml:space="preserve">  标号：</w:t>
    </w:r>
    <w:r>
      <w:rPr>
        <w:rFonts w:hint="eastAsia" w:ascii="宋体" w:hAnsi="宋体" w:eastAsia="宋体"/>
        <w:color w:val="auto"/>
        <w:lang w:eastAsia="zh-CN"/>
      </w:rPr>
      <w:t xml:space="preserve">JSZC-320500-XCXC-G2026-0006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53"/>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28"/>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780">
    <w:name w:val="Heading 1"/>
    <w:basedOn w:val="779"/>
    <w:next w:val="779"/>
    <w:link w:val="990"/>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81">
    <w:name w:val="Heading 2"/>
    <w:basedOn w:val="779"/>
    <w:next w:val="779"/>
    <w:link w:val="991"/>
    <w:uiPriority w:val="0"/>
    <w:qFormat/>
    <w:pPr>
      <w:jc w:val="left"/>
      <w:keepLines/>
      <w:keepNext/>
      <w:outlineLvl w:val="1"/>
    </w:pPr>
    <w:rPr>
      <w:rFonts w:ascii="宋体" w:hAnsi="宋体" w:eastAsia="楷体_GB2312" w:cs="Times New Roman"/>
      <w:b/>
      <w:sz w:val="26"/>
      <w:szCs w:val="20"/>
    </w:rPr>
  </w:style>
  <w:style w:type="paragraph" w:styleId="782">
    <w:name w:val="Heading 3"/>
    <w:basedOn w:val="779"/>
    <w:next w:val="779"/>
    <w:link w:val="992"/>
    <w:uiPriority w:val="0"/>
    <w:qFormat/>
    <w:pPr>
      <w:jc w:val="left"/>
      <w:keepLines/>
      <w:keepNext/>
      <w:outlineLvl w:val="2"/>
    </w:pPr>
    <w:rPr>
      <w:rFonts w:ascii="Calibri" w:hAnsi="Calibri" w:eastAsia="楷体_GB2312" w:cs="Times New Roman"/>
      <w:b/>
      <w:sz w:val="26"/>
      <w:szCs w:val="20"/>
    </w:rPr>
  </w:style>
  <w:style w:type="paragraph" w:styleId="783">
    <w:name w:val="Heading 4"/>
    <w:basedOn w:val="779"/>
    <w:next w:val="779"/>
    <w:link w:val="993"/>
    <w:uiPriority w:val="0"/>
    <w:qFormat/>
    <w:pPr>
      <w:keepLines/>
      <w:keepNext/>
      <w:spacing w:before="280" w:after="290" w:line="376" w:lineRule="auto"/>
      <w:outlineLvl w:val="3"/>
    </w:pPr>
    <w:rPr>
      <w:rFonts w:ascii="Arial" w:hAnsi="Arial" w:eastAsia="黑体" w:cs="Times New Roman"/>
      <w:b/>
      <w:bCs/>
      <w:sz w:val="28"/>
      <w:szCs w:val="28"/>
    </w:rPr>
  </w:style>
  <w:style w:type="paragraph" w:styleId="784">
    <w:name w:val="Heading 5"/>
    <w:basedOn w:val="779"/>
    <w:next w:val="779"/>
    <w:link w:val="994"/>
    <w:uiPriority w:val="0"/>
    <w:qFormat/>
    <w:pPr>
      <w:keepNext/>
      <w:outlineLvl w:val="4"/>
    </w:pPr>
    <w:rPr>
      <w:rFonts w:ascii="宋体" w:hAnsi="宋体" w:eastAsia="宋体" w:cs="Times New Roman"/>
      <w:color w:val="000000"/>
      <w:sz w:val="28"/>
      <w:szCs w:val="20"/>
    </w:rPr>
  </w:style>
  <w:style w:type="paragraph" w:styleId="785">
    <w:name w:val="Heading 6"/>
    <w:basedOn w:val="779"/>
    <w:next w:val="779"/>
    <w:link w:val="995"/>
    <w:uiPriority w:val="0"/>
    <w:qFormat/>
    <w:pPr>
      <w:keepNext/>
      <w:outlineLvl w:val="5"/>
    </w:pPr>
    <w:rPr>
      <w:rFonts w:ascii="宋体" w:hAnsi="宋体" w:eastAsia="宋体" w:cs="Times New Roman"/>
      <w:sz w:val="28"/>
      <w:szCs w:val="20"/>
    </w:rPr>
  </w:style>
  <w:style w:type="paragraph" w:styleId="786">
    <w:name w:val="Heading 7"/>
    <w:basedOn w:val="779"/>
    <w:next w:val="779"/>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49"/>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50"/>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toc 7"/>
    <w:basedOn w:val="779"/>
    <w:next w:val="779"/>
    <w:uiPriority w:val="0"/>
    <w:qFormat/>
    <w:pPr>
      <w:ind w:left="2520"/>
    </w:pPr>
    <w:rPr>
      <w:rFonts w:ascii="Calibri" w:hAnsi="Calibri" w:eastAsia="楷体_GB2312" w:cs="Times New Roman"/>
      <w:sz w:val="26"/>
      <w:szCs w:val="20"/>
    </w:rPr>
  </w:style>
  <w:style w:type="paragraph" w:styleId="792">
    <w:name w:val="index 8"/>
    <w:basedOn w:val="779"/>
    <w:next w:val="779"/>
    <w:uiPriority w:val="0"/>
    <w:qFormat/>
    <w:pPr>
      <w:ind w:left="2940"/>
    </w:pPr>
    <w:rPr>
      <w:rFonts w:ascii="Calibri" w:hAnsi="Calibri" w:eastAsia="楷体_GB2312" w:cs="Times New Roman"/>
      <w:sz w:val="26"/>
      <w:szCs w:val="20"/>
    </w:rPr>
  </w:style>
  <w:style w:type="paragraph" w:styleId="793">
    <w:name w:val="Normal Indent"/>
    <w:basedOn w:val="779"/>
    <w:next w:val="779"/>
    <w:link w:val="996"/>
    <w:uiPriority w:val="0"/>
    <w:qFormat/>
    <w:pPr>
      <w:ind w:firstLine="420"/>
      <w:jc w:val="left"/>
    </w:pPr>
    <w:rPr>
      <w:rFonts w:ascii="Calibri" w:hAnsi="Calibri" w:eastAsia="楷体_GB2312" w:cs="Times New Roman"/>
      <w:sz w:val="24"/>
      <w:szCs w:val="20"/>
    </w:rPr>
  </w:style>
  <w:style w:type="paragraph" w:styleId="794">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index 5"/>
    <w:basedOn w:val="779"/>
    <w:next w:val="779"/>
    <w:uiPriority w:val="0"/>
    <w:qFormat/>
    <w:pPr>
      <w:ind w:left="1680"/>
    </w:pPr>
    <w:rPr>
      <w:rFonts w:ascii="Calibri" w:hAnsi="Calibri" w:eastAsia="楷体_GB2312" w:cs="Times New Roman"/>
      <w:sz w:val="26"/>
      <w:szCs w:val="20"/>
    </w:rPr>
  </w:style>
  <w:style w:type="paragraph" w:styleId="796">
    <w:name w:val="Document Map"/>
    <w:basedOn w:val="779"/>
    <w:link w:val="997"/>
    <w:uiPriority w:val="0"/>
    <w:qFormat/>
    <w:pPr>
      <w:shd w:val="clear" w:color="auto" w:fill="000080"/>
    </w:pPr>
    <w:rPr>
      <w:rFonts w:ascii="Calibri" w:hAnsi="Calibri" w:eastAsia="楷体_GB2312" w:cs="Times New Roman"/>
      <w:sz w:val="26"/>
      <w:szCs w:val="20"/>
    </w:rPr>
  </w:style>
  <w:style w:type="paragraph" w:styleId="797">
    <w:name w:val="annotation text"/>
    <w:basedOn w:val="779"/>
    <w:link w:val="998"/>
    <w:uiPriority w:val="0"/>
    <w:qFormat/>
    <w:pPr>
      <w:jc w:val="left"/>
    </w:pPr>
    <w:rPr>
      <w:rFonts w:ascii="Calibri" w:hAnsi="Calibri" w:eastAsia="楷体_GB2312" w:cs="Times New Roman"/>
      <w:sz w:val="26"/>
      <w:szCs w:val="20"/>
    </w:rPr>
  </w:style>
  <w:style w:type="paragraph" w:styleId="798">
    <w:name w:val="index 6"/>
    <w:basedOn w:val="779"/>
    <w:next w:val="779"/>
    <w:uiPriority w:val="0"/>
    <w:qFormat/>
    <w:pPr>
      <w:ind w:left="2100"/>
    </w:pPr>
    <w:rPr>
      <w:rFonts w:ascii="Calibri" w:hAnsi="Calibri" w:eastAsia="楷体_GB2312" w:cs="Times New Roman"/>
      <w:sz w:val="26"/>
      <w:szCs w:val="20"/>
    </w:rPr>
  </w:style>
  <w:style w:type="paragraph" w:styleId="799">
    <w:name w:val="Body Text"/>
    <w:basedOn w:val="779"/>
    <w:link w:val="999"/>
    <w:uiPriority w:val="0"/>
    <w:qFormat/>
    <w:pPr>
      <w:spacing w:line="400" w:lineRule="exact"/>
    </w:pPr>
    <w:rPr>
      <w:rFonts w:ascii="楷体_GB2312" w:hAnsi="Calibri" w:eastAsia="楷体_GB2312" w:cs="Times New Roman"/>
      <w:sz w:val="28"/>
      <w:szCs w:val="20"/>
    </w:rPr>
  </w:style>
  <w:style w:type="paragraph" w:styleId="800">
    <w:name w:val="Body Text Indent"/>
    <w:basedOn w:val="779"/>
    <w:next w:val="779"/>
    <w:link w:val="1000"/>
    <w:uiPriority w:val="99"/>
    <w:qFormat/>
    <w:pPr>
      <w:ind w:left="570"/>
      <w:spacing w:line="520" w:lineRule="exact"/>
    </w:pPr>
    <w:rPr>
      <w:rFonts w:ascii="方正仿宋简体" w:hAnsi="创艺简仿宋" w:eastAsia="方正仿宋简体" w:cs="Times New Roman"/>
      <w:sz w:val="24"/>
      <w:szCs w:val="20"/>
    </w:rPr>
  </w:style>
  <w:style w:type="paragraph" w:styleId="801">
    <w:name w:val="Block Text"/>
    <w:basedOn w:val="779"/>
    <w:next w:val="779"/>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02">
    <w:name w:val="index 4"/>
    <w:basedOn w:val="779"/>
    <w:next w:val="779"/>
    <w:uiPriority w:val="0"/>
    <w:qFormat/>
    <w:pPr>
      <w:ind w:left="1260"/>
    </w:pPr>
    <w:rPr>
      <w:rFonts w:ascii="Calibri" w:hAnsi="Calibri" w:eastAsia="楷体_GB2312" w:cs="Times New Roman"/>
      <w:sz w:val="26"/>
      <w:szCs w:val="20"/>
    </w:rPr>
  </w:style>
  <w:style w:type="paragraph" w:styleId="803">
    <w:name w:val="toc 5"/>
    <w:basedOn w:val="779"/>
    <w:next w:val="779"/>
    <w:uiPriority w:val="0"/>
    <w:qFormat/>
    <w:pPr>
      <w:ind w:left="1680"/>
    </w:pPr>
    <w:rPr>
      <w:rFonts w:ascii="Calibri" w:hAnsi="Calibri" w:eastAsia="楷体_GB2312" w:cs="Times New Roman"/>
      <w:sz w:val="26"/>
      <w:szCs w:val="20"/>
    </w:rPr>
  </w:style>
  <w:style w:type="paragraph" w:styleId="804">
    <w:name w:val="toc 3"/>
    <w:basedOn w:val="779"/>
    <w:next w:val="779"/>
    <w:uiPriority w:val="0"/>
    <w:qFormat/>
    <w:pPr>
      <w:ind w:left="840"/>
    </w:pPr>
    <w:rPr>
      <w:rFonts w:ascii="Calibri" w:hAnsi="Calibri" w:eastAsia="楷体_GB2312" w:cs="Times New Roman"/>
      <w:sz w:val="26"/>
      <w:szCs w:val="20"/>
    </w:rPr>
  </w:style>
  <w:style w:type="paragraph" w:styleId="805">
    <w:name w:val="Plain Text"/>
    <w:basedOn w:val="779"/>
    <w:link w:val="1001"/>
    <w:uiPriority w:val="0"/>
    <w:qFormat/>
    <w:rPr>
      <w:rFonts w:ascii="宋体" w:hAnsi="Courier New" w:eastAsia="楷体_GB2312" w:cs="Times New Roman"/>
      <w:sz w:val="26"/>
      <w:szCs w:val="20"/>
    </w:rPr>
  </w:style>
  <w:style w:type="paragraph" w:styleId="806">
    <w:name w:val="toc 8"/>
    <w:basedOn w:val="779"/>
    <w:next w:val="779"/>
    <w:uiPriority w:val="0"/>
    <w:qFormat/>
    <w:pPr>
      <w:ind w:left="2940"/>
    </w:pPr>
    <w:rPr>
      <w:rFonts w:ascii="Calibri" w:hAnsi="Calibri" w:eastAsia="楷体_GB2312" w:cs="Times New Roman"/>
      <w:sz w:val="26"/>
      <w:szCs w:val="20"/>
    </w:rPr>
  </w:style>
  <w:style w:type="paragraph" w:styleId="807">
    <w:name w:val="index 3"/>
    <w:basedOn w:val="779"/>
    <w:next w:val="779"/>
    <w:uiPriority w:val="0"/>
    <w:qFormat/>
    <w:pPr>
      <w:ind w:left="840"/>
    </w:pPr>
    <w:rPr>
      <w:rFonts w:ascii="Calibri" w:hAnsi="Calibri" w:eastAsia="楷体_GB2312" w:cs="Times New Roman"/>
      <w:sz w:val="26"/>
      <w:szCs w:val="20"/>
    </w:rPr>
  </w:style>
  <w:style w:type="paragraph" w:styleId="808">
    <w:name w:val="Date"/>
    <w:basedOn w:val="779"/>
    <w:next w:val="779"/>
    <w:link w:val="1002"/>
    <w:uiPriority w:val="0"/>
    <w:qFormat/>
    <w:rPr>
      <w:rFonts w:ascii="宋体" w:hAnsi="宋体" w:eastAsia="楷体_GB2312" w:cs="Times New Roman"/>
      <w:sz w:val="24"/>
      <w:szCs w:val="20"/>
    </w:rPr>
  </w:style>
  <w:style w:type="paragraph" w:styleId="809">
    <w:name w:val="Body Text Indent 2"/>
    <w:basedOn w:val="779"/>
    <w:link w:val="1003"/>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10">
    <w:name w:val="endnote text"/>
    <w:basedOn w:val="779"/>
    <w:link w:val="1004"/>
    <w:uiPriority w:val="0"/>
    <w:qFormat/>
    <w:pPr>
      <w:jc w:val="left"/>
    </w:pPr>
    <w:rPr>
      <w:rFonts w:ascii="Calibri" w:hAnsi="Calibri" w:eastAsia="楷体_GB2312" w:cs="Times New Roman"/>
      <w:sz w:val="26"/>
      <w:szCs w:val="20"/>
    </w:rPr>
  </w:style>
  <w:style w:type="paragraph" w:styleId="811">
    <w:name w:val="Balloon Text"/>
    <w:basedOn w:val="779"/>
    <w:link w:val="1005"/>
    <w:uiPriority w:val="99"/>
    <w:qFormat/>
    <w:rPr>
      <w:rFonts w:ascii="Calibri" w:hAnsi="Calibri" w:eastAsia="楷体_GB2312" w:cs="Times New Roman"/>
      <w:sz w:val="18"/>
      <w:szCs w:val="18"/>
    </w:rPr>
  </w:style>
  <w:style w:type="paragraph" w:styleId="812">
    <w:name w:val="Footer"/>
    <w:basedOn w:val="779"/>
    <w:link w:val="1006"/>
    <w:uiPriority w:val="99"/>
    <w:qFormat/>
    <w:pPr>
      <w:jc w:val="right"/>
      <w:tabs>
        <w:tab w:val="center" w:pos="4153" w:leader="none"/>
        <w:tab w:val="right" w:pos="8306" w:leader="none"/>
      </w:tabs>
    </w:pPr>
    <w:rPr>
      <w:rFonts w:cs="Times New Roman" w:asciiTheme="minorEastAsia" w:hAnsiTheme="minorEastAsia"/>
      <w:sz w:val="18"/>
      <w:szCs w:val="20"/>
    </w:rPr>
  </w:style>
  <w:style w:type="paragraph" w:styleId="813">
    <w:name w:val="Header"/>
    <w:basedOn w:val="779"/>
    <w:link w:val="1007"/>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14">
    <w:name w:val="toc 1"/>
    <w:basedOn w:val="779"/>
    <w:next w:val="779"/>
    <w:uiPriority w:val="39"/>
    <w:qFormat/>
    <w:pPr>
      <w:jc w:val="left"/>
    </w:pPr>
    <w:rPr>
      <w:rFonts w:ascii="Calibri" w:hAnsi="Calibri" w:eastAsia="楷体_GB2312" w:cs="Times New Roman"/>
      <w:sz w:val="24"/>
      <w:szCs w:val="20"/>
    </w:rPr>
  </w:style>
  <w:style w:type="paragraph" w:styleId="815">
    <w:name w:val="toc 4"/>
    <w:basedOn w:val="779"/>
    <w:next w:val="779"/>
    <w:uiPriority w:val="0"/>
    <w:qFormat/>
    <w:pPr>
      <w:ind w:left="1260"/>
    </w:pPr>
    <w:rPr>
      <w:rFonts w:ascii="Calibri" w:hAnsi="Calibri" w:eastAsia="楷体_GB2312" w:cs="Times New Roman"/>
      <w:sz w:val="26"/>
      <w:szCs w:val="20"/>
    </w:rPr>
  </w:style>
  <w:style w:type="paragraph" w:styleId="816">
    <w:name w:val="index heading"/>
    <w:basedOn w:val="779"/>
    <w:next w:val="817"/>
    <w:uiPriority w:val="0"/>
    <w:qFormat/>
    <w:rPr>
      <w:rFonts w:ascii="Calibri" w:hAnsi="Calibri" w:eastAsia="楷体_GB2312" w:cs="Times New Roman"/>
      <w:sz w:val="26"/>
      <w:szCs w:val="20"/>
    </w:rPr>
  </w:style>
  <w:style w:type="paragraph" w:styleId="817">
    <w:name w:val="index 1"/>
    <w:basedOn w:val="779"/>
    <w:next w:val="779"/>
    <w:uiPriority w:val="0"/>
    <w:unhideWhenUsed/>
    <w:qFormat/>
  </w:style>
  <w:style w:type="paragraph" w:styleId="818">
    <w:name w:val="Subtitle"/>
    <w:basedOn w:val="779"/>
    <w:next w:val="779"/>
    <w:link w:val="1008"/>
    <w:uiPriority w:val="0"/>
    <w:qFormat/>
    <w:pPr>
      <w:jc w:val="left"/>
      <w:spacing w:before="120"/>
      <w:outlineLvl w:val="1"/>
    </w:pPr>
    <w:rPr>
      <w:rFonts w:ascii="Cambria" w:hAnsi="Cambria" w:eastAsia="宋体" w:cs="Times New Roman"/>
      <w:b/>
      <w:bCs/>
      <w:sz w:val="24"/>
      <w:szCs w:val="32"/>
    </w:rPr>
  </w:style>
  <w:style w:type="paragraph" w:styleId="819">
    <w:name w:val="footnote text"/>
    <w:basedOn w:val="779"/>
    <w:link w:val="1009"/>
    <w:uiPriority w:val="0"/>
    <w:qFormat/>
    <w:pPr>
      <w:jc w:val="left"/>
    </w:pPr>
    <w:rPr>
      <w:rFonts w:ascii="Calibri" w:hAnsi="Calibri" w:eastAsia="楷体_GB2312" w:cs="Times New Roman"/>
      <w:sz w:val="18"/>
      <w:szCs w:val="20"/>
    </w:rPr>
  </w:style>
  <w:style w:type="paragraph" w:styleId="820">
    <w:name w:val="toc 6"/>
    <w:basedOn w:val="779"/>
    <w:next w:val="779"/>
    <w:uiPriority w:val="0"/>
    <w:qFormat/>
    <w:pPr>
      <w:ind w:left="2100"/>
    </w:pPr>
    <w:rPr>
      <w:rFonts w:ascii="Calibri" w:hAnsi="Calibri" w:eastAsia="楷体_GB2312" w:cs="Times New Roman"/>
      <w:sz w:val="26"/>
      <w:szCs w:val="20"/>
    </w:rPr>
  </w:style>
  <w:style w:type="paragraph" w:styleId="821">
    <w:name w:val="Body Text Indent 3"/>
    <w:basedOn w:val="779"/>
    <w:link w:val="1010"/>
    <w:uiPriority w:val="0"/>
    <w:qFormat/>
    <w:pPr>
      <w:ind w:firstLine="617"/>
      <w:spacing w:line="360" w:lineRule="auto"/>
    </w:pPr>
    <w:rPr>
      <w:rFonts w:ascii="Calibri" w:hAnsi="Calibri" w:eastAsia="宋体" w:cs="Times New Roman"/>
      <w:sz w:val="24"/>
      <w:szCs w:val="24"/>
    </w:rPr>
  </w:style>
  <w:style w:type="paragraph" w:styleId="822">
    <w:name w:val="index 7"/>
    <w:basedOn w:val="779"/>
    <w:next w:val="779"/>
    <w:uiPriority w:val="0"/>
    <w:qFormat/>
    <w:pPr>
      <w:ind w:left="2520"/>
    </w:pPr>
    <w:rPr>
      <w:rFonts w:ascii="Calibri" w:hAnsi="Calibri" w:eastAsia="楷体_GB2312" w:cs="Times New Roman"/>
      <w:sz w:val="26"/>
      <w:szCs w:val="20"/>
    </w:rPr>
  </w:style>
  <w:style w:type="paragraph" w:styleId="823">
    <w:name w:val="index 9"/>
    <w:basedOn w:val="779"/>
    <w:next w:val="779"/>
    <w:uiPriority w:val="0"/>
    <w:qFormat/>
    <w:pPr>
      <w:ind w:left="3360"/>
    </w:pPr>
    <w:rPr>
      <w:rFonts w:ascii="Calibri" w:hAnsi="Calibri" w:eastAsia="楷体_GB2312" w:cs="Times New Roman"/>
      <w:sz w:val="26"/>
      <w:szCs w:val="20"/>
    </w:rPr>
  </w:style>
  <w:style w:type="paragraph" w:styleId="824">
    <w:name w:val="table of figures"/>
    <w:basedOn w:val="779"/>
    <w:next w:val="779"/>
    <w:uiPriority w:val="0"/>
    <w:qFormat/>
    <w:pPr>
      <w:ind w:left="420" w:hanging="420"/>
      <w:jc w:val="left"/>
    </w:pPr>
    <w:rPr>
      <w:rFonts w:ascii="Calibri" w:hAnsi="Calibri" w:eastAsia="楷体_GB2312" w:cs="Times New Roman"/>
      <w:smallCaps/>
      <w:sz w:val="24"/>
      <w:szCs w:val="20"/>
    </w:rPr>
  </w:style>
  <w:style w:type="paragraph" w:styleId="825">
    <w:name w:val="toc 2"/>
    <w:basedOn w:val="779"/>
    <w:next w:val="779"/>
    <w:uiPriority w:val="0"/>
    <w:qFormat/>
    <w:pPr>
      <w:ind w:left="420"/>
    </w:pPr>
    <w:rPr>
      <w:rFonts w:ascii="Calibri" w:hAnsi="Calibri" w:eastAsia="楷体_GB2312" w:cs="Times New Roman"/>
      <w:sz w:val="26"/>
      <w:szCs w:val="20"/>
    </w:rPr>
  </w:style>
  <w:style w:type="paragraph" w:styleId="826">
    <w:name w:val="toc 9"/>
    <w:basedOn w:val="779"/>
    <w:next w:val="779"/>
    <w:uiPriority w:val="0"/>
    <w:qFormat/>
    <w:pPr>
      <w:ind w:left="3360"/>
    </w:pPr>
    <w:rPr>
      <w:rFonts w:ascii="Calibri" w:hAnsi="Calibri" w:eastAsia="楷体_GB2312" w:cs="Times New Roman"/>
      <w:sz w:val="26"/>
      <w:szCs w:val="20"/>
    </w:rPr>
  </w:style>
  <w:style w:type="paragraph" w:styleId="827">
    <w:name w:val="HTML Preformatted"/>
    <w:basedOn w:val="779"/>
    <w:link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28">
    <w:name w:val="Normal (Web)"/>
    <w:basedOn w:val="779"/>
    <w:uiPriority w:val="0"/>
    <w:qFormat/>
    <w:pPr>
      <w:jc w:val="left"/>
      <w:spacing w:before="100" w:beforeAutospacing="1" w:after="100" w:afterAutospacing="1"/>
    </w:pPr>
    <w:rPr>
      <w:rFonts w:ascii="Calibri" w:hAnsi="Calibri" w:eastAsia="楷体_GB2312" w:cs="Times New Roman"/>
      <w:sz w:val="24"/>
    </w:rPr>
  </w:style>
  <w:style w:type="paragraph" w:styleId="829">
    <w:name w:val="index 2"/>
    <w:basedOn w:val="779"/>
    <w:next w:val="779"/>
    <w:uiPriority w:val="0"/>
    <w:qFormat/>
    <w:pPr>
      <w:ind w:left="420"/>
    </w:pPr>
    <w:rPr>
      <w:rFonts w:ascii="Calibri" w:hAnsi="Calibri" w:eastAsia="楷体_GB2312" w:cs="Times New Roman"/>
      <w:sz w:val="26"/>
      <w:szCs w:val="20"/>
    </w:rPr>
  </w:style>
  <w:style w:type="paragraph" w:styleId="830">
    <w:name w:val="Title"/>
    <w:basedOn w:val="779"/>
    <w:next w:val="779"/>
    <w:link w:val="1012"/>
    <w:uiPriority w:val="0"/>
    <w:qFormat/>
    <w:pPr>
      <w:jc w:val="center"/>
      <w:spacing w:before="240" w:after="60"/>
      <w:outlineLvl w:val="0"/>
    </w:pPr>
    <w:rPr>
      <w:rFonts w:ascii="Cambria" w:hAnsi="Cambria" w:eastAsia="宋体" w:cs="Times New Roman"/>
      <w:b/>
      <w:bCs/>
      <w:sz w:val="32"/>
      <w:szCs w:val="32"/>
    </w:rPr>
  </w:style>
  <w:style w:type="paragraph" w:styleId="831">
    <w:name w:val="annotation subject"/>
    <w:basedOn w:val="797"/>
    <w:next w:val="797"/>
    <w:link w:val="1013"/>
    <w:uiPriority w:val="99"/>
    <w:qFormat/>
    <w:rPr>
      <w:b/>
      <w:bCs/>
    </w:rPr>
  </w:style>
  <w:style w:type="paragraph" w:styleId="832">
    <w:name w:val="Body Text First Indent 2"/>
    <w:basedOn w:val="800"/>
    <w:link w:val="1014"/>
    <w:uiPriority w:val="0"/>
    <w:qFormat/>
    <w:pPr>
      <w:ind w:left="420" w:firstLine="420"/>
      <w:spacing w:after="120" w:line="240" w:lineRule="auto"/>
    </w:pPr>
    <w:rPr>
      <w:rFonts w:ascii="Calibri" w:hAnsi="Calibri" w:eastAsia="楷体_GB2312"/>
      <w:sz w:val="26"/>
    </w:rPr>
  </w:style>
  <w:style w:type="table" w:styleId="833">
    <w:name w:val="Table Grid"/>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Strong"/>
    <w:basedOn w:val="789"/>
    <w:uiPriority w:val="0"/>
    <w:qFormat/>
    <w:rPr>
      <w:b/>
    </w:rPr>
  </w:style>
  <w:style w:type="character" w:styleId="835">
    <w:name w:val="endnote reference"/>
    <w:uiPriority w:val="0"/>
    <w:qFormat/>
    <w:rPr>
      <w:vertAlign w:val="superscript"/>
    </w:rPr>
  </w:style>
  <w:style w:type="character" w:styleId="836">
    <w:name w:val="page number"/>
    <w:basedOn w:val="789"/>
    <w:uiPriority w:val="0"/>
    <w:qFormat/>
  </w:style>
  <w:style w:type="character" w:styleId="837">
    <w:name w:val="FollowedHyperlink"/>
    <w:uiPriority w:val="99"/>
    <w:unhideWhenUsed/>
    <w:qFormat/>
    <w:rPr>
      <w:color w:val="800080"/>
      <w:u w:val="single"/>
    </w:rPr>
  </w:style>
  <w:style w:type="character" w:styleId="838">
    <w:name w:val="Hyperlink"/>
    <w:uiPriority w:val="0"/>
    <w:unhideWhenUsed/>
    <w:qFormat/>
    <w:rPr>
      <w:color w:val="0000ff"/>
      <w:u w:val="single"/>
    </w:rPr>
  </w:style>
  <w:style w:type="character" w:styleId="839">
    <w:name w:val="annotation reference"/>
    <w:uiPriority w:val="99"/>
    <w:qFormat/>
    <w:rPr>
      <w:sz w:val="21"/>
      <w:szCs w:val="21"/>
    </w:rPr>
  </w:style>
  <w:style w:type="character" w:styleId="840">
    <w:name w:val="footnote reference"/>
    <w:uiPriority w:val="0"/>
    <w:qFormat/>
    <w:rPr>
      <w:vertAlign w:val="superscript"/>
    </w:rPr>
  </w:style>
  <w:style w:type="paragraph" w:styleId="841" w:customStyle="1">
    <w:name w:val="段"/>
    <w:next w:val="779"/>
    <w:uiPriority w:val="0"/>
    <w:qFormat/>
    <w:pPr>
      <w:ind w:firstLine="200"/>
      <w:jc w:val="both"/>
    </w:pPr>
    <w:rPr>
      <w:rFonts w:hint="default" w:ascii="宋体" w:hAnsi="Times New Roman" w:eastAsia="宋体" w:cs="宋体"/>
      <w:sz w:val="21"/>
      <w:szCs w:val="21"/>
    </w:rPr>
  </w:style>
  <w:style w:type="character" w:styleId="842" w:customStyle="1">
    <w:name w:val="Heading 1 Char"/>
    <w:basedOn w:val="789"/>
    <w:uiPriority w:val="9"/>
    <w:qFormat/>
    <w:rPr>
      <w:rFonts w:ascii="Arial" w:hAnsi="Arial" w:eastAsia="Arial" w:cs="Arial"/>
      <w:sz w:val="40"/>
      <w:szCs w:val="40"/>
    </w:rPr>
  </w:style>
  <w:style w:type="character" w:styleId="843" w:customStyle="1">
    <w:name w:val="Heading 2 Char"/>
    <w:basedOn w:val="789"/>
    <w:uiPriority w:val="9"/>
    <w:qFormat/>
    <w:rPr>
      <w:rFonts w:ascii="Arial" w:hAnsi="Arial" w:eastAsia="Arial" w:cs="Arial"/>
      <w:sz w:val="34"/>
    </w:rPr>
  </w:style>
  <w:style w:type="character" w:styleId="844" w:customStyle="1">
    <w:name w:val="Heading 3 Char"/>
    <w:basedOn w:val="789"/>
    <w:uiPriority w:val="9"/>
    <w:qFormat/>
    <w:rPr>
      <w:rFonts w:ascii="Arial" w:hAnsi="Arial" w:eastAsia="Arial" w:cs="Arial"/>
      <w:sz w:val="30"/>
      <w:szCs w:val="30"/>
    </w:rPr>
  </w:style>
  <w:style w:type="character" w:styleId="845" w:customStyle="1">
    <w:name w:val="Heading 4 Char"/>
    <w:basedOn w:val="789"/>
    <w:uiPriority w:val="9"/>
    <w:qFormat/>
    <w:rPr>
      <w:rFonts w:ascii="Arial" w:hAnsi="Arial" w:eastAsia="Arial" w:cs="Arial"/>
      <w:b/>
      <w:bCs/>
      <w:sz w:val="26"/>
      <w:szCs w:val="26"/>
    </w:rPr>
  </w:style>
  <w:style w:type="character" w:styleId="846" w:customStyle="1">
    <w:name w:val="Heading 5 Char"/>
    <w:basedOn w:val="789"/>
    <w:uiPriority w:val="9"/>
    <w:qFormat/>
    <w:rPr>
      <w:rFonts w:ascii="Arial" w:hAnsi="Arial" w:eastAsia="Arial" w:cs="Arial"/>
      <w:b/>
      <w:bCs/>
      <w:sz w:val="24"/>
      <w:szCs w:val="24"/>
    </w:rPr>
  </w:style>
  <w:style w:type="character" w:styleId="847" w:customStyle="1">
    <w:name w:val="Heading 6 Char"/>
    <w:basedOn w:val="789"/>
    <w:uiPriority w:val="9"/>
    <w:qFormat/>
    <w:rPr>
      <w:rFonts w:ascii="Arial" w:hAnsi="Arial" w:eastAsia="Arial" w:cs="Arial"/>
      <w:b/>
      <w:bCs/>
      <w:sz w:val="22"/>
      <w:szCs w:val="22"/>
    </w:rPr>
  </w:style>
  <w:style w:type="character" w:styleId="848" w:customStyle="1">
    <w:name w:val="Heading 7 Char"/>
    <w:basedOn w:val="789"/>
    <w:link w:val="786"/>
    <w:uiPriority w:val="9"/>
    <w:qFormat/>
    <w:rPr>
      <w:rFonts w:ascii="Arial" w:hAnsi="Arial" w:eastAsia="Arial" w:cs="Arial"/>
      <w:b/>
      <w:bCs/>
      <w:i/>
      <w:iCs/>
      <w:sz w:val="22"/>
      <w:szCs w:val="22"/>
    </w:rPr>
  </w:style>
  <w:style w:type="character" w:styleId="849" w:customStyle="1">
    <w:name w:val="Heading 8 Char"/>
    <w:basedOn w:val="789"/>
    <w:link w:val="787"/>
    <w:uiPriority w:val="9"/>
    <w:qFormat/>
    <w:rPr>
      <w:rFonts w:ascii="Arial" w:hAnsi="Arial" w:eastAsia="Arial" w:cs="Arial"/>
      <w:i/>
      <w:iCs/>
      <w:sz w:val="22"/>
      <w:szCs w:val="22"/>
    </w:rPr>
  </w:style>
  <w:style w:type="character" w:styleId="850" w:customStyle="1">
    <w:name w:val="Heading 9 Char"/>
    <w:basedOn w:val="789"/>
    <w:link w:val="788"/>
    <w:uiPriority w:val="9"/>
    <w:qFormat/>
    <w:rPr>
      <w:rFonts w:ascii="Arial" w:hAnsi="Arial" w:eastAsia="Arial" w:cs="Arial"/>
      <w:i/>
      <w:iCs/>
      <w:sz w:val="21"/>
      <w:szCs w:val="21"/>
    </w:rPr>
  </w:style>
  <w:style w:type="paragraph" w:styleId="851">
    <w:name w:val="No Spacing"/>
    <w:uiPriority w:val="1"/>
    <w:qFormat/>
    <w:pPr>
      <w:spacing w:before="0" w:after="0" w:line="240" w:lineRule="auto"/>
    </w:pPr>
    <w:rPr>
      <w:rFonts w:hint="default" w:ascii="Times New Roman" w:hAnsi="Times New Roman" w:eastAsia="宋体" w:cs="Times New Roman"/>
    </w:rPr>
  </w:style>
  <w:style w:type="character" w:styleId="852" w:customStyle="1">
    <w:name w:val="Title Char"/>
    <w:basedOn w:val="789"/>
    <w:uiPriority w:val="10"/>
    <w:qFormat/>
    <w:rPr>
      <w:sz w:val="48"/>
      <w:szCs w:val="48"/>
    </w:rPr>
  </w:style>
  <w:style w:type="character" w:styleId="853" w:customStyle="1">
    <w:name w:val="Subtitle Char"/>
    <w:basedOn w:val="789"/>
    <w:uiPriority w:val="11"/>
    <w:qFormat/>
    <w:rPr>
      <w:sz w:val="24"/>
      <w:szCs w:val="24"/>
    </w:rPr>
  </w:style>
  <w:style w:type="paragraph" w:styleId="854">
    <w:name w:val="Quote"/>
    <w:basedOn w:val="779"/>
    <w:next w:val="779"/>
    <w:link w:val="855"/>
    <w:uiPriority w:val="29"/>
    <w:qFormat/>
    <w:pPr>
      <w:ind w:left="720" w:right="720"/>
    </w:pPr>
    <w:rPr>
      <w:i/>
    </w:rPr>
  </w:style>
  <w:style w:type="character" w:styleId="855" w:customStyle="1">
    <w:name w:val="Quote Char"/>
    <w:link w:val="854"/>
    <w:uiPriority w:val="29"/>
    <w:qFormat/>
    <w:rPr>
      <w:i/>
    </w:rPr>
  </w:style>
  <w:style w:type="paragraph" w:styleId="856">
    <w:name w:val="Intense Quote"/>
    <w:basedOn w:val="779"/>
    <w:next w:val="779"/>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Intense Quote Char"/>
    <w:link w:val="856"/>
    <w:uiPriority w:val="30"/>
    <w:qFormat/>
    <w:rPr>
      <w:i/>
    </w:rPr>
  </w:style>
  <w:style w:type="character" w:styleId="858" w:customStyle="1">
    <w:name w:val="Header Char"/>
    <w:basedOn w:val="789"/>
    <w:uiPriority w:val="99"/>
    <w:qFormat/>
  </w:style>
  <w:style w:type="character" w:styleId="859" w:customStyle="1">
    <w:name w:val="Footer Char"/>
    <w:basedOn w:val="789"/>
    <w:uiPriority w:val="99"/>
    <w:qFormat/>
  </w:style>
  <w:style w:type="character" w:styleId="860" w:customStyle="1">
    <w:name w:val="Caption Char"/>
    <w:uiPriority w:val="99"/>
    <w:qFormat/>
  </w:style>
  <w:style w:type="table" w:styleId="861" w:customStyle="1">
    <w:name w:val="Table Grid Light"/>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basedOn w:val="7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basedOn w:val="7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basedOn w:val="7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basedOn w:val="7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basedOn w:val="7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basedOn w:val="7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9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basedOn w:val="79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basedOn w:val="79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basedOn w:val="79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basedOn w:val="79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basedOn w:val="79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basedOn w:val="7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basedOn w:val="7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basedOn w:val="79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basedOn w:val="7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basedOn w:val="79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6" w:customStyle="1">
    <w:name w:val="Grid Table 6 Colorful - Accent 4"/>
    <w:basedOn w:val="7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basedOn w:val="79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basedOn w:val="79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7 Colorful"/>
    <w:basedOn w:val="7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9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9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9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9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9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9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basedOn w:val="7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9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9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9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9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9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9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basedOn w:val="7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79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basedOn w:val="79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basedOn w:val="79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basedOn w:val="79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basedOn w:val="79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basedOn w:val="79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9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basedOn w:val="7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9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9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9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basedOn w:val="7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9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basedOn w:val="79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basedOn w:val="79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basedOn w:val="79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basedOn w:val="79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basedOn w:val="79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basedOn w:val="7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basedOn w:val="79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basedOn w:val="79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basedOn w:val="79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basedOn w:val="79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basedOn w:val="79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basedOn w:val="79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6 Colorful"/>
    <w:basedOn w:val="7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basedOn w:val="79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basedOn w:val="79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basedOn w:val="79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basedOn w:val="79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basedOn w:val="79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basedOn w:val="79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List Table 7 Colorful"/>
    <w:basedOn w:val="7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9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9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9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9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9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9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basedOn w:val="7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basedOn w:val="7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79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basedOn w:val="79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basedOn w:val="79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basedOn w:val="79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basedOn w:val="79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basedOn w:val="79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basedOn w:val="7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7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basedOn w:val="7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basedOn w:val="7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basedOn w:val="7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basedOn w:val="7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basedOn w:val="7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Footnote Text Char"/>
    <w:uiPriority w:val="99"/>
    <w:qFormat/>
    <w:rPr>
      <w:sz w:val="18"/>
    </w:rPr>
  </w:style>
  <w:style w:type="character" w:styleId="987" w:customStyle="1">
    <w:name w:val="Endnote Text Char"/>
    <w:uiPriority w:val="99"/>
    <w:qFormat/>
    <w:rPr>
      <w:sz w:val="20"/>
    </w:r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首行缩进"/>
    <w:basedOn w:val="779"/>
    <w:uiPriority w:val="0"/>
    <w:qFormat/>
    <w:pPr>
      <w:ind w:firstLine="480"/>
    </w:pPr>
    <w:rPr>
      <w:rFonts w:ascii="Calibri" w:hAnsi="Calibri" w:eastAsia="宋体" w:cs="Times New Roman"/>
      <w:szCs w:val="20"/>
      <w:lang w:val="zh-CN"/>
    </w:rPr>
  </w:style>
  <w:style w:type="character" w:styleId="990" w:customStyle="1">
    <w:name w:val="标题 1 字符"/>
    <w:basedOn w:val="789"/>
    <w:link w:val="780"/>
    <w:uiPriority w:val="0"/>
    <w:qFormat/>
    <w:rPr>
      <w:rFonts w:ascii="Calibri" w:hAnsi="Calibri" w:eastAsia="楷体_GB2312" w:cs="Times New Roman"/>
      <w:b/>
      <w:sz w:val="44"/>
      <w:szCs w:val="20"/>
    </w:rPr>
  </w:style>
  <w:style w:type="character" w:styleId="991" w:customStyle="1">
    <w:name w:val="标题 2 字符"/>
    <w:basedOn w:val="789"/>
    <w:link w:val="781"/>
    <w:uiPriority w:val="0"/>
    <w:qFormat/>
    <w:rPr>
      <w:rFonts w:ascii="宋体" w:hAnsi="宋体" w:eastAsia="楷体_GB2312" w:cs="Times New Roman"/>
      <w:b/>
      <w:sz w:val="26"/>
      <w:szCs w:val="20"/>
    </w:rPr>
  </w:style>
  <w:style w:type="character" w:styleId="992" w:customStyle="1">
    <w:name w:val="标题 3 字符"/>
    <w:basedOn w:val="789"/>
    <w:link w:val="782"/>
    <w:uiPriority w:val="0"/>
    <w:qFormat/>
    <w:rPr>
      <w:rFonts w:ascii="Calibri" w:hAnsi="Calibri" w:eastAsia="楷体_GB2312" w:cs="Times New Roman"/>
      <w:b/>
      <w:sz w:val="26"/>
      <w:szCs w:val="20"/>
    </w:rPr>
  </w:style>
  <w:style w:type="character" w:styleId="993" w:customStyle="1">
    <w:name w:val="标题 4 字符"/>
    <w:basedOn w:val="789"/>
    <w:link w:val="783"/>
    <w:uiPriority w:val="0"/>
    <w:qFormat/>
    <w:rPr>
      <w:rFonts w:ascii="Arial" w:hAnsi="Arial" w:eastAsia="黑体" w:cs="Times New Roman"/>
      <w:b/>
      <w:bCs/>
      <w:sz w:val="28"/>
      <w:szCs w:val="28"/>
    </w:rPr>
  </w:style>
  <w:style w:type="character" w:styleId="994" w:customStyle="1">
    <w:name w:val="标题 5 字符"/>
    <w:basedOn w:val="789"/>
    <w:link w:val="784"/>
    <w:uiPriority w:val="0"/>
    <w:qFormat/>
    <w:rPr>
      <w:rFonts w:ascii="宋体" w:hAnsi="宋体" w:eastAsia="宋体" w:cs="Times New Roman"/>
      <w:color w:val="000000"/>
      <w:sz w:val="28"/>
      <w:szCs w:val="20"/>
    </w:rPr>
  </w:style>
  <w:style w:type="character" w:styleId="995" w:customStyle="1">
    <w:name w:val="标题 6 字符"/>
    <w:basedOn w:val="789"/>
    <w:link w:val="785"/>
    <w:uiPriority w:val="0"/>
    <w:qFormat/>
    <w:rPr>
      <w:rFonts w:ascii="宋体" w:hAnsi="宋体" w:eastAsia="宋体" w:cs="Times New Roman"/>
      <w:sz w:val="28"/>
      <w:szCs w:val="20"/>
    </w:rPr>
  </w:style>
  <w:style w:type="character" w:styleId="996" w:customStyle="1">
    <w:name w:val="正文缩进 字符"/>
    <w:link w:val="793"/>
    <w:uiPriority w:val="0"/>
    <w:qFormat/>
    <w:rPr>
      <w:rFonts w:ascii="Calibri" w:hAnsi="Calibri" w:eastAsia="楷体_GB2312" w:cs="Times New Roman"/>
      <w:sz w:val="24"/>
      <w:szCs w:val="20"/>
    </w:rPr>
  </w:style>
  <w:style w:type="character" w:styleId="997" w:customStyle="1">
    <w:name w:val="文档结构图 字符"/>
    <w:basedOn w:val="789"/>
    <w:link w:val="796"/>
    <w:uiPriority w:val="0"/>
    <w:qFormat/>
    <w:rPr>
      <w:rFonts w:ascii="Calibri" w:hAnsi="Calibri" w:eastAsia="楷体_GB2312" w:cs="Times New Roman"/>
      <w:sz w:val="26"/>
      <w:szCs w:val="20"/>
      <w:shd w:val="clear" w:color="auto" w:fill="000080"/>
    </w:rPr>
  </w:style>
  <w:style w:type="character" w:styleId="998" w:customStyle="1">
    <w:name w:val="批注文字 字符"/>
    <w:basedOn w:val="789"/>
    <w:link w:val="797"/>
    <w:uiPriority w:val="0"/>
    <w:qFormat/>
    <w:rPr>
      <w:rFonts w:ascii="Calibri" w:hAnsi="Calibri" w:eastAsia="楷体_GB2312" w:cs="Times New Roman"/>
      <w:sz w:val="26"/>
      <w:szCs w:val="20"/>
    </w:rPr>
  </w:style>
  <w:style w:type="character" w:styleId="999" w:customStyle="1">
    <w:name w:val="正文文本 字符"/>
    <w:basedOn w:val="789"/>
    <w:link w:val="799"/>
    <w:uiPriority w:val="0"/>
    <w:qFormat/>
    <w:rPr>
      <w:rFonts w:ascii="楷体_GB2312" w:hAnsi="Calibri" w:eastAsia="楷体_GB2312" w:cs="Times New Roman"/>
      <w:sz w:val="28"/>
      <w:szCs w:val="20"/>
    </w:rPr>
  </w:style>
  <w:style w:type="character" w:styleId="1000" w:customStyle="1">
    <w:name w:val="正文文本缩进 字符"/>
    <w:basedOn w:val="789"/>
    <w:link w:val="800"/>
    <w:uiPriority w:val="99"/>
    <w:qFormat/>
    <w:rPr>
      <w:rFonts w:ascii="方正仿宋简体" w:hAnsi="创艺简仿宋" w:eastAsia="方正仿宋简体" w:cs="Times New Roman"/>
      <w:sz w:val="24"/>
      <w:szCs w:val="20"/>
    </w:rPr>
  </w:style>
  <w:style w:type="character" w:styleId="1001" w:customStyle="1">
    <w:name w:val="纯文本 字符"/>
    <w:basedOn w:val="789"/>
    <w:link w:val="805"/>
    <w:uiPriority w:val="0"/>
    <w:qFormat/>
    <w:rPr>
      <w:rFonts w:ascii="宋体" w:hAnsi="Courier New" w:eastAsia="楷体_GB2312" w:cs="Times New Roman"/>
      <w:sz w:val="26"/>
      <w:szCs w:val="20"/>
    </w:rPr>
  </w:style>
  <w:style w:type="character" w:styleId="1002" w:customStyle="1">
    <w:name w:val="日期 字符"/>
    <w:basedOn w:val="789"/>
    <w:link w:val="808"/>
    <w:uiPriority w:val="0"/>
    <w:qFormat/>
    <w:rPr>
      <w:rFonts w:ascii="宋体" w:hAnsi="宋体" w:eastAsia="楷体_GB2312" w:cs="Times New Roman"/>
      <w:sz w:val="24"/>
      <w:szCs w:val="20"/>
    </w:rPr>
  </w:style>
  <w:style w:type="character" w:styleId="1003" w:customStyle="1">
    <w:name w:val="正文文本缩进 2 字符"/>
    <w:basedOn w:val="789"/>
    <w:link w:val="809"/>
    <w:uiPriority w:val="0"/>
    <w:qFormat/>
    <w:rPr>
      <w:rFonts w:ascii="宋体" w:hAnsi="Calibri" w:eastAsia="宋体" w:cs="Times New Roman"/>
      <w:b/>
      <w:bCs/>
      <w:sz w:val="24"/>
      <w:szCs w:val="20"/>
    </w:rPr>
  </w:style>
  <w:style w:type="character" w:styleId="1004" w:customStyle="1">
    <w:name w:val="尾注文本 字符"/>
    <w:basedOn w:val="789"/>
    <w:link w:val="810"/>
    <w:uiPriority w:val="0"/>
    <w:qFormat/>
    <w:rPr>
      <w:rFonts w:ascii="Calibri" w:hAnsi="Calibri" w:eastAsia="楷体_GB2312" w:cs="Times New Roman"/>
      <w:sz w:val="26"/>
      <w:szCs w:val="20"/>
    </w:rPr>
  </w:style>
  <w:style w:type="character" w:styleId="1005" w:customStyle="1">
    <w:name w:val="批注框文本 字符"/>
    <w:basedOn w:val="789"/>
    <w:link w:val="811"/>
    <w:uiPriority w:val="99"/>
    <w:qFormat/>
    <w:rPr>
      <w:rFonts w:ascii="Calibri" w:hAnsi="Calibri" w:eastAsia="楷体_GB2312" w:cs="Times New Roman"/>
      <w:sz w:val="18"/>
      <w:szCs w:val="18"/>
    </w:rPr>
  </w:style>
  <w:style w:type="character" w:styleId="1006" w:customStyle="1">
    <w:name w:val="页脚 字符"/>
    <w:basedOn w:val="789"/>
    <w:link w:val="812"/>
    <w:uiPriority w:val="99"/>
    <w:qFormat/>
    <w:rPr>
      <w:rFonts w:asciiTheme="minorEastAsia" w:hAnsiTheme="minorEastAsia" w:eastAsiaTheme="minorEastAsia"/>
      <w:sz w:val="18"/>
    </w:rPr>
  </w:style>
  <w:style w:type="character" w:styleId="1007" w:customStyle="1">
    <w:name w:val="页眉 字符"/>
    <w:basedOn w:val="789"/>
    <w:link w:val="813"/>
    <w:uiPriority w:val="99"/>
    <w:qFormat/>
    <w:rPr>
      <w:rFonts w:ascii="Calibri" w:hAnsi="Calibri" w:eastAsia="楷体_GB2312" w:cs="Times New Roman"/>
      <w:sz w:val="18"/>
      <w:szCs w:val="20"/>
    </w:rPr>
  </w:style>
  <w:style w:type="character" w:styleId="1008" w:customStyle="1">
    <w:name w:val="副标题 字符"/>
    <w:basedOn w:val="789"/>
    <w:link w:val="818"/>
    <w:uiPriority w:val="0"/>
    <w:qFormat/>
    <w:rPr>
      <w:rFonts w:ascii="Cambria" w:hAnsi="Cambria" w:eastAsia="宋体" w:cs="Times New Roman"/>
      <w:b/>
      <w:bCs/>
      <w:sz w:val="24"/>
      <w:szCs w:val="32"/>
    </w:rPr>
  </w:style>
  <w:style w:type="character" w:styleId="1009" w:customStyle="1">
    <w:name w:val="脚注文本 字符"/>
    <w:basedOn w:val="789"/>
    <w:link w:val="819"/>
    <w:uiPriority w:val="0"/>
    <w:qFormat/>
    <w:rPr>
      <w:rFonts w:ascii="Calibri" w:hAnsi="Calibri" w:eastAsia="楷体_GB2312" w:cs="Times New Roman"/>
      <w:sz w:val="18"/>
      <w:szCs w:val="20"/>
    </w:rPr>
  </w:style>
  <w:style w:type="character" w:styleId="1010" w:customStyle="1">
    <w:name w:val="正文文本缩进 3 字符"/>
    <w:basedOn w:val="789"/>
    <w:link w:val="821"/>
    <w:uiPriority w:val="0"/>
    <w:qFormat/>
    <w:rPr>
      <w:rFonts w:ascii="Calibri" w:hAnsi="Calibri" w:eastAsia="宋体" w:cs="Times New Roman"/>
      <w:sz w:val="24"/>
      <w:szCs w:val="24"/>
    </w:rPr>
  </w:style>
  <w:style w:type="character" w:styleId="1011" w:customStyle="1">
    <w:name w:val="HTML 预设格式 字符"/>
    <w:basedOn w:val="789"/>
    <w:link w:val="827"/>
    <w:uiPriority w:val="0"/>
    <w:qFormat/>
    <w:rPr>
      <w:rFonts w:ascii="黑体" w:hAnsi="Courier New" w:eastAsia="黑体" w:cs="Times New Roman"/>
      <w:sz w:val="20"/>
      <w:szCs w:val="20"/>
    </w:rPr>
  </w:style>
  <w:style w:type="character" w:styleId="1012" w:customStyle="1">
    <w:name w:val="标题 字符"/>
    <w:basedOn w:val="789"/>
    <w:link w:val="830"/>
    <w:uiPriority w:val="0"/>
    <w:qFormat/>
    <w:rPr>
      <w:rFonts w:ascii="Cambria" w:hAnsi="Cambria" w:eastAsia="宋体" w:cs="Times New Roman"/>
      <w:b/>
      <w:bCs/>
      <w:sz w:val="32"/>
      <w:szCs w:val="32"/>
    </w:rPr>
  </w:style>
  <w:style w:type="character" w:styleId="1013" w:customStyle="1">
    <w:name w:val="批注主题 字符"/>
    <w:basedOn w:val="998"/>
    <w:link w:val="831"/>
    <w:uiPriority w:val="99"/>
    <w:qFormat/>
    <w:rPr>
      <w:rFonts w:ascii="Calibri" w:hAnsi="Calibri" w:eastAsia="楷体_GB2312" w:cs="Times New Roman"/>
      <w:b/>
      <w:bCs/>
      <w:sz w:val="26"/>
      <w:szCs w:val="20"/>
    </w:rPr>
  </w:style>
  <w:style w:type="character" w:styleId="1014" w:customStyle="1">
    <w:name w:val="正文文本首行缩进 2 字符"/>
    <w:basedOn w:val="1000"/>
    <w:link w:val="832"/>
    <w:uiPriority w:val="0"/>
    <w:qFormat/>
    <w:rPr>
      <w:rFonts w:ascii="Calibri" w:hAnsi="Calibri" w:eastAsia="楷体_GB2312" w:cs="Times New Roman"/>
      <w:sz w:val="26"/>
      <w:szCs w:val="20"/>
    </w:rPr>
  </w:style>
  <w:style w:type="character" w:styleId="1015" w:customStyle="1">
    <w:name w:val="Plain Text Char Char"/>
    <w:link w:val="1016"/>
    <w:uiPriority w:val="0"/>
    <w:qFormat/>
    <w:rPr>
      <w:rFonts w:ascii="宋体" w:hAnsi="Courier New" w:eastAsia="楷体_GB2312"/>
      <w:sz w:val="26"/>
    </w:rPr>
  </w:style>
  <w:style w:type="paragraph" w:styleId="1016" w:customStyle="1">
    <w:name w:val="纯文本3"/>
    <w:basedOn w:val="779"/>
    <w:link w:val="1015"/>
    <w:uiPriority w:val="0"/>
    <w:qFormat/>
    <w:rPr>
      <w:rFonts w:ascii="宋体" w:hAnsi="Courier New" w:eastAsia="楷体_GB2312"/>
      <w:sz w:val="26"/>
    </w:rPr>
  </w:style>
  <w:style w:type="character" w:styleId="1017" w:customStyle="1">
    <w:name w:val="styl81"/>
    <w:uiPriority w:val="0"/>
    <w:qFormat/>
    <w:rPr>
      <w:sz w:val="21"/>
    </w:rPr>
  </w:style>
  <w:style w:type="character" w:styleId="1018" w:customStyle="1">
    <w:name w:val="Plain Text Char"/>
    <w:link w:val="1019"/>
    <w:uiPriority w:val="0"/>
    <w:qFormat/>
    <w:rPr>
      <w:rFonts w:ascii="宋体" w:hAnsi="Courier New" w:eastAsia="楷体_GB2312"/>
      <w:sz w:val="26"/>
    </w:rPr>
  </w:style>
  <w:style w:type="paragraph" w:styleId="1019" w:customStyle="1">
    <w:name w:val="纯文本1"/>
    <w:basedOn w:val="779"/>
    <w:link w:val="1018"/>
    <w:uiPriority w:val="0"/>
    <w:qFormat/>
    <w:rPr>
      <w:rFonts w:ascii="宋体" w:hAnsi="Courier New" w:eastAsia="楷体_GB2312"/>
      <w:sz w:val="26"/>
    </w:rPr>
  </w:style>
  <w:style w:type="character" w:styleId="1020" w:customStyle="1">
    <w:name w:val="表正文 Char1"/>
    <w:uiPriority w:val="0"/>
    <w:qFormat/>
    <w:rPr>
      <w:rFonts w:eastAsia="楷体_GB2312"/>
      <w:sz w:val="24"/>
      <w:lang w:val="en-US" w:eastAsia="zh-CN" w:bidi="ar-SA"/>
    </w:rPr>
  </w:style>
  <w:style w:type="character" w:styleId="1021" w:customStyle="1">
    <w:name w:val="_正文段落 Char"/>
    <w:link w:val="1022"/>
    <w:uiPriority w:val="0"/>
    <w:qFormat/>
    <w:rPr>
      <w:rFonts w:ascii="宋体" w:hAnsi="宋体"/>
      <w:sz w:val="24"/>
      <w:szCs w:val="24"/>
    </w:rPr>
  </w:style>
  <w:style w:type="paragraph" w:styleId="1022" w:customStyle="1">
    <w:name w:val="_正文段落"/>
    <w:basedOn w:val="779"/>
    <w:link w:val="1021"/>
    <w:uiPriority w:val="0"/>
    <w:qFormat/>
    <w:pPr>
      <w:ind w:firstLine="480"/>
      <w:spacing w:line="360" w:lineRule="auto"/>
    </w:pPr>
    <w:rPr>
      <w:rFonts w:ascii="宋体" w:hAnsi="宋体"/>
      <w:sz w:val="24"/>
      <w:szCs w:val="24"/>
    </w:rPr>
  </w:style>
  <w:style w:type="character" w:styleId="1023" w:customStyle="1">
    <w:name w:val="Andy_正文 Char"/>
    <w:link w:val="1024"/>
    <w:uiPriority w:val="0"/>
    <w:qFormat/>
    <w:rPr>
      <w:sz w:val="24"/>
      <w:szCs w:val="24"/>
    </w:rPr>
  </w:style>
  <w:style w:type="paragraph" w:styleId="1024" w:customStyle="1">
    <w:name w:val="Andy_正文"/>
    <w:basedOn w:val="779"/>
    <w:link w:val="1023"/>
    <w:uiPriority w:val="0"/>
    <w:qFormat/>
    <w:pPr>
      <w:ind w:firstLine="480"/>
      <w:spacing w:line="360" w:lineRule="auto"/>
    </w:pPr>
    <w:rPr>
      <w:sz w:val="24"/>
      <w:szCs w:val="24"/>
    </w:rPr>
  </w:style>
  <w:style w:type="character" w:styleId="1025" w:customStyle="1">
    <w:name w:val="正文缩进 Char1"/>
    <w:uiPriority w:val="0"/>
    <w:qFormat/>
    <w:rPr>
      <w:rFonts w:eastAsia="楷体_GB2312"/>
      <w:sz w:val="24"/>
    </w:rPr>
  </w:style>
  <w:style w:type="character" w:styleId="1026" w:customStyle="1">
    <w:name w:val="副标题 Char1"/>
    <w:uiPriority w:val="11"/>
    <w:qFormat/>
    <w:rPr>
      <w:rFonts w:ascii="Cambria" w:hAnsi="Cambria" w:cs="Times New Roman"/>
      <w:b/>
      <w:bCs/>
      <w:sz w:val="32"/>
      <w:szCs w:val="32"/>
    </w:rPr>
  </w:style>
  <w:style w:type="character" w:styleId="1027" w:customStyle="1">
    <w:name w:val="Andy_2级 Char"/>
    <w:link w:val="1028"/>
    <w:uiPriority w:val="0"/>
    <w:qFormat/>
    <w:rPr>
      <w:sz w:val="24"/>
    </w:rPr>
  </w:style>
  <w:style w:type="paragraph" w:styleId="1028" w:customStyle="1">
    <w:name w:val="Andy_2级"/>
    <w:basedOn w:val="779"/>
    <w:link w:val="1027"/>
    <w:uiPriority w:val="0"/>
    <w:qFormat/>
    <w:pPr>
      <w:numPr>
        <w:ilvl w:val="1"/>
        <w:numId w:val="1"/>
      </w:numPr>
      <w:spacing w:line="360" w:lineRule="auto"/>
    </w:pPr>
    <w:rPr>
      <w:sz w:val="24"/>
    </w:rPr>
  </w:style>
  <w:style w:type="character" w:styleId="1029" w:customStyle="1">
    <w:name w:val="副标题 Char2"/>
    <w:uiPriority w:val="0"/>
    <w:qFormat/>
    <w:rPr>
      <w:rFonts w:ascii="Cambria" w:hAnsi="Cambria" w:cs="Times New Roman"/>
      <w:b/>
      <w:bCs/>
      <w:sz w:val="32"/>
      <w:szCs w:val="32"/>
    </w:rPr>
  </w:style>
  <w:style w:type="character" w:styleId="1030" w:customStyle="1">
    <w:name w:val="正文首行缩进 2 Char1"/>
    <w:uiPriority w:val="0"/>
    <w:qFormat/>
    <w:rPr>
      <w:rFonts w:ascii="方正仿宋简体" w:hAnsi="创艺简仿宋" w:eastAsia="楷体_GB2312"/>
      <w:sz w:val="26"/>
    </w:rPr>
  </w:style>
  <w:style w:type="character" w:styleId="1031" w:customStyle="1">
    <w:name w:val="ca-221"/>
    <w:uiPriority w:val="0"/>
    <w:qFormat/>
    <w:rPr>
      <w:rFonts w:hint="eastAsia" w:ascii="宋体" w:hAnsi="宋体" w:eastAsia="宋体"/>
      <w:color w:val="ff0000"/>
      <w:sz w:val="24"/>
      <w:szCs w:val="24"/>
    </w:rPr>
  </w:style>
  <w:style w:type="paragraph" w:styleId="1032" w:customStyle="1">
    <w:name w:val="纯文本11"/>
    <w:basedOn w:val="779"/>
    <w:uiPriority w:val="0"/>
    <w:qFormat/>
    <w:rPr>
      <w:rFonts w:ascii="宋体" w:hAnsi="Courier New" w:eastAsia="楷体_GB2312" w:cs="Times New Roman"/>
      <w:sz w:val="26"/>
      <w:szCs w:val="20"/>
    </w:rPr>
  </w:style>
  <w:style w:type="paragraph" w:styleId="1033" w:customStyle="1">
    <w:name w:val="xl70"/>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34" w:customStyle="1">
    <w:name w:val="xl69"/>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35" w:customStyle="1">
    <w:name w:val="xl79"/>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36" w:customStyle="1">
    <w:name w:val="xl86"/>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37" w:customStyle="1">
    <w:name w:val="纯文本2"/>
    <w:basedOn w:val="779"/>
    <w:uiPriority w:val="0"/>
    <w:qFormat/>
    <w:rPr>
      <w:rFonts w:ascii="宋体" w:hAnsi="Courier New" w:eastAsia="楷体_GB2312" w:cs="Times New Roman"/>
      <w:sz w:val="26"/>
      <w:szCs w:val="20"/>
    </w:rPr>
  </w:style>
  <w:style w:type="paragraph" w:styleId="1038" w:customStyle="1">
    <w:name w:val="列出段落2"/>
    <w:basedOn w:val="779"/>
    <w:uiPriority w:val="0"/>
    <w:qFormat/>
    <w:pPr>
      <w:ind w:firstLine="420"/>
    </w:pPr>
    <w:rPr>
      <w:rFonts w:ascii="Calibri" w:hAnsi="Calibri" w:eastAsia="宋体" w:cs="Times New Roman"/>
    </w:rPr>
  </w:style>
  <w:style w:type="paragraph" w:styleId="1039" w:customStyle="1">
    <w:name w:val="xl78"/>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40" w:customStyle="1">
    <w:name w:val="xl96"/>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41" w:customStyle="1">
    <w:name w:val="Char Char Char Char"/>
    <w:basedOn w:val="796"/>
    <w:uiPriority w:val="0"/>
    <w:qFormat/>
    <w:pPr>
      <w:ind w:left="357"/>
      <w:jc w:val="left"/>
      <w:spacing w:line="436" w:lineRule="exact"/>
      <w:outlineLvl w:val="3"/>
    </w:pPr>
    <w:rPr>
      <w:rFonts w:ascii="Tahoma" w:hAnsi="Tahoma" w:eastAsia="宋体"/>
      <w:b/>
      <w:sz w:val="24"/>
      <w:szCs w:val="24"/>
    </w:rPr>
  </w:style>
  <w:style w:type="paragraph" w:styleId="1042" w:customStyle="1">
    <w:name w:val="列出段落1"/>
    <w:basedOn w:val="779"/>
    <w:uiPriority w:val="0"/>
    <w:qFormat/>
    <w:pPr>
      <w:ind w:firstLine="420"/>
    </w:pPr>
    <w:rPr>
      <w:rFonts w:ascii="Calibri" w:hAnsi="Calibri" w:eastAsia="楷体_GB2312" w:cs="Times New Roman"/>
      <w:sz w:val="26"/>
      <w:szCs w:val="20"/>
    </w:rPr>
  </w:style>
  <w:style w:type="paragraph" w:styleId="1043" w:customStyle="1">
    <w:name w:val="xl74"/>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44" w:customStyle="1">
    <w:name w:val="纯文本4"/>
    <w:basedOn w:val="779"/>
    <w:uiPriority w:val="0"/>
    <w:qFormat/>
    <w:rPr>
      <w:rFonts w:ascii="宋体" w:hAnsi="Courier New" w:eastAsia="楷体_GB2312" w:cs="Times New Roman"/>
      <w:sz w:val="26"/>
      <w:szCs w:val="20"/>
    </w:rPr>
  </w:style>
  <w:style w:type="paragraph" w:styleId="1045" w:customStyle="1">
    <w:name w:val="xl92"/>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46" w:customStyle="1">
    <w:name w:val="xl66"/>
    <w:basedOn w:val="77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47" w:customStyle="1">
    <w:name w:val="xl94"/>
    <w:basedOn w:val="779"/>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48" w:customStyle="1">
    <w:name w:val="Char Char3"/>
    <w:basedOn w:val="779"/>
    <w:uiPriority w:val="0"/>
    <w:qFormat/>
    <w:pPr>
      <w:jc w:val="left"/>
      <w:spacing w:after="160" w:line="240" w:lineRule="exact"/>
      <w:widowControl/>
    </w:pPr>
    <w:rPr>
      <w:rFonts w:ascii="Calibri" w:hAnsi="Calibri" w:eastAsia="宋体" w:cs="Times New Roman"/>
      <w:sz w:val="24"/>
      <w:szCs w:val="24"/>
    </w:rPr>
  </w:style>
  <w:style w:type="paragraph" w:styleId="1049" w:customStyle="1">
    <w:name w:val="xl95"/>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50" w:customStyle="1">
    <w:name w:val="xl85"/>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51" w:customStyle="1">
    <w:name w:val="q3"/>
    <w:basedOn w:val="779"/>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52" w:customStyle="1">
    <w:name w:val="xl91"/>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53" w:customStyle="1">
    <w:name w:val="Char Char Char"/>
    <w:basedOn w:val="779"/>
    <w:uiPriority w:val="0"/>
    <w:qFormat/>
    <w:pPr>
      <w:numPr>
        <w:ilvl w:val="0"/>
        <w:numId w:val="2"/>
      </w:numPr>
    </w:pPr>
    <w:rPr>
      <w:rFonts w:ascii="Calibri" w:hAnsi="Calibri" w:eastAsia="宋体" w:cs="Times New Roman"/>
      <w:sz w:val="24"/>
      <w:szCs w:val="24"/>
    </w:rPr>
  </w:style>
  <w:style w:type="paragraph" w:styleId="1054" w:customStyle="1">
    <w:name w:val="xl80"/>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55" w:customStyle="1">
    <w:name w:val="修订1"/>
    <w:uiPriority w:val="99"/>
    <w:unhideWhenUsed/>
    <w:qFormat/>
    <w:rPr>
      <w:rFonts w:hint="default" w:ascii="Calibri" w:hAnsi="Calibri" w:eastAsia="楷体_GB2312" w:cs="Times New Roman"/>
      <w:sz w:val="26"/>
    </w:rPr>
  </w:style>
  <w:style w:type="paragraph" w:styleId="1056" w:customStyle="1">
    <w:name w:val="xl72"/>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57" w:customStyle="1">
    <w:name w:val="正文 New New New New"/>
    <w:uiPriority w:val="0"/>
    <w:qFormat/>
    <w:pPr>
      <w:jc w:val="both"/>
      <w:widowControl w:val="off"/>
    </w:pPr>
    <w:rPr>
      <w:rFonts w:hint="default" w:ascii="Calibri" w:hAnsi="Calibri" w:eastAsia="宋体" w:cs="Times New Roman"/>
      <w:szCs w:val="24"/>
    </w:rPr>
  </w:style>
  <w:style w:type="paragraph" w:styleId="1058" w:customStyle="1">
    <w:name w:val="纯文本111"/>
    <w:basedOn w:val="779"/>
    <w:uiPriority w:val="0"/>
    <w:qFormat/>
    <w:rPr>
      <w:rFonts w:ascii="宋体" w:hAnsi="Courier New" w:eastAsia="楷体_GB2312" w:cs="Times New Roman"/>
      <w:sz w:val="26"/>
      <w:szCs w:val="20"/>
    </w:rPr>
  </w:style>
  <w:style w:type="paragraph" w:styleId="1059" w:customStyle="1">
    <w:name w:val="xl93"/>
    <w:basedOn w:val="77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60" w:customStyle="1">
    <w:name w:val="_Style 84"/>
    <w:uiPriority w:val="99"/>
    <w:unhideWhenUsed/>
    <w:qFormat/>
    <w:pPr>
      <w:jc w:val="both"/>
      <w:widowControl w:val="off"/>
    </w:pPr>
    <w:rPr>
      <w:rFonts w:hint="default" w:ascii="Calibri" w:hAnsi="Calibri" w:eastAsia="楷体_GB2312" w:cs="Times New Roman"/>
      <w:sz w:val="26"/>
    </w:rPr>
  </w:style>
  <w:style w:type="paragraph" w:styleId="1061" w:customStyle="1">
    <w:name w:val="xl71"/>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62" w:customStyle="1">
    <w:name w:val="xl87"/>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63" w:customStyle="1">
    <w:name w:val="Char"/>
    <w:basedOn w:val="779"/>
    <w:uiPriority w:val="0"/>
    <w:qFormat/>
    <w:pPr>
      <w:jc w:val="left"/>
      <w:spacing w:after="160" w:line="240" w:lineRule="exact"/>
      <w:widowControl/>
    </w:pPr>
    <w:rPr>
      <w:rFonts w:ascii="Verdana" w:hAnsi="Verdana" w:eastAsia="仿宋_GB2312" w:cs="Times New Roman"/>
      <w:sz w:val="24"/>
      <w:szCs w:val="20"/>
      <w:lang w:eastAsia="en-US"/>
    </w:rPr>
  </w:style>
  <w:style w:type="paragraph" w:styleId="1064" w:customStyle="1">
    <w:name w:val="xl67"/>
    <w:basedOn w:val="779"/>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65" w:customStyle="1">
    <w:name w:val="xl81"/>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66" w:customStyle="1">
    <w:name w:val="xl73"/>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67" w:customStyle="1">
    <w:name w:val="xl68"/>
    <w:basedOn w:val="779"/>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68" w:customStyle="1">
    <w:name w:val="正文1"/>
    <w:basedOn w:val="779"/>
    <w:next w:val="779"/>
    <w:uiPriority w:val="0"/>
    <w:qFormat/>
    <w:pPr>
      <w:ind w:left="420" w:firstLine="527"/>
      <w:spacing w:before="120" w:line="360" w:lineRule="auto"/>
    </w:pPr>
    <w:rPr>
      <w:rFonts w:ascii="宋体" w:hAnsi="宋体" w:eastAsia="宋体" w:cs="Times New Roman"/>
      <w:sz w:val="24"/>
      <w:szCs w:val="24"/>
    </w:rPr>
  </w:style>
  <w:style w:type="paragraph" w:styleId="1069" w:customStyle="1">
    <w:name w:val="xl90"/>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70" w:customStyle="1">
    <w:name w:val="xl83"/>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71" w:customStyle="1">
    <w:name w:val="xl76"/>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2" w:customStyle="1">
    <w:name w:val="xl82"/>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73">
    <w:name w:val="List Paragraph"/>
    <w:basedOn w:val="779"/>
    <w:uiPriority w:val="34"/>
    <w:qFormat/>
    <w:pPr>
      <w:ind w:firstLine="420"/>
    </w:pPr>
    <w:rPr>
      <w:rFonts w:ascii="Calibri" w:hAnsi="Calibri" w:eastAsia="楷体_GB2312" w:cs="Times New Roman"/>
      <w:sz w:val="26"/>
      <w:szCs w:val="20"/>
    </w:rPr>
  </w:style>
  <w:style w:type="paragraph" w:styleId="1074" w:customStyle="1">
    <w:name w:val="纯文本5"/>
    <w:basedOn w:val="779"/>
    <w:uiPriority w:val="0"/>
    <w:qFormat/>
    <w:rPr>
      <w:rFonts w:ascii="宋体" w:hAnsi="Courier New" w:eastAsia="楷体_GB2312" w:cs="Times New Roman"/>
      <w:sz w:val="26"/>
      <w:szCs w:val="20"/>
    </w:rPr>
  </w:style>
  <w:style w:type="paragraph" w:styleId="1075" w:customStyle="1">
    <w:name w:val="xl84"/>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6" w:customStyle="1">
    <w:name w:val="xl88"/>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77" w:customStyle="1">
    <w:name w:val="xl75"/>
    <w:basedOn w:val="7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78" w:customStyle="1">
    <w:name w:val="xl97"/>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79" w:customStyle="1">
    <w:name w:val="xl77"/>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80" w:customStyle="1">
    <w:name w:val="xl89"/>
    <w:basedOn w:val="7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81" w:customStyle="1">
    <w:name w:val="Table Grid"/>
    <w:uiPriority w:val="0"/>
    <w:qFormat/>
    <w:rPr>
      <w:rFonts w:ascii="Calibri" w:hAnsi="Calibri"/>
    </w:rPr>
    <w:tblPr>
      <w:tblCellMar>
        <w:left w:w="0" w:type="dxa"/>
        <w:top w:w="0" w:type="dxa"/>
        <w:right w:w="0" w:type="dxa"/>
        <w:bottom w:w="0" w:type="dxa"/>
      </w:tblCellMar>
    </w:tblPr>
  </w:style>
  <w:style w:type="paragraph" w:styleId="1082" w:customStyle="1">
    <w:name w:val="Plain Text1"/>
    <w:basedOn w:val="779"/>
    <w:uiPriority w:val="0"/>
    <w:qFormat/>
    <w:rPr>
      <w:rFonts w:ascii="宋体" w:hAnsi="Courier New" w:eastAsia="楷体_GB2312" w:cs="Times New Roman"/>
      <w:sz w:val="26"/>
      <w:szCs w:val="20"/>
    </w:rPr>
  </w:style>
  <w:style w:type="table" w:styleId="1083" w:customStyle="1">
    <w:name w:val="网格型1"/>
    <w:basedOn w:val="79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customStyle="1">
    <w:name w:val="正文3"/>
    <w:uiPriority w:val="0"/>
    <w:qFormat/>
    <w:pPr>
      <w:jc w:val="both"/>
      <w:spacing w:line="315" w:lineRule="atLeast"/>
      <w:widowControl w:val="off"/>
    </w:pPr>
    <w:rPr>
      <w:rFonts w:hint="default" w:ascii="宋体" w:hAnsi="Calibri" w:eastAsia="宋体" w:cs="Times New Roman"/>
      <w:sz w:val="24"/>
    </w:rPr>
  </w:style>
  <w:style w:type="paragraph" w:styleId="1085" w:customStyle="1">
    <w:name w:val="修订2"/>
    <w:hidden/>
    <w:uiPriority w:val="99"/>
    <w:semiHidden/>
    <w:qFormat/>
    <w:rPr>
      <w:rFonts w:hint="default" w:asciiTheme="minorHAnsi" w:hAnsiTheme="minorHAnsi" w:eastAsiaTheme="minorEastAsia" w:cstheme="minorBidi"/>
      <w:sz w:val="21"/>
      <w:szCs w:val="22"/>
    </w:rPr>
  </w:style>
  <w:style w:type="paragraph" w:styleId="1086" w:customStyle="1">
    <w:name w:val="修订3"/>
    <w:hidden/>
    <w:uiPriority w:val="99"/>
    <w:semiHidden/>
    <w:qFormat/>
    <w:rPr>
      <w:rFonts w:hint="default" w:asciiTheme="minorHAnsi" w:hAnsiTheme="minorHAnsi" w:eastAsiaTheme="minorEastAsia" w:cstheme="minorBidi"/>
      <w:sz w:val="21"/>
      <w:szCs w:val="22"/>
    </w:rPr>
  </w:style>
  <w:style w:type="paragraph" w:styleId="1087" w:customStyle="1">
    <w:name w:val="纯文本21"/>
    <w:uiPriority w:val="0"/>
    <w:qFormat/>
    <w:pPr>
      <w:jc w:val="both"/>
      <w:widowControl w:val="off"/>
    </w:pPr>
    <w:rPr>
      <w:rFonts w:hint="eastAsia" w:ascii="宋体" w:hAnsi="Courier New" w:eastAsia="楷体_GB2312" w:cs="Times New Roman"/>
      <w:sz w:val="26"/>
    </w:rPr>
  </w:style>
  <w:style w:type="paragraph" w:styleId="1088" w:customStyle="1">
    <w:name w:val="修订4"/>
    <w:hidden/>
    <w:uiPriority w:val="99"/>
    <w:semiHidden/>
    <w:qFormat/>
    <w:rPr>
      <w:rFonts w:hint="default" w:asciiTheme="minorHAnsi" w:hAnsiTheme="minorHAnsi" w:eastAsiaTheme="minorEastAsia" w:cstheme="minorBidi"/>
      <w:sz w:val="21"/>
      <w:szCs w:val="22"/>
    </w:rPr>
  </w:style>
  <w:style w:type="paragraph" w:styleId="1089" w:customStyle="1">
    <w:name w:val="修订5"/>
    <w:hidden/>
    <w:uiPriority w:val="99"/>
    <w:semiHidden/>
    <w:qFormat/>
    <w:rPr>
      <w:rFonts w:hint="default" w:asciiTheme="minorHAnsi" w:hAnsiTheme="minorHAnsi" w:eastAsiaTheme="minorEastAsia" w:cstheme="minorBidi"/>
      <w:sz w:val="21"/>
      <w:szCs w:val="22"/>
    </w:rPr>
  </w:style>
  <w:style w:type="character" w:styleId="1090" w:customStyle="1">
    <w:name w:val="font81"/>
    <w:basedOn w:val="789"/>
    <w:uiPriority w:val="0"/>
    <w:qFormat/>
    <w:rPr>
      <w:rFonts w:hint="eastAsia" w:ascii="宋体" w:hAnsi="宋体" w:eastAsia="宋体" w:cs="宋体"/>
      <w:color w:val="000000"/>
      <w:sz w:val="18"/>
      <w:szCs w:val="18"/>
      <w:u w:val="none"/>
    </w:rPr>
  </w:style>
  <w:style w:type="character" w:styleId="1091" w:customStyle="1">
    <w:name w:val="font91"/>
    <w:basedOn w:val="789"/>
    <w:uiPriority w:val="0"/>
    <w:qFormat/>
    <w:rPr>
      <w:rFonts w:hint="eastAsia" w:ascii="宋体" w:hAnsi="宋体" w:eastAsia="宋体" w:cs="宋体"/>
      <w:b/>
      <w:bCs/>
      <w:color w:val="ff0000"/>
      <w:sz w:val="18"/>
      <w:szCs w:val="18"/>
      <w:u w:val="none"/>
    </w:rPr>
  </w:style>
  <w:style w:type="character" w:styleId="1092" w:customStyle="1">
    <w:name w:val="font21"/>
    <w:basedOn w:val="789"/>
    <w:uiPriority w:val="0"/>
    <w:qFormat/>
    <w:rPr>
      <w:rFonts w:hint="eastAsia" w:ascii="宋体" w:hAnsi="宋体" w:eastAsia="宋体" w:cs="宋体"/>
      <w:b/>
      <w:bCs/>
      <w:color w:val="000000"/>
      <w:sz w:val="22"/>
      <w:szCs w:val="22"/>
      <w:u w:val="none"/>
    </w:rPr>
  </w:style>
  <w:style w:type="character" w:styleId="1093" w:customStyle="1">
    <w:name w:val="font51"/>
    <w:basedOn w:val="789"/>
    <w:uiPriority w:val="0"/>
    <w:qFormat/>
    <w:rPr>
      <w:rFonts w:hint="eastAsia" w:ascii="宋体" w:hAnsi="宋体" w:eastAsia="宋体" w:cs="宋体"/>
      <w:b/>
      <w:bCs/>
      <w:color w:val="ff0000"/>
      <w:sz w:val="22"/>
      <w:szCs w:val="22"/>
      <w:u w:val="none"/>
    </w:rPr>
  </w:style>
  <w:style w:type="character" w:styleId="1094" w:customStyle="1">
    <w:name w:val="font31"/>
    <w:basedOn w:val="789"/>
    <w:uiPriority w:val="0"/>
    <w:qFormat/>
    <w:rPr>
      <w:rFonts w:hint="eastAsia" w:ascii="宋体" w:hAnsi="宋体" w:eastAsia="宋体" w:cs="宋体"/>
      <w:color w:val="000000"/>
      <w:sz w:val="22"/>
      <w:szCs w:val="22"/>
      <w:u w:val="none"/>
    </w:rPr>
  </w:style>
  <w:style w:type="character" w:styleId="1095" w:customStyle="1">
    <w:name w:val="font61"/>
    <w:basedOn w:val="789"/>
    <w:uiPriority w:val="0"/>
    <w:qFormat/>
    <w:rPr>
      <w:rFonts w:hint="eastAsia" w:ascii="宋体" w:hAnsi="宋体" w:eastAsia="宋体" w:cs="宋体"/>
      <w:color w:val="ff0000"/>
      <w:sz w:val="22"/>
      <w:szCs w:val="22"/>
      <w:u w:val="none"/>
    </w:rPr>
  </w:style>
  <w:style w:type="table" w:styleId="1096" w:customStyle="1">
    <w:name w:val="Table Normal"/>
    <w:uiPriority w:val="0"/>
    <w:unhideWhenUsed/>
    <w:qFormat/>
    <w:tblPr>
      <w:tblCellMar>
        <w:left w:w="0" w:type="dxa"/>
        <w:top w:w="0" w:type="dxa"/>
        <w:right w:w="0" w:type="dxa"/>
        <w:bottom w:w="0" w:type="dxa"/>
      </w:tblCellMar>
    </w:tblPr>
  </w:style>
  <w:style w:type="character" w:styleId="1097" w:customStyle="1">
    <w:name w:val="NormalCharacter"/>
    <w:uiPriority w:val="0"/>
    <w:semiHidden/>
    <w:qFormat/>
  </w:style>
  <w:style w:type="paragraph" w:styleId="1098" w:customStyle="1">
    <w:name w:val="NormalIndent"/>
    <w:basedOn w:val="779"/>
    <w:uiPriority w:val="0"/>
    <w:qFormat/>
    <w:pPr>
      <w:ind w:firstLine="420"/>
      <w:jc w:val="left"/>
      <w:widowControl/>
    </w:pPr>
    <w:rPr>
      <w:sz w:val="24"/>
    </w:rPr>
  </w:style>
  <w:style w:type="paragraph" w:styleId="1099" w:customStyle="1">
    <w:name w:val="正文缩进1"/>
    <w:basedOn w:val="779"/>
    <w:uiPriority w:val="0"/>
    <w:qFormat/>
    <w:pPr>
      <w:ind w:firstLine="420"/>
      <w:jc w:val="left"/>
    </w:pPr>
    <w:rPr>
      <w:sz w:val="24"/>
    </w:rPr>
  </w:style>
  <w:style w:type="paragraph" w:styleId="1100"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3FEE30-CA69-4E23-A1A7-85AD10BD71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程天宇</cp:lastModifiedBy>
  <cp:revision>123</cp:revision>
  <dcterms:created xsi:type="dcterms:W3CDTF">2022-06-13T16:19:00Z</dcterms:created>
  <dcterms:modified xsi:type="dcterms:W3CDTF">2026-06-30T03:35:43Z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161F5DBD471B4486A8C2C27DC36F8AA1_13</vt:lpwstr>
  </property>
  <property fmtid="{D5CDD505-2E9C-101B-9397-08002B2CF9AE}" pid="4" name="KSOTemplateDocerSaveRecord">
    <vt:lpwstr>eyJoZGlkIjoiNTAyMTg2ODhmMGViNDI0YzgxYWEyYmYwYmMzMmQ3MGEiLCJ1c2VySWQiOiIyNjkwNDc1NjUifQ==</vt:lpwstr>
  </property>
</Properties>
</file>