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编号:</w:t>
      </w:r>
      <w:r>
        <w:rPr>
          <w:rFonts w:hint="eastAsia" w:ascii="宋体" w:hAnsi="宋体" w:eastAsia="宋体" w:cs="宋体"/>
          <w:b/>
          <w:color w:val="auto"/>
          <w:sz w:val="30"/>
          <w:szCs w:val="30"/>
          <w:highlight w:val="none"/>
          <w:lang w:eastAsia="zh-CN"/>
        </w:rPr>
        <w:t xml:space="preserve">JSZC-321081-CCZT-G2026-0003</w:t>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2026年仪征市粮油区域性农业综合服务中心四情监测设备采购</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公开招标文件</w:t>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68580</wp:posOffset>
                </wp:positionV>
                <wp:extent cx="5421630" cy="4867275"/>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7"/>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5.4pt;mso-position-vertical:absolute;width:426.9pt;height:383.2pt;mso-wrap-distance-left:9.0pt;mso-wrap-distance-top:0.0pt;mso-wrap-distance-right:9.0pt;mso-wrap-distance-bottom:0.0pt;" stroked="f">
                <v:path textboxrect="0,0,0,0"/>
                <v:imagedata r:id="rId17"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扬州传承招投标代理有限公司</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年0</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月</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目 录</w:t>
      </w:r>
      <w:r/>
    </w:p>
    <w:p>
      <w:pPr>
        <w:pStyle w:val="91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_Toc109304962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1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7</w:t>
      </w:r>
      <w:r/>
    </w:p>
    <w:p>
      <w:pPr>
        <w:pStyle w:val="91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18</w:t>
      </w:r>
      <w:r/>
    </w:p>
    <w:p>
      <w:pPr>
        <w:pStyle w:val="91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t xml:space="preserve">22</w:t>
      </w:r>
      <w:r/>
    </w:p>
    <w:p>
      <w:pPr>
        <w:pStyle w:val="91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r>
        <w:rPr>
          <w:rFonts w:hint="eastAsia" w:ascii="宋体" w:hAnsi="宋体" w:eastAsia="宋体" w:cs="宋体"/>
          <w:color w:val="auto"/>
          <w:highlight w:val="none"/>
        </w:rPr>
        <w:tab/>
      </w:r>
      <w:r>
        <w:rPr>
          <w:rFonts w:hint="eastAsia" w:ascii="宋体" w:hAnsi="宋体" w:eastAsia="宋体" w:cs="宋体"/>
          <w:color w:val="auto"/>
          <w:highlight w:val="none"/>
        </w:rPr>
        <w:t xml:space="preserve">26</w:t>
      </w:r>
      <w:r/>
    </w:p>
    <w:p>
      <w:pPr>
        <w:pStyle w:val="91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30</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szCs w:val="36"/>
          <w:highlight w:val="none"/>
        </w:rPr>
        <w:br w:type="page" w:clear="all"/>
      </w:r>
      <w:bookmarkStart w:id="0" w:name="_Toc109304962"/>
      <w:r>
        <w:rPr>
          <w:rFonts w:hint="eastAsia" w:ascii="宋体" w:hAnsi="宋体" w:eastAsia="宋体" w:cs="宋体"/>
          <w:color w:val="auto"/>
          <w:highlight w:val="none"/>
        </w:rPr>
        <w:t xml:space="preserve">第一章 </w:t>
      </w:r>
      <w:bookmarkEnd w:id="0"/>
      <w:r>
        <w:rPr>
          <w:rFonts w:hint="eastAsia" w:ascii="宋体" w:hAnsi="宋体" w:eastAsia="宋体" w:cs="宋体"/>
          <w:color w:val="auto"/>
          <w:highlight w:val="none"/>
        </w:rPr>
        <w:t xml:space="preserve">2026年仪征市粮油区域性农业综合服务中心四情监测设备采购招标公告</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u w:val="single"/>
        </w:rPr>
        <w:t xml:space="preserve">2026年仪征市粮油区域性农业综合服务中心四情监测设备采购</w:t>
      </w:r>
      <w:r>
        <w:rPr>
          <w:rFonts w:hint="eastAsia" w:ascii="宋体" w:hAnsi="宋体" w:eastAsia="宋体" w:cs="宋体"/>
          <w:color w:val="auto"/>
          <w:szCs w:val="21"/>
          <w:highlight w:val="none"/>
        </w:rPr>
        <w:t xml:space="preserve">的潜在投标人</w:t>
      </w:r>
      <w:r>
        <w:rPr>
          <w:rFonts w:hint="eastAsia" w:ascii="宋体" w:hAnsi="宋体" w:eastAsia="宋体" w:cs="宋体"/>
          <w:color w:val="auto"/>
          <w:szCs w:val="21"/>
          <w:highlight w:val="none"/>
          <w:u w:val="single"/>
        </w:rPr>
        <w:t xml:space="preserve">可在“仪征市政府采购网”、“扬州市政府采购网”、“江苏省政府采购网”“中国政府采购网”自行免费下载</w:t>
      </w:r>
      <w:r>
        <w:rPr>
          <w:rFonts w:hint="eastAsia" w:ascii="宋体" w:hAnsi="宋体" w:eastAsia="宋体" w:cs="宋体"/>
          <w:color w:val="auto"/>
          <w:szCs w:val="21"/>
          <w:highlight w:val="none"/>
        </w:rPr>
        <w:t xml:space="preserve">采购文件，并于</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eastAsia="宋体" w:cs="宋体"/>
          <w:bCs/>
          <w:color w:val="auto"/>
          <w:szCs w:val="21"/>
          <w:highlight w:val="none"/>
          <w:u w:val="single"/>
          <w:lang w:val="en-US" w:eastAsia="zh-CN"/>
        </w:rPr>
        <w:t xml:space="preserve">07</w:t>
      </w:r>
      <w:r>
        <w:rPr>
          <w:rFonts w:hint="eastAsia" w:ascii="宋体" w:hAnsi="宋体" w:eastAsia="宋体" w:cs="宋体"/>
          <w:bCs/>
          <w:color w:val="auto"/>
          <w:szCs w:val="21"/>
          <w:highlight w:val="none"/>
          <w:u w:val="single"/>
        </w:rPr>
        <w:t xml:space="preserve">月</w:t>
      </w: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日09点00分</w:t>
      </w:r>
      <w:r>
        <w:rPr>
          <w:rFonts w:hint="eastAsia" w:ascii="宋体" w:hAnsi="宋体" w:eastAsia="宋体" w:cs="宋体"/>
          <w:bCs/>
          <w:color w:val="auto"/>
          <w:szCs w:val="21"/>
          <w:highlight w:val="none"/>
        </w:rPr>
        <w:t xml:space="preserve">（北京时间）前提交投标文件</w:t>
      </w:r>
      <w:r>
        <w:rPr>
          <w:rFonts w:hint="eastAsia" w:ascii="宋体" w:hAnsi="宋体" w:eastAsia="宋体" w:cs="宋体"/>
          <w:color w:val="auto"/>
          <w:szCs w:val="21"/>
          <w:highlight w:val="none"/>
        </w:rPr>
        <w:t xml:space="preserve">。</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bookmarkStart w:id="1" w:name="_Toc109304963"/>
      <w:r>
        <w:rPr>
          <w:rFonts w:hint="eastAsia" w:ascii="宋体" w:hAnsi="宋体" w:eastAsia="宋体" w:cs="宋体"/>
          <w:bCs w:val="0"/>
          <w:color w:val="auto"/>
          <w:sz w:val="21"/>
          <w:szCs w:val="21"/>
          <w:highlight w:val="none"/>
        </w:rPr>
        <w:t xml:space="preserve">一、项目基本情况</w:t>
      </w:r>
      <w:bookmarkEnd w:id="1"/>
      <w:r/>
      <w:r/>
    </w:p>
    <w:p>
      <w:pPr>
        <w:ind w:firstLine="420"/>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szCs w:val="21"/>
          <w:highlight w:val="none"/>
          <w:shd w:val="clear" w:color="auto" w:fill="ffffff"/>
          <w:lang w:eastAsia="zh-CN"/>
        </w:rPr>
        <w:t xml:space="preserve">JSZC-321081-CCZT-G2026-0003</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2.项目名称：2026年仪征市粮油区域性农业综合服务中心四情监测设备采购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3.采购方式：公开招标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4.预算</w:t>
      </w:r>
      <w:r>
        <w:rPr>
          <w:rFonts w:hint="eastAsia" w:ascii="宋体" w:hAnsi="宋体" w:eastAsia="宋体" w:cs="宋体"/>
          <w:color w:val="auto"/>
          <w:highlight w:val="none"/>
        </w:rPr>
        <w:t xml:space="preserve">金额：</w:t>
      </w:r>
      <w:r>
        <w:rPr>
          <w:rFonts w:hint="eastAsia" w:ascii="宋体" w:hAnsi="宋体" w:eastAsia="宋体" w:cs="宋体"/>
          <w:color w:val="auto"/>
          <w:szCs w:val="21"/>
          <w:highlight w:val="none"/>
          <w:lang w:val="en-US" w:eastAsia="zh-CN"/>
        </w:rPr>
        <w:t xml:space="preserve">125</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5.最高限价：</w:t>
      </w:r>
      <w:r>
        <w:rPr>
          <w:rFonts w:hint="eastAsia" w:ascii="宋体" w:hAnsi="宋体" w:eastAsia="宋体" w:cs="宋体"/>
          <w:color w:val="auto"/>
          <w:highlight w:val="none"/>
          <w:lang w:val="en-US" w:eastAsia="zh-CN"/>
        </w:rPr>
        <w:t xml:space="preserve">125万元，</w:t>
      </w:r>
      <w:r>
        <w:rPr>
          <w:rFonts w:hint="eastAsia" w:ascii="宋体" w:hAnsi="宋体" w:eastAsia="宋体" w:cs="宋体"/>
          <w:color w:val="auto"/>
          <w:szCs w:val="21"/>
          <w:highlight w:val="none"/>
          <w:lang w:val="zh-CN"/>
        </w:rPr>
        <w:t xml:space="preserve">报价超过最高限价的为无效报价，按照无效响应处理。</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6.采购需求：见采购文件第四章</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7.合同履行期限</w:t>
      </w:r>
      <w:r>
        <w:rPr>
          <w:rFonts w:hint="eastAsia" w:ascii="宋体" w:hAnsi="宋体" w:eastAsia="宋体" w:cs="宋体"/>
          <w:b/>
          <w:bCs/>
          <w:color w:val="auto"/>
          <w:szCs w:val="21"/>
          <w:highlight w:val="none"/>
        </w:rPr>
        <w:t xml:space="preserve">：合同签订之日起30个日历天内(除不可抗力、非乙方原因)完成供货并安装调试验收合格。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highlight w:val="none"/>
        </w:rPr>
        <w:t xml:space="preserve">本项目不接受进口产品投标。</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bookmarkStart w:id="2" w:name="_Toc109304964"/>
      <w:r>
        <w:rPr>
          <w:rFonts w:hint="eastAsia" w:ascii="宋体" w:hAnsi="宋体" w:eastAsia="宋体" w:cs="宋体"/>
          <w:bCs w:val="0"/>
          <w:color w:val="auto"/>
          <w:sz w:val="21"/>
          <w:szCs w:val="21"/>
          <w:highlight w:val="none"/>
        </w:rPr>
        <w:t xml:space="preserve">二、申请人的资格要求：</w:t>
      </w:r>
      <w:bookmarkEnd w:id="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（一）满足《中华人民共和国政府采购法》第二十二条规定，并提供下列材料的</w:t>
      </w:r>
      <w:r>
        <w:rPr>
          <w:rFonts w:hint="eastAsia" w:ascii="宋体" w:hAnsi="宋体" w:eastAsia="宋体" w:cs="宋体"/>
          <w:b/>
          <w:color w:val="auto"/>
          <w:szCs w:val="21"/>
          <w:highlight w:val="none"/>
        </w:rPr>
        <w:t xml:space="preserve">彩色原件扫描件</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w:t>
      </w:r>
      <w:r>
        <w:rPr>
          <w:rFonts w:hint="eastAsia" w:ascii="宋体" w:hAnsi="宋体" w:eastAsia="宋体" w:cs="宋体"/>
          <w:b/>
          <w:bCs/>
          <w:i/>
          <w:iCs/>
          <w:color w:val="auto"/>
          <w:szCs w:val="21"/>
          <w:highlight w:val="none"/>
          <w:u w:val="single"/>
          <w:lang w:val="en-US" w:eastAsia="zh-CN"/>
        </w:rPr>
        <w:t xml:space="preserve">六</w:t>
      </w:r>
      <w:r>
        <w:rPr>
          <w:rFonts w:hint="eastAsia" w:ascii="宋体" w:hAnsi="宋体" w:eastAsia="宋体" w:cs="宋体"/>
          <w:b/>
          <w:bCs/>
          <w:i/>
          <w:iCs/>
          <w:color w:val="auto"/>
          <w:szCs w:val="21"/>
          <w:highlight w:val="none"/>
          <w:u w:val="single"/>
        </w:rPr>
        <w:t xml:space="preserve">个月内任意一个月缴纳社会保障资金的缴款凭证或缴款证明)（供应商依法享受缓缴、免缴的提供证明材料）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供应商近</w:t>
      </w:r>
      <w:r>
        <w:rPr>
          <w:rFonts w:hint="eastAsia" w:ascii="宋体" w:hAnsi="宋体" w:eastAsia="宋体" w:cs="宋体"/>
          <w:i/>
          <w:iCs/>
          <w:color w:val="auto"/>
          <w:szCs w:val="21"/>
          <w:highlight w:val="none"/>
          <w:u w:val="single"/>
          <w:lang w:val="en-US" w:eastAsia="zh-CN"/>
        </w:rPr>
        <w:t xml:space="preserve">六</w:t>
      </w:r>
      <w:r>
        <w:rPr>
          <w:rFonts w:hint="eastAsia" w:ascii="宋体" w:hAnsi="宋体" w:eastAsia="宋体" w:cs="宋体"/>
          <w:i/>
          <w:iCs/>
          <w:color w:val="auto"/>
          <w:szCs w:val="21"/>
          <w:highlight w:val="none"/>
          <w:u w:val="single"/>
        </w:rPr>
        <w:t xml:space="preserve">个月内任意一份依法纳税的缴款凭证</w:t>
      </w:r>
      <w:r>
        <w:rPr>
          <w:rFonts w:hint="eastAsia" w:ascii="宋体" w:hAnsi="宋体" w:eastAsia="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2025年度的财务状况报告</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 xml:space="preserve">（供应商无需提供，由代理机构现场查询）</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1.8供应商信用承诺函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w:t>
      </w:r>
      <w:r>
        <w:rPr>
          <w:rFonts w:hint="eastAsia" w:ascii="宋体" w:hAnsi="宋体" w:eastAsia="宋体" w:cs="宋体"/>
          <w:b/>
          <w:i/>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（三）本项目的特定资格要求：</w:t>
      </w:r>
      <w:r>
        <w:rPr>
          <w:rFonts w:hint="eastAsia" w:ascii="宋体" w:hAnsi="宋体" w:eastAsia="宋体" w:cs="宋体"/>
          <w:b/>
          <w:bCs/>
          <w:i/>
          <w:iCs/>
          <w:color w:val="auto"/>
          <w:szCs w:val="21"/>
          <w:highlight w:val="none"/>
          <w:u w:val="single"/>
        </w:rPr>
        <w:t xml:space="preserve">无</w:t>
      </w:r>
      <w:r/>
    </w:p>
    <w:p>
      <w:pPr>
        <w:pStyle w:val="89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 w:name="_Toc109304965"/>
      <w:r>
        <w:rPr>
          <w:rFonts w:hint="eastAsia" w:ascii="宋体" w:hAnsi="宋体" w:eastAsia="宋体" w:cs="宋体"/>
          <w:bCs w:val="0"/>
          <w:color w:val="auto"/>
          <w:sz w:val="21"/>
          <w:szCs w:val="21"/>
          <w:highlight w:val="none"/>
        </w:rPr>
        <w:t xml:space="preserve">三、获取采购文件</w:t>
      </w:r>
      <w:bookmarkEnd w:id="3"/>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bookmarkStart w:id="4" w:name="_Toc109304966"/>
      <w:r>
        <w:rPr>
          <w:rFonts w:hint="eastAsia" w:ascii="宋体" w:hAnsi="宋体" w:eastAsia="宋体" w:cs="宋体"/>
          <w:color w:val="auto"/>
          <w:szCs w:val="21"/>
          <w:highlight w:val="none"/>
        </w:rPr>
        <w:t xml:space="preserve">1.时间：自招标文件公告发布之日起5个工作日。5个工作日后仍可下载采购文件，但不作为供应商权益受到损害的证明材料和依据。 </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2.地点：“仪征市政府采购网”、“扬州市政府采购网”、“江苏省政府采购网”“中国政府采购网”</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4.售价：0.00元</w:t>
      </w:r>
      <w:r/>
    </w:p>
    <w:p>
      <w:pPr>
        <w:pStyle w:val="89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w:t>
      </w:r>
      <w:bookmarkEnd w:id="4"/>
      <w:r>
        <w:rPr>
          <w:rFonts w:hint="eastAsia" w:ascii="宋体" w:hAnsi="宋体" w:eastAsia="宋体" w:cs="宋体"/>
          <w:bCs w:val="0"/>
          <w:color w:val="auto"/>
          <w:sz w:val="21"/>
          <w:szCs w:val="21"/>
          <w:highlight w:val="none"/>
        </w:rPr>
        <w:t xml:space="preserve">提交投标文件截止时间、开标时间和地点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1.截止时间：</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eastAsia="宋体" w:cs="宋体"/>
          <w:bCs/>
          <w:color w:val="auto"/>
          <w:szCs w:val="21"/>
          <w:highlight w:val="none"/>
          <w:u w:val="single"/>
          <w:lang w:val="en-US" w:eastAsia="zh-CN"/>
        </w:rPr>
        <w:t xml:space="preserve">07</w:t>
      </w:r>
      <w:r>
        <w:rPr>
          <w:rFonts w:hint="eastAsia" w:ascii="宋体" w:hAnsi="宋体" w:eastAsia="宋体" w:cs="宋体"/>
          <w:bCs/>
          <w:color w:val="auto"/>
          <w:szCs w:val="21"/>
          <w:highlight w:val="none"/>
          <w:u w:val="single"/>
        </w:rPr>
        <w:t xml:space="preserve">月</w:t>
      </w: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日09点00分</w:t>
      </w:r>
      <w:r>
        <w:rPr>
          <w:rFonts w:hint="eastAsia" w:ascii="宋体" w:hAnsi="宋体" w:eastAsia="宋体" w:cs="宋体"/>
          <w:bCs/>
          <w:color w:val="auto"/>
          <w:szCs w:val="21"/>
          <w:highlight w:val="none"/>
        </w:rPr>
        <w:t xml:space="preserve">（北京时间）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2.地点：“苏采云”系统（网址：http://jszfcg.jsczt.cn/）“开标大厅”</w:t>
      </w:r>
      <w:r/>
    </w:p>
    <w:p>
      <w:pPr>
        <w:pStyle w:val="89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 w:name="_Toc109304967"/>
      <w:r>
        <w:rPr>
          <w:rFonts w:hint="eastAsia" w:ascii="宋体" w:hAnsi="宋体" w:eastAsia="宋体" w:cs="宋体"/>
          <w:bCs w:val="0"/>
          <w:color w:val="auto"/>
          <w:sz w:val="21"/>
          <w:szCs w:val="21"/>
          <w:highlight w:val="none"/>
        </w:rPr>
        <w:t xml:space="preserve">五、</w:t>
      </w:r>
      <w:bookmarkEnd w:id="5"/>
      <w:r/>
      <w:bookmarkStart w:id="6" w:name="_Toc109304968"/>
      <w:r>
        <w:rPr>
          <w:rFonts w:hint="eastAsia" w:ascii="宋体" w:hAnsi="宋体" w:eastAsia="宋体" w:cs="宋体"/>
          <w:bCs w:val="0"/>
          <w:color w:val="auto"/>
          <w:sz w:val="21"/>
          <w:szCs w:val="21"/>
          <w:highlight w:val="none"/>
        </w:rPr>
        <w:t xml:space="preserve">公告期限</w:t>
      </w:r>
      <w:bookmarkEnd w:id="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pStyle w:val="893"/>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7" w:name="_Toc109304969"/>
      <w:r>
        <w:rPr>
          <w:rFonts w:hint="eastAsia" w:ascii="宋体" w:hAnsi="宋体" w:eastAsia="宋体" w:cs="宋体"/>
          <w:color w:val="auto"/>
          <w:sz w:val="21"/>
          <w:szCs w:val="21"/>
          <w:highlight w:val="none"/>
        </w:rPr>
        <w:t xml:space="preserve">六、其他补充事宜</w:t>
      </w:r>
      <w:bookmarkEnd w:id="7"/>
      <w:r/>
      <w:r/>
    </w:p>
    <w:p>
      <w:pPr>
        <w:pStyle w:val="89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t xml:space="preserve">  </w:t>
      </w:r>
      <w:bookmarkStart w:id="8" w:name="_Toc109304970"/>
      <w:r>
        <w:rPr>
          <w:rFonts w:hint="eastAsia" w:ascii="宋体" w:hAnsi="宋体" w:eastAsia="宋体" w:cs="宋体"/>
          <w:bCs w:val="0"/>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893"/>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2.供应商如确定参加投标，可自行下载采购文件及有关资料，按照《操作手册》进行注册，领取CA和办理电子签章，并按《操作手册》要求制作、上传电子投标文件，技术支持联系方式：13813140731。</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3.潜在供应商对采购文件项目需求部分的询问、质疑请向采购人提出，由采购人负责答复。</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4.本次采购不收取投标保证金。</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5.有关本次采购的事项若存在变动或修改，敬请及时关注“仪征市政府采购网（zfcg.yizheng.cn）”、“扬州市政府采购网（zfcg.yangzhou.gov.cn）”、“江苏省政府采购网（ccgp-jiangsu.gov.cn）”、“中国政府采购网（ccgp.gov.cn）”发布的信息。</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6.</w:t>
      </w:r>
      <w:r>
        <w:rPr>
          <w:rFonts w:hint="eastAsia" w:ascii="宋体" w:hAnsi="宋体" w:eastAsia="宋体" w:cs="宋体"/>
          <w:bCs w:val="0"/>
          <w:i/>
          <w:iCs/>
          <w:color w:val="auto"/>
          <w:sz w:val="21"/>
          <w:szCs w:val="21"/>
          <w:highlight w:val="none"/>
          <w:u w:val="single"/>
        </w:rPr>
        <w:t xml:space="preserve">本项目采购文件中所有斜体下划线部分为实质性条款，如不满足，则为无效投标。</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7.如在开标时间发生系统崩溃等不可预见的情况，造成开评标活动无法正常进行的，将延迟开评标，具体开评标时间另行通知。</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8.潜在供应商访问政府采购管理交易系统（苏采云）的网络地址和方法：</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（2）“CA数字证书”的获取：供应商需办理CA锁，“苏采云”系统目前仅支持“苏采云”系统下的政务CA，省内各地区办理的“苏采云”系统下的政务CA全省通用。</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（3）“CA数字证书”的办理材料以及供应商操作手册详见：</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http://zfcg.yangzhou.gov.cn/zfcg/xzzx/202309/4d7de1f7865f4a2894fc22bc452f94d8.shtml。</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（4）潜在供应商访问“苏采云”系统的网络地址和方法：“苏采云”系统的网址：http://jszfcg.jsczt.cn/。</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（5）采购文件（后缀名为“.kedt”）、供应商操作手册及政府采购客户端工具也可通过“苏采云”系统--已报名项目--报名详情页面内相应链接进行下载。</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（6）招标代理机构（采购代理机构）将数据电文形式的采购文件加载至“苏采云”系统，供潜在供应商下载或者查阅。     </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（7）苏采云系统使用谷歌浏览器参与不见面开标。</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9.落实好政府采购履约资金扶持政策其他相关政策</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 （1）中标/成交供应商可凭政府采购合同办理融资贷款，详见江苏政府采购网“政采贷”专栏。</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 （3）严格执行政府采购关于支持</w:t>
      </w:r>
      <w:r>
        <w:rPr>
          <w:rFonts w:hint="eastAsia" w:ascii="宋体" w:hAnsi="宋体" w:eastAsia="宋体" w:cs="宋体"/>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3"/>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七、本次招标联系方式</w:t>
      </w:r>
      <w:bookmarkEnd w:id="8"/>
      <w:r/>
      <w:r/>
    </w:p>
    <w:p>
      <w:pPr>
        <w:pStyle w:val="9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pStyle w:val="9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lang w:eastAsia="zh-CN"/>
        </w:rPr>
        <w:t xml:space="preserve">仪征市农业农村局（仪征市农业技术综合服务中心)</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szCs w:val="21"/>
          <w:highlight w:val="none"/>
          <w:u w:val="single"/>
        </w:rPr>
        <w:t xml:space="preserve">仪征市真州东路55号</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val="en-US" w:eastAsia="zh-CN"/>
        </w:rPr>
        <w:t xml:space="preserve">顾敏京</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u w:val="single"/>
          <w:lang w:val="en-US" w:eastAsia="zh-CN"/>
        </w:rPr>
        <w:t xml:space="preserve">18762329313 </w:t>
      </w:r>
      <w:r>
        <w:rPr>
          <w:rFonts w:hint="eastAsia" w:ascii="宋体" w:hAnsi="宋体" w:eastAsia="宋体" w:cs="宋体"/>
          <w:color w:val="auto"/>
          <w:szCs w:val="21"/>
          <w:highlight w:val="none"/>
          <w:u w:val="single"/>
        </w:rPr>
        <w:t xml:space="preserve"> </w:t>
      </w:r>
      <w:r/>
    </w:p>
    <w:p>
      <w:pPr>
        <w:pStyle w:val="9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采购代理机构信息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扬州传承招投标代理有限公司　</w:t>
      </w:r>
      <w:r/>
    </w:p>
    <w:p>
      <w:pPr>
        <w:pStyle w:val="911"/>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仪征市真州镇真州东路802号舜莘商业广场511-512室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11"/>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pStyle w:val="9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1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color w:val="auto"/>
          <w:highlight w:val="none"/>
        </w:rPr>
        <w:br w:type="page" w:clear="all"/>
      </w:r>
      <w:bookmarkStart w:id="9" w:name="_Toc29408"/>
      <w:r/>
      <w:bookmarkStart w:id="10" w:name="_Toc27921"/>
      <w:r/>
      <w:bookmarkStart w:id="11" w:name="_Toc458694821"/>
      <w:r/>
      <w:bookmarkStart w:id="12" w:name="_Toc513029204"/>
      <w:r/>
      <w:bookmarkStart w:id="13" w:name="_Toc16938520"/>
      <w:r/>
      <w:bookmarkStart w:id="14" w:name="_Toc20823276"/>
      <w:r>
        <w:rPr>
          <w:rStyle w:val="904"/>
          <w:rFonts w:hint="eastAsia" w:ascii="宋体" w:hAnsi="宋体" w:eastAsia="宋体" w:cs="宋体"/>
          <w:color w:val="auto"/>
          <w:sz w:val="36"/>
          <w:szCs w:val="36"/>
          <w:highlight w:val="none"/>
        </w:rPr>
        <w:t xml:space="preserve">第二章 投标须知</w:t>
      </w:r>
      <w:bookmarkEnd w:id="9"/>
      <w:r/>
      <w:bookmarkEnd w:id="10"/>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1.1本次招标采取公开招标方式，本招标文件仅适用于</w:t>
      </w:r>
      <w:r>
        <w:rPr>
          <w:rFonts w:hint="eastAsia" w:ascii="宋体" w:hAnsi="宋体" w:eastAsia="宋体" w:cs="宋体"/>
          <w:color w:val="auto"/>
          <w:highlight w:val="none"/>
          <w:lang w:eastAsia="zh-CN"/>
        </w:rPr>
        <w:t xml:space="preserve">JSZC-321081-CCZT-G2026-0003</w:t>
      </w:r>
      <w:r>
        <w:rPr>
          <w:rFonts w:hint="eastAsia" w:ascii="宋体" w:hAnsi="宋体" w:eastAsia="宋体" w:cs="宋体"/>
          <w:color w:val="auto"/>
          <w:highlight w:val="none"/>
        </w:rPr>
        <w:t xml:space="preserve">号项目。</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2.2.1 </w:t>
      </w:r>
      <w:r>
        <w:rPr>
          <w:rFonts w:hint="eastAsia" w:ascii="宋体" w:hAnsi="宋体" w:eastAsia="宋体" w:cs="宋体"/>
          <w:bCs/>
          <w:color w:val="auto"/>
          <w:szCs w:val="21"/>
          <w:highlight w:val="none"/>
        </w:rPr>
        <w:t xml:space="preserve">满足招标公告中供应商的资格条件要求的规定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4.2本次采购由中标人在领取中标通知书前按照国家计委印发的《招标代理服务收费管理暂行办法》（计价格【2002】1980 号文）货物类（服务类）的标准一次性支付给招标代理机构代理服务费。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4.3</w:t>
      </w:r>
      <w:r>
        <w:rPr>
          <w:rFonts w:hint="eastAsia" w:ascii="宋体" w:hAnsi="宋体" w:eastAsia="宋体" w:cs="宋体"/>
          <w:b/>
          <w:bCs/>
          <w:color w:val="auto"/>
          <w:highlight w:val="none"/>
          <w:lang w:val="en-US" w:eastAsia="zh-CN"/>
        </w:rPr>
        <w:t xml:space="preserve">本次</w:t>
      </w:r>
      <w:r>
        <w:rPr>
          <w:rFonts w:hint="eastAsia" w:ascii="宋体" w:hAnsi="宋体" w:eastAsia="宋体" w:cs="宋体"/>
          <w:b/>
          <w:bCs/>
          <w:color w:val="auto"/>
          <w:highlight w:val="none"/>
        </w:rPr>
        <w:t xml:space="preserve">专家评审费由采购人支付</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按扬财购【2020】40号文《关于进一步规范扬州市政府采购专家评审费标准的通知》执行。</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 招标文件有以下部分组成：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szCs w:val="21"/>
          <w:highlight w:val="none"/>
        </w:rPr>
        <w:t xml:space="preserve">招标公告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w:t>
      </w:r>
      <w:r>
        <w:rPr>
          <w:rFonts w:hint="eastAsia" w:ascii="宋体" w:hAnsi="宋体" w:eastAsia="宋体" w:cs="宋体"/>
          <w:bCs/>
          <w:color w:val="auto"/>
          <w:szCs w:val="21"/>
          <w:highlight w:val="none"/>
        </w:rPr>
        <w:t xml:space="preserve">评标标准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Cs/>
          <w:color w:val="auto"/>
          <w:szCs w:val="21"/>
          <w:highlight w:val="none"/>
        </w:rPr>
        <w:t xml:space="preserve">投标文件格式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招标的最小单位是包。</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服务数量及技术要求中未分包的，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对要求提供的服务不得部分投标；</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服务数量及技术要求中已经分包的，应当以包为单位投标。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招标文件如果要求供应商提交备选投标方案的，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 任何要求对招标文件进行澄清的投标人，</w:t>
      </w:r>
      <w:r>
        <w:rPr>
          <w:rFonts w:hint="eastAsia" w:ascii="宋体" w:hAnsi="宋体" w:eastAsia="宋体" w:cs="宋体"/>
          <w:bCs/>
          <w:color w:val="auto"/>
          <w:szCs w:val="21"/>
          <w:highlight w:val="none"/>
        </w:rPr>
        <w:t xml:space="preserve">应在投标截止日期的十日前按招标公告中的通讯地址，以书面形式通知代理机构。</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8.1 </w:t>
      </w:r>
      <w:r>
        <w:rPr>
          <w:rFonts w:hint="eastAsia" w:ascii="宋体" w:hAnsi="宋体" w:eastAsia="宋体" w:cs="宋体"/>
          <w:bCs/>
          <w:color w:val="auto"/>
          <w:szCs w:val="21"/>
          <w:highlight w:val="none"/>
        </w:rPr>
        <w:t xml:space="preserve">在投标截止时间前，代理机构可以对招标文件进行修改。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8.3招标文件的修改将在“仪征市政府采购网”、“扬州市政府采购网”、“江苏省政府采购网”“中国政府采购网”公布，补充文件将作为招标文件的组成部分，并对投标人具有约束力。</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w:t>
      </w:r>
      <w:r>
        <w:rPr>
          <w:rFonts w:hint="eastAsia" w:ascii="宋体" w:hAnsi="宋体" w:eastAsia="宋体" w:cs="宋体"/>
          <w:bCs/>
          <w:color w:val="auto"/>
          <w:szCs w:val="21"/>
          <w:highlight w:val="none"/>
        </w:rPr>
        <w:t xml:space="preserve">投标人应使用人民币报价。</w:t>
      </w:r>
      <w:r/>
    </w:p>
    <w:p>
      <w:pPr>
        <w:pStyle w:val="895"/>
        <w:numPr>
          <w:ilvl w:val="0"/>
          <w:numId w:val="1"/>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（5）投标产品配置及分项报价表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投标人应当根据招标文件要求编制投标文件，投标文件应对招标文件提出的要求和条件作出响应，并在相应的投标文件中逐条标明满足与否。</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11.5证明投标人所提供服务与招标文件的要求相一致的文件可以是手册、图纸、文字资料和数据。</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12、投标产品配置及分项报价表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 </w:t>
      </w:r>
      <w:r>
        <w:rPr>
          <w:rFonts w:hint="eastAsia" w:ascii="宋体" w:hAnsi="宋体" w:eastAsia="宋体" w:cs="宋体"/>
          <w:bCs/>
          <w:color w:val="auto"/>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14.1投标人的服务承诺应按不低于招标文件中商务要求的标准。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bookmarkStart w:id="15" w:name="_Toc20823297"/>
      <w:r/>
      <w:bookmarkStart w:id="16" w:name="_Toc16938541"/>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95"/>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w:t>
      </w:r>
      <w:bookmarkEnd w:id="15"/>
      <w:r/>
      <w:bookmarkEnd w:id="16"/>
      <w:r>
        <w:rPr>
          <w:rFonts w:hint="eastAsia" w:ascii="宋体" w:hAnsi="宋体" w:eastAsia="宋体" w:cs="宋体"/>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电子投标文件的递交投标人应当按照《操作手册》规定，在投标截止时间前制作并上传电子投标文件。</w:t>
      </w:r>
      <w:bookmarkStart w:id="17" w:name="_Toc16938542"/>
      <w:r/>
      <w:bookmarkStart w:id="18" w:name="_Toc20823298"/>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pStyle w:val="945"/>
        <w:ind w:firstLine="42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highlight w:val="none"/>
        </w:rPr>
        <w:t xml:space="preserve">18、投标截止日期</w:t>
      </w:r>
      <w:bookmarkEnd w:id="17"/>
      <w:r/>
      <w:bookmarkEnd w:id="18"/>
      <w:r/>
      <w:r/>
    </w:p>
    <w:p>
      <w:pPr>
        <w:ind w:firstLine="420"/>
        <w:keepLines w:val="0"/>
        <w:keepNext w:val="0"/>
        <w:pageBreakBefore w:val="0"/>
        <w:spacing w:line="360" w:lineRule="auto"/>
        <w:widowControl w:val="off"/>
        <w:rPr>
          <w:rFonts w:hint="eastAsia" w:ascii="宋体" w:hAnsi="宋体" w:eastAsia="宋体" w:cs="宋体"/>
          <w:bCs/>
          <w:i/>
          <w:color w:val="auto"/>
          <w:szCs w:val="21"/>
          <w:highlight w:val="none"/>
          <w:u w:val="single"/>
        </w:rPr>
      </w:pPr>
      <w:r>
        <w:rPr>
          <w:rFonts w:hint="eastAsia" w:ascii="宋体" w:hAnsi="宋体" w:eastAsia="宋体" w:cs="宋体"/>
          <w:i/>
          <w:color w:val="auto"/>
          <w:szCs w:val="21"/>
          <w:highlight w:val="none"/>
          <w:u w:val="single"/>
        </w:rPr>
        <w:t xml:space="preserve">18.1</w:t>
      </w:r>
      <w:r>
        <w:rPr>
          <w:rFonts w:hint="eastAsia" w:ascii="宋体" w:hAnsi="宋体" w:eastAsia="宋体" w:cs="宋体"/>
          <w:bCs/>
          <w:i/>
          <w:color w:val="auto"/>
          <w:szCs w:val="21"/>
          <w:highlight w:val="none"/>
          <w:u w:val="single"/>
        </w:rPr>
        <w:t xml:space="preserve"> </w:t>
      </w:r>
      <w:r>
        <w:rPr>
          <w:rFonts w:hint="eastAsia" w:ascii="宋体" w:hAnsi="宋体" w:eastAsia="宋体" w:cs="宋体"/>
          <w:bCs/>
          <w:i/>
          <w:iCs/>
          <w:color w:val="auto"/>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895"/>
        <w:ind w:firstLine="422"/>
        <w:spacing w:before="0" w:after="0" w:line="360" w:lineRule="auto"/>
        <w:rPr>
          <w:rFonts w:hint="eastAsia" w:ascii="宋体" w:hAnsi="宋体" w:eastAsia="宋体" w:cs="宋体"/>
          <w:color w:val="auto"/>
          <w:sz w:val="21"/>
          <w:szCs w:val="21"/>
          <w:highlight w:val="none"/>
        </w:rPr>
      </w:pPr>
      <w:r/>
      <w:bookmarkStart w:id="19" w:name="_Toc20823299"/>
      <w:r/>
      <w:bookmarkStart w:id="20" w:name="_Toc16938543"/>
      <w:r>
        <w:rPr>
          <w:rFonts w:hint="eastAsia" w:ascii="宋体" w:hAnsi="宋体" w:eastAsia="宋体" w:cs="宋体"/>
          <w:color w:val="auto"/>
          <w:sz w:val="21"/>
          <w:szCs w:val="21"/>
          <w:highlight w:val="none"/>
        </w:rPr>
        <w:t xml:space="preserve">19、投标文件</w:t>
      </w:r>
      <w:bookmarkEnd w:id="19"/>
      <w:r/>
      <w:bookmarkEnd w:id="20"/>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19.1代理机构拒绝接收在其规定的投标截止时间后上传的任何投标文件。</w:t>
      </w:r>
      <w:r/>
    </w:p>
    <w:p>
      <w:pPr>
        <w:pStyle w:val="895"/>
        <w:ind w:firstLine="422"/>
        <w:spacing w:before="0" w:after="0" w:line="360" w:lineRule="auto"/>
        <w:rPr>
          <w:rFonts w:hint="eastAsia" w:ascii="宋体" w:hAnsi="宋体" w:eastAsia="宋体" w:cs="宋体"/>
          <w:color w:val="auto"/>
          <w:sz w:val="21"/>
          <w:szCs w:val="21"/>
          <w:highlight w:val="none"/>
        </w:rPr>
      </w:pPr>
      <w:r/>
      <w:bookmarkStart w:id="21" w:name="_Toc20823300"/>
      <w:r/>
      <w:bookmarkStart w:id="22" w:name="_Toc16938544"/>
      <w:r>
        <w:rPr>
          <w:rFonts w:hint="eastAsia" w:ascii="宋体" w:hAnsi="宋体" w:eastAsia="宋体" w:cs="宋体"/>
          <w:color w:val="auto"/>
          <w:sz w:val="21"/>
          <w:szCs w:val="21"/>
          <w:highlight w:val="none"/>
        </w:rPr>
        <w:t xml:space="preserve">20、投标文件的撤回和修改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投标人撤回电子投标文件，则认为其不再参与本项目投标活动。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 在投标截止时间至招标文件中规定的投标有效期满之间的这段时间内，投标人不得撤回其投标。</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Cs/>
          <w:color w:val="auto"/>
          <w:szCs w:val="21"/>
          <w:highlight w:val="none"/>
        </w:rPr>
        <w:t xml:space="preserve">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pStyle w:val="895"/>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pStyle w:val="895"/>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26、无效投标、废标及投标人不足三家的处理</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26.1无效投标条款</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投标人未成功解密电子投标文件的。</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投标人未按照招标文件要求上传电子投标文件的。</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26.1.3投标人在报价时采用选择性报价的。</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26.1.4投标人不具备招标文件中规定资格要求的。</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26.1.5投标人的报价超过了采购预算或最高限价的。</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26.1.6未通过符合性审查的。</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26.1.7不符合招标文件中规定的其他实质性要求和条件的</w:t>
      </w:r>
      <w:r>
        <w:rPr>
          <w:rFonts w:hint="eastAsia" w:ascii="宋体" w:hAnsi="宋体" w:eastAsia="宋体" w:cs="宋体"/>
          <w:b w:val="0"/>
          <w:bCs w:val="0"/>
          <w:i/>
          <w:iCs/>
          <w:color w:val="auto"/>
          <w:sz w:val="21"/>
          <w:szCs w:val="21"/>
          <w:highlight w:val="none"/>
          <w:u w:val="single"/>
        </w:rPr>
        <w:t xml:space="preserve">（本招标文件中斜体且有下划线部分为实质性要求和条件）。</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95"/>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26.1.9  投标文件含有采购人不能接受的附加条件的。</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26.1.10</w:t>
      </w:r>
      <w:r>
        <w:rPr>
          <w:rFonts w:hint="eastAsia" w:ascii="宋体" w:hAnsi="宋体" w:eastAsia="宋体" w:cs="宋体"/>
          <w:b/>
          <w:bCs/>
          <w:color w:val="auto"/>
          <w:sz w:val="21"/>
          <w:szCs w:val="21"/>
          <w:highlight w:val="none"/>
        </w:rPr>
        <w:t xml:space="preserve">根据江苏省财政厅《关于推动解决政府采购异常低价问题相关工作的通知》（苏财购〔2026〕2号），评审小组启动异常低价投标（响应）审查的情形和具体要求如下：</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26.1.11</w:t>
      </w:r>
      <w:r>
        <w:rPr>
          <w:rFonts w:hint="eastAsia" w:ascii="宋体" w:hAnsi="宋体" w:eastAsia="宋体" w:cs="宋体"/>
          <w:b/>
          <w:bCs/>
          <w:color w:val="auto"/>
          <w:sz w:val="21"/>
          <w:szCs w:val="21"/>
          <w:highlight w:val="none"/>
        </w:rPr>
        <w:t xml:space="preserve"> 异常低价投标审查</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评标过程中出现下列情形之一的，评标委员会应当启动异常低价投标审查程序：</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896"/>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6"/>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pStyle w:val="89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27.3代理机构将在“仪征市政府采购网”、“扬州市政府采购网”、“江苏省政府采购网” “中国政府采购网”发布中标公告，公告期限为1个工作日。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95"/>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31.1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1"/>
      <w:bookmarkEnd w:id="12"/>
      <w:bookmarkEnd w:id="13"/>
      <w:bookmarkEnd w:id="14"/>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bookmarkStart w:id="23" w:name="_Toc13936"/>
      <w:r>
        <w:rPr>
          <w:rFonts w:hint="eastAsia" w:ascii="宋体" w:hAnsi="宋体" w:eastAsia="宋体" w:cs="宋体"/>
          <w:color w:val="auto"/>
          <w:highlight w:val="none"/>
        </w:rPr>
        <w:t xml:space="preserve">第三章 合同条款及格式</w:t>
      </w:r>
      <w:bookmarkEnd w:id="23"/>
      <w:r/>
      <w:r/>
    </w:p>
    <w:p>
      <w:pPr>
        <w:ind w:firstLine="420"/>
        <w:jc w:val="center"/>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w:t>
      </w:r>
      <w:r>
        <w:rPr>
          <w:rFonts w:hint="eastAsia" w:ascii="宋体" w:hAnsi="宋体" w:eastAsia="宋体" w:cs="宋体"/>
          <w:color w:val="auto"/>
          <w:highlight w:val="none"/>
          <w:lang w:val="en-US" w:eastAsia="zh-CN"/>
        </w:rPr>
        <w:t xml:space="preserve">订</w:t>
      </w:r>
      <w:r>
        <w:rPr>
          <w:rFonts w:hint="eastAsia" w:ascii="宋体" w:hAnsi="宋体" w:eastAsia="宋体" w:cs="宋体"/>
          <w:color w:val="auto"/>
          <w:highlight w:val="none"/>
        </w:rPr>
        <w:t xml:space="preserve">本项目合同的通用条款，中标人不得提出实质性的修改，关于专用条款将由采购人与中标人结合本项目具体情况协商后签订。</w:t>
      </w:r>
      <w:r/>
    </w:p>
    <w:p>
      <w:pPr>
        <w:ind w:firstLine="422"/>
        <w:jc w:val="center"/>
        <w:spacing w:before="120" w:after="12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政府采购合同（货物)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甲方：（买方）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乙方：（卖方）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见证方：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甲、乙双方根据代理公司公司项目公开招标的结果，签署本合同。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一、货物及伴随服务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货物及服务名称：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型号规格：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数量（单位）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本合同金额</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rPr>
        <w:t xml:space="preserve">人民币（大写）：____________（¥_________元）。</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Cs w:val="21"/>
          <w:highlight w:val="none"/>
          <w:lang w:val="en-US" w:eastAsia="zh-CN"/>
        </w:rPr>
        <w:t xml:space="preserve">给予</w:t>
      </w:r>
      <w:r>
        <w:rPr>
          <w:rFonts w:hint="eastAsia" w:ascii="宋体" w:hAnsi="宋体" w:eastAsia="宋体" w:cs="宋体"/>
          <w:color w:val="auto"/>
          <w:szCs w:val="21"/>
          <w:highlight w:val="none"/>
        </w:rPr>
        <w:t xml:space="preserve">履行本合同无关的任何其他人。即使向履行本合同有关的人员提供，也应注意保密并限于履行合同的必需范围。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四、知识产权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五、产权担保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乙方保证所交付的货物及服务的所有权完全属于乙方且无任何抵押、查封等产权瑕疵。</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六、履约保证金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履约保证金收取：无</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七、转包或分包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7.1本合同范围的货物及服务，应由乙方直接供应，不得转让他人供应；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7.3如有转让和未经甲方同意的分包行为，甲方有权终止合同。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八、质保期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质保期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年。（自交货验收合格之日起计）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九、交付期、交付方式及交付地点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交付期：_________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交付方式：_________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交付地点：_________</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w:t>
      </w:r>
      <w:r>
        <w:rPr>
          <w:rFonts w:hint="eastAsia" w:ascii="宋体" w:hAnsi="宋体" w:eastAsia="宋体" w:cs="宋体"/>
          <w:strike w:val="0"/>
          <w:color w:val="auto"/>
          <w:szCs w:val="21"/>
          <w:highlight w:val="none"/>
        </w:rPr>
        <w:t xml:space="preserve">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十一、税费</w:t>
      </w:r>
      <w:r/>
    </w:p>
    <w:p>
      <w:pPr>
        <w:ind w:firstLine="420"/>
        <w:keepLines w:val="0"/>
        <w:keepNext w:val="0"/>
        <w:pageBreakBefore w:val="0"/>
        <w:spacing w:line="360" w:lineRule="auto"/>
        <w:widowControl w:val="off"/>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 xml:space="preserve">11.1本合同执行中相关的一切税费均由乙方负担。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乙方应按招标文件规定的货物及服务性能、技术要求、质量标准向甲方提供。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乙方提供的货物因第三方机构检测不达标或重金属超标，乙方应负责免费更换，并由乙方承担所发生的全部费用。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12.3乙方提供的货物及服务在质量期内因服务及产品本身的质量问题发生故障，乙方应负责免费更换。对达不到技术要求者，根据实际情况，经双方协商，可按以下办法处理：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⑶退还处理：乙方应退还甲方支付的合同款，同时应承担该货物及服务的直接费用（运输、保险、检验、款项利息及银行手续费等）。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如在使用过程中发生质量问题，乙方在接到甲方通知后在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 在质保期内，乙方应对货物及服务出现的质量及安全问题负责处理解决并承担一切费用。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12.6上述的货物及服务免费保修期为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年，因人为因素出现的故障不在免费保修范围内。超过保修期的机器设备，</w:t>
      </w:r>
      <w:r>
        <w:rPr>
          <w:rFonts w:hint="eastAsia" w:ascii="宋体" w:hAnsi="宋体" w:eastAsia="宋体" w:cs="宋体"/>
          <w:color w:val="auto"/>
          <w:szCs w:val="21"/>
          <w:highlight w:val="none"/>
          <w:lang w:val="en-US" w:eastAsia="zh-CN"/>
        </w:rPr>
        <w:t xml:space="preserve">终身</w:t>
      </w:r>
      <w:r>
        <w:rPr>
          <w:rFonts w:hint="eastAsia" w:ascii="宋体" w:hAnsi="宋体" w:eastAsia="宋体" w:cs="宋体"/>
          <w:color w:val="auto"/>
          <w:szCs w:val="21"/>
          <w:highlight w:val="none"/>
        </w:rPr>
        <w:t xml:space="preserve">维修，维修时只收部件成本费。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甲方依法组织履约验收工作。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 对于实际使用人和甲方分离的项目，甲方邀请实际使用人参与验收。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 如有必要，甲方可邀请参加本项目投标的其他投标人或第三方专业机构及专家参与验收，相关意见将作为验收结论的参考。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十四、货物及服务包装、发运、运输、</w:t>
      </w:r>
      <w:r>
        <w:rPr>
          <w:rFonts w:hint="eastAsia" w:ascii="宋体" w:hAnsi="宋体" w:eastAsia="宋体" w:cs="宋体"/>
          <w:b/>
          <w:bCs/>
          <w:color w:val="auto"/>
          <w:szCs w:val="21"/>
          <w:highlight w:val="none"/>
          <w:lang w:val="en-US" w:eastAsia="zh-CN"/>
        </w:rPr>
        <w:t xml:space="preserve">卸货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乙方应在货物及服务发运前对其进行满足运输距离、防潮、防震、防锈和防破损装卸等要求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包装，以保证货物及服务安全运达</w:t>
      </w:r>
      <w:r>
        <w:rPr>
          <w:rFonts w:hint="eastAsia" w:ascii="宋体" w:hAnsi="宋体" w:eastAsia="宋体" w:cs="宋体"/>
          <w:color w:val="auto"/>
          <w:szCs w:val="21"/>
          <w:highlight w:val="none"/>
          <w:lang w:val="en-US" w:eastAsia="zh-CN"/>
        </w:rPr>
        <w:t xml:space="preserve">并卸货至采购人指定地点</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使用说明书、质量检验证明书、随配附件和工具以及清单一并交付甲方。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乙方在货物及服务发运手续办理完毕后24小时内或交付到甲方48小时前通知甲方，以准备接受交付。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货物在交付甲方前发生的风险均由乙方负责。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 货物及服务在规定的交付期限内由乙方送达甲方指定的地点视为交付，乙方同时需通知甲方货物及服务已送达。</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十五、违约责任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甲方无正当理由拒收货物及服务的，甲方向乙方偿付拒收款项总值的百分之五违约金。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甲方无故逾期验收和办理款项支付手续的,甲方应按逾期付款总额每日万分之五向乙方支付违约金。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十六、不可抗力事件处理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不可抗力事件发生后，应立即通知对方，并寄送有关权威机构出具的证明。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 不可抗力事件延续120天以上，双方应通过友好协商，确定是否继续履行合同。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十七、诉讼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十九、合同生效及其它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合同经双方法定代表人签章并加盖单位公章，并经代理公司见证盖章后生效。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19.2本合同未尽事宜，遵照《</w:t>
      </w:r>
      <w:r>
        <w:rPr>
          <w:rFonts w:hint="eastAsia" w:ascii="宋体" w:hAnsi="宋体" w:eastAsia="宋体" w:cs="宋体"/>
          <w:color w:val="auto"/>
          <w:szCs w:val="21"/>
          <w:highlight w:val="none"/>
          <w:lang w:val="en-US" w:eastAsia="zh-CN"/>
        </w:rPr>
        <w:t xml:space="preserve">中华人民共和国</w:t>
      </w:r>
      <w:r>
        <w:rPr>
          <w:rFonts w:hint="eastAsia" w:ascii="宋体" w:hAnsi="宋体" w:eastAsia="宋体" w:cs="宋体"/>
          <w:color w:val="auto"/>
          <w:szCs w:val="21"/>
          <w:highlight w:val="none"/>
        </w:rPr>
        <w:t xml:space="preserve">民法典》有关条文执行。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本合同正本一式六份，具有同等法律效力，甲方、乙方各执两份，见证方及财政监管部门（仪征市财政局政府采购管理处）各执一份。 </w:t>
      </w:r>
      <w:r/>
    </w:p>
    <w:p>
      <w:pPr>
        <w:pStyle w:val="911"/>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19"/>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tc>
      </w:tr>
    </w:tbl>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见证方：扬州传承招投标代理有限公司 </w:t>
      </w:r>
      <w:r/>
    </w:p>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项目见证人：</w:t>
      </w:r>
      <w:r/>
    </w:p>
    <w:p>
      <w:pPr>
        <w:pStyle w:val="91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709"/>
        <w:keepLines w:val="0"/>
        <w:keepNext w:val="0"/>
        <w:pageBreakBefore w:val="0"/>
        <w:widowControl w:val="off"/>
        <w:rPr>
          <w:rFonts w:hint="eastAsia" w:ascii="宋体" w:hAnsi="宋体" w:eastAsia="宋体" w:cs="宋体"/>
          <w:color w:val="auto"/>
          <w:highlight w:val="none"/>
          <w:lang w:val="en-US" w:eastAsia="zh-CN"/>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24" w:name="_Toc27167"/>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bookmarkEnd w:id="24"/>
      <w:r/>
      <w:r/>
    </w:p>
    <w:p>
      <w:pPr>
        <w:ind w:firstLine="211"/>
        <w:spacing w:line="360" w:lineRule="auto"/>
        <w:rPr>
          <w:rFonts w:hint="eastAsia" w:ascii="宋体" w:hAnsi="宋体" w:eastAsia="宋体" w:cs="宋体"/>
          <w:b/>
          <w:bCs/>
          <w:color w:val="auto"/>
          <w:highlight w:val="none"/>
          <w:lang w:val="en-US" w:eastAsia="zh-CN"/>
        </w:rPr>
      </w:pPr>
      <w:r/>
      <w:bookmarkStart w:id="25" w:name="_Toc1949"/>
      <w:r/>
      <w:bookmarkStart w:id="26" w:name="_Toc528771312"/>
      <w:r>
        <w:rPr>
          <w:rFonts w:hint="eastAsia" w:ascii="宋体" w:hAnsi="宋体" w:eastAsia="宋体" w:cs="宋体"/>
          <w:b/>
          <w:bCs/>
          <w:color w:val="auto"/>
          <w:highlight w:val="none"/>
          <w:lang w:val="en-US" w:eastAsia="zh-CN"/>
        </w:rPr>
        <w:t xml:space="preserve">一、项目概况</w:t>
      </w:r>
      <w:r/>
    </w:p>
    <w:p>
      <w:pPr>
        <w:ind w:firstLine="21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为2026年仪征市粮油区域性农业综合服务中心四情监测设备采购，主要采购高清摄像头、巡田无人机配机巢、土壤墒情监测仪、病虫情监测设备、配套设施（围栏、栈道、展示牌）等，具体要求详见采购清单。</w:t>
      </w:r>
      <w:r/>
    </w:p>
    <w:p>
      <w:pPr>
        <w:ind w:firstLine="211"/>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二、采购清单</w:t>
      </w:r>
      <w:r/>
    </w:p>
    <w:tbl>
      <w:tblPr>
        <w:tblStyle w:val="719"/>
        <w:tblW w:w="10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5"/>
        <w:gridCol w:w="1110"/>
        <w:gridCol w:w="6480"/>
        <w:gridCol w:w="675"/>
        <w:gridCol w:w="748"/>
        <w:gridCol w:w="748"/>
      </w:tblGrid>
      <w:tr>
        <w:trPr>
          <w:jc w:val="center"/>
          <w:trHeight w:val="335"/>
        </w:trPr>
        <w:tc>
          <w:tcPr>
            <w:tcW w:w="795"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序号</w:t>
            </w:r>
            <w:r/>
          </w:p>
        </w:tc>
        <w:tc>
          <w:tcPr>
            <w:tcW w:w="1110"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产品名称</w:t>
            </w:r>
            <w:r/>
          </w:p>
        </w:tc>
        <w:tc>
          <w:tcPr>
            <w:tcW w:w="6480"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技术参数</w:t>
            </w:r>
            <w:r/>
          </w:p>
        </w:tc>
        <w:tc>
          <w:tcPr>
            <w:tcW w:w="675" w:type="dxa"/>
            <w:vAlign w:val="center"/>
            <w:textDirection w:val="lrTb"/>
            <w:noWrap w:val="false"/>
          </w:tcPr>
          <w:p>
            <w:pPr>
              <w:jc w:val="center"/>
              <w:rPr>
                <w:rFonts w:hint="eastAsia" w:ascii="宋体" w:hAnsi="宋体" w:eastAsia="宋体" w:cs="宋体"/>
                <w:b/>
                <w:color w:val="auto"/>
                <w:sz w:val="21"/>
                <w:szCs w:val="21"/>
                <w:highlight w:val="none"/>
                <w:lang w:val="en-US" w:bidi="ar-SA"/>
              </w:rPr>
            </w:pPr>
            <w:r>
              <w:rPr>
                <w:rFonts w:hint="eastAsia" w:ascii="宋体" w:hAnsi="宋体" w:eastAsia="宋体" w:cs="宋体"/>
                <w:b/>
                <w:bCs/>
                <w:color w:val="auto"/>
                <w:sz w:val="21"/>
                <w:szCs w:val="21"/>
                <w:highlight w:val="none"/>
                <w:lang w:eastAsia="zh-CN"/>
              </w:rPr>
              <w:t xml:space="preserve">单位</w:t>
            </w:r>
            <w:r/>
          </w:p>
        </w:tc>
        <w:tc>
          <w:tcPr>
            <w:tcW w:w="748" w:type="dxa"/>
            <w:vAlign w:val="center"/>
            <w:textDirection w:val="lrTb"/>
            <w:noWrap w:val="false"/>
          </w:tcPr>
          <w:p>
            <w:pPr>
              <w:jc w:val="center"/>
              <w:rPr>
                <w:rFonts w:hint="eastAsia" w:ascii="宋体" w:hAnsi="宋体" w:eastAsia="宋体" w:cs="宋体"/>
                <w:b/>
                <w:color w:val="auto"/>
                <w:sz w:val="21"/>
                <w:szCs w:val="21"/>
                <w:highlight w:val="none"/>
                <w:lang w:val="en-US" w:bidi="ar-SA"/>
              </w:rPr>
            </w:pPr>
            <w:r>
              <w:rPr>
                <w:rFonts w:hint="eastAsia" w:ascii="宋体" w:hAnsi="宋体" w:eastAsia="宋体" w:cs="宋体"/>
                <w:b/>
                <w:bCs/>
                <w:color w:val="auto"/>
                <w:sz w:val="21"/>
                <w:szCs w:val="21"/>
                <w:highlight w:val="none"/>
                <w:lang w:eastAsia="zh-CN"/>
              </w:rPr>
              <w:t xml:space="preserve">数量</w:t>
            </w:r>
            <w:r/>
          </w:p>
        </w:tc>
        <w:tc>
          <w:tcPr>
            <w:tcW w:w="748"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413"/>
        </w:trPr>
        <w:tc>
          <w:tcPr>
            <w:gridSpan w:val="5"/>
            <w:tcW w:w="9808" w:type="dxa"/>
            <w:vAlign w:val="center"/>
            <w:textDirection w:val="lrTb"/>
            <w:noWrap w:val="false"/>
          </w:tcPr>
          <w:p>
            <w:pPr>
              <w:jc w:val="left"/>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一、巡田无人机（含自动机巢）</w:t>
            </w:r>
            <w:r/>
          </w:p>
        </w:tc>
        <w:tc>
          <w:tcPr>
            <w:tcW w:w="748" w:type="dxa"/>
            <w:vAlign w:val="center"/>
            <w:textDirection w:val="lrTb"/>
            <w:noWrap w:val="false"/>
          </w:tcPr>
          <w:p>
            <w:pPr>
              <w:jc w:val="left"/>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768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p>
        </w:tc>
        <w:tc>
          <w:tcPr>
            <w:tcW w:w="1110"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多光谱巡田无人机</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（一）成像系统</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可见光传感器：有效像素 ≥2000万</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多光谱传感器：≥4波段（必须包含绿、红、红边、近红外），单波段有效像素 ≥400万，支持光强校正。</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（二）飞行性能</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最长飞行时间（无风）：≥40分钟</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最大续航里程（无风）：≥30公里</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3.</w:t>
            </w:r>
            <w:r>
              <w:rPr>
                <w:rFonts w:hint="eastAsia" w:ascii="宋体" w:hAnsi="宋体" w:eastAsia="宋体" w:cs="宋体"/>
                <w:i w:val="0"/>
                <w:iCs w:val="0"/>
                <w:color w:val="auto"/>
                <w:sz w:val="21"/>
                <w:szCs w:val="21"/>
                <w:highlight w:val="none"/>
                <w:u w:val="none"/>
                <w:lang w:val="en-US" w:bidi="ar-SA"/>
              </w:rPr>
              <w:t xml:space="preserve">最大水平飞行速度：≥18米/秒</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4.</w:t>
            </w:r>
            <w:r>
              <w:rPr>
                <w:rFonts w:hint="eastAsia" w:ascii="宋体" w:hAnsi="宋体" w:eastAsia="宋体" w:cs="宋体"/>
                <w:i w:val="0"/>
                <w:iCs w:val="0"/>
                <w:color w:val="auto"/>
                <w:sz w:val="21"/>
                <w:szCs w:val="21"/>
                <w:highlight w:val="none"/>
                <w:u w:val="none"/>
                <w:lang w:val="en-US" w:bidi="ar-SA"/>
              </w:rPr>
              <w:t xml:space="preserve">最长悬停时间（无风）：≥35分钟</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5.</w:t>
            </w:r>
            <w:r>
              <w:rPr>
                <w:rFonts w:hint="eastAsia" w:ascii="宋体" w:hAnsi="宋体" w:eastAsia="宋体" w:cs="宋体"/>
                <w:i w:val="0"/>
                <w:iCs w:val="0"/>
                <w:color w:val="auto"/>
                <w:sz w:val="21"/>
                <w:szCs w:val="21"/>
                <w:highlight w:val="none"/>
                <w:u w:val="none"/>
                <w:lang w:val="en-US" w:bidi="ar-SA"/>
              </w:rPr>
              <w:t xml:space="preserve">最大抗风速度：≥10米/秒</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6.</w:t>
            </w:r>
            <w:r>
              <w:rPr>
                <w:rFonts w:hint="eastAsia" w:ascii="宋体" w:hAnsi="宋体" w:eastAsia="宋体" w:cs="宋体"/>
                <w:i w:val="0"/>
                <w:iCs w:val="0"/>
                <w:color w:val="auto"/>
                <w:sz w:val="21"/>
                <w:szCs w:val="21"/>
                <w:highlight w:val="none"/>
                <w:u w:val="none"/>
                <w:lang w:val="en-US" w:bidi="ar-SA"/>
              </w:rPr>
              <w:t xml:space="preserve">工作环境温度：-10℃～40℃（同原）</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（三）定位与避障</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悬停精度</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①垂直：±0.5米（GNSS）、±0.2米（RTK / 视觉）</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②水平：±0.5米（GNSS）、±0.2米（RTK / 视觉）</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支持RTK厘米级定位、全向避障（视觉 / 雷达）</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（四）整机与功能</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最大起飞重量：≥900克</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支持功能：正射影像、NDVI生成、自动航线规划、仿地飞行</w:t>
            </w:r>
            <w:r>
              <w:rPr>
                <w:rFonts w:hint="eastAsia" w:ascii="宋体" w:hAnsi="宋体" w:eastAsia="宋体" w:cs="宋体"/>
                <w:i w:val="0"/>
                <w:iCs w:val="0"/>
                <w:color w:val="auto"/>
                <w:sz w:val="21"/>
                <w:szCs w:val="21"/>
                <w:highlight w:val="none"/>
                <w:u w:val="none"/>
                <w:lang w:val="en-US" w:eastAsia="zh-CN" w:bidi="ar-SA"/>
              </w:rPr>
              <w:t xml:space="preserve">。</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2157"/>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i/>
                <w:iCs/>
                <w:color w:val="auto"/>
                <w:sz w:val="21"/>
                <w:szCs w:val="21"/>
                <w:highlight w:val="none"/>
                <w:u w:val="none"/>
                <w:lang w:val="en-US" w:bidi="ar-SA"/>
              </w:rPr>
              <w:t xml:space="preserve">★</w:t>
            </w:r>
            <w:r>
              <w:rPr>
                <w:rFonts w:hint="eastAsia" w:ascii="宋体" w:hAnsi="宋体" w:eastAsia="宋体" w:cs="宋体"/>
                <w:bCs/>
                <w:color w:val="auto"/>
                <w:sz w:val="21"/>
                <w:szCs w:val="21"/>
                <w:highlight w:val="none"/>
                <w:u w:val="none"/>
                <w:lang w:val="en-US" w:bidi="ar-SA"/>
              </w:rPr>
              <w:t xml:space="preserve">2</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无人机自动机巢</w:t>
            </w:r>
            <w:r/>
          </w:p>
        </w:tc>
        <w:tc>
          <w:tcPr>
            <w:tcW w:w="6480" w:type="dxa"/>
            <w:vAlign w:val="center"/>
            <w:textDirection w:val="lrTb"/>
            <w:noWrap w:val="false"/>
          </w:tcPr>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1.设备整体功能：支持无人机自动起降、自主充电；航拍数据自动回传：支持7×24小时无人值守作业；机场集成设备管理、飞行控制、飞行记录管理、影像拼接制图、农情分析等功能</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2.温控系统：内置恒温空调</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3.充电性能：30分钟</w:t>
            </w:r>
            <w:r>
              <w:rPr>
                <w:rFonts w:hint="eastAsia" w:ascii="宋体" w:hAnsi="宋体" w:eastAsia="宋体" w:cs="宋体"/>
                <w:color w:val="auto"/>
                <w:sz w:val="21"/>
                <w:szCs w:val="21"/>
                <w:highlight w:val="none"/>
                <w:lang w:val="en-US" w:eastAsia="zh-CN" w:bidi="ar-SA"/>
              </w:rPr>
              <w:t xml:space="preserve">内（例如</w:t>
            </w:r>
            <w:r>
              <w:rPr>
                <w:rFonts w:hint="eastAsia" w:ascii="宋体" w:hAnsi="宋体" w:eastAsia="宋体" w:cs="宋体"/>
                <w:color w:val="auto"/>
                <w:sz w:val="21"/>
                <w:szCs w:val="21"/>
                <w:highlight w:val="none"/>
                <w:lang w:val="en-US" w:bidi="ar-SA"/>
              </w:rPr>
              <w:t xml:space="preserve">可从20%充至90%</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bidi="ar-SA"/>
              </w:rPr>
              <w:t xml:space="preserve">4.电源配置：220V交流电；配备UPS电源，应急电源至少满足无人机充满一次电量</w:t>
            </w:r>
            <w:r>
              <w:rPr>
                <w:rFonts w:hint="eastAsia" w:ascii="宋体" w:hAnsi="宋体" w:eastAsia="宋体" w:cs="宋体"/>
                <w:b w:val="0"/>
                <w:bCs w:val="0"/>
                <w:color w:val="auto"/>
                <w:sz w:val="21"/>
                <w:szCs w:val="21"/>
                <w:highlight w:val="none"/>
                <w:lang w:val="en-US" w:eastAsia="zh-CN" w:bidi="ar-SA"/>
              </w:rPr>
              <w:t xml:space="preserve">，至少保证飞行时长</w:t>
            </w:r>
            <w:r>
              <w:rPr>
                <w:rFonts w:hint="eastAsia" w:ascii="宋体" w:hAnsi="宋体" w:eastAsia="宋体" w:cs="宋体"/>
                <w:b w:val="0"/>
                <w:bCs w:val="0"/>
                <w:color w:val="auto"/>
                <w:sz w:val="21"/>
                <w:szCs w:val="21"/>
                <w:highlight w:val="none"/>
                <w:lang w:val="en-US" w:bidi="ar-SA"/>
              </w:rPr>
              <w:t xml:space="preserve">≥</w:t>
            </w:r>
            <w:r>
              <w:rPr>
                <w:rFonts w:hint="eastAsia" w:ascii="宋体" w:hAnsi="宋体" w:eastAsia="宋体" w:cs="宋体"/>
                <w:b w:val="0"/>
                <w:bCs w:val="0"/>
                <w:color w:val="auto"/>
                <w:sz w:val="21"/>
                <w:szCs w:val="21"/>
                <w:highlight w:val="none"/>
                <w:lang w:val="en-US" w:eastAsia="zh-CN" w:bidi="ar-SA"/>
              </w:rPr>
              <w:t xml:space="preserve">40分钟；</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5.重量：不大于200kg</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6：尺寸：长宽高不超过1200mm</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▲7.工作环境适应性：-20℃至55℃</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标识的检测报告扫描件加盖投标人单位公章）</w:t>
            </w:r>
            <w:r>
              <w:rPr>
                <w:rFonts w:hint="eastAsia" w:ascii="宋体" w:hAnsi="宋体" w:eastAsia="宋体" w:cs="宋体"/>
                <w:color w:val="auto"/>
                <w:sz w:val="21"/>
                <w:szCs w:val="21"/>
                <w:highlight w:val="none"/>
                <w:lang w:val="en-US" w:bidi="ar-SA"/>
              </w:rPr>
              <w:t xml:space="preserve">；</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8.气象监测指标：空气温度、空气湿度、雨量、风速，异</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常天气禁止打开机舱作业；</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▲9.防护等级：≥IP55</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标识的检测报告扫描件加盖投标人单位公章）</w:t>
            </w:r>
            <w:r>
              <w:rPr>
                <w:rFonts w:hint="eastAsia" w:ascii="宋体" w:hAnsi="宋体" w:eastAsia="宋体" w:cs="宋体"/>
                <w:color w:val="auto"/>
                <w:sz w:val="21"/>
                <w:szCs w:val="21"/>
                <w:highlight w:val="none"/>
                <w:lang w:val="en-US" w:bidi="ar-SA"/>
              </w:rPr>
              <w:t xml:space="preserve">；</w:t>
            </w:r>
            <w:r/>
          </w:p>
          <w:p>
            <w:pPr>
              <w:jc w:val="both"/>
              <w:spacing w:line="360" w:lineRule="auto"/>
              <w:rPr>
                <w:rFonts w:hint="eastAsia" w:ascii="宋体" w:hAnsi="宋体" w:eastAsia="宋体" w:cs="宋体"/>
                <w:b/>
                <w:bCs/>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▲10.机库同步具备气象参数数据采集功能，同时支持自定义云设置</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w:t>
            </w:r>
            <w:r>
              <w:rPr>
                <w:rFonts w:hint="eastAsia" w:ascii="宋体" w:hAnsi="宋体" w:eastAsia="宋体" w:cs="宋体"/>
                <w:b/>
                <w:bCs/>
                <w:color w:val="auto"/>
                <w:sz w:val="21"/>
                <w:szCs w:val="21"/>
                <w:highlight w:val="none"/>
                <w:lang w:val="en-US" w:eastAsia="zh-CN" w:bidi="ar-SA"/>
              </w:rPr>
              <w:t xml:space="preserve">单位</w:t>
            </w:r>
            <w:r>
              <w:rPr>
                <w:rFonts w:hint="eastAsia" w:ascii="宋体" w:hAnsi="宋体" w:eastAsia="宋体" w:cs="宋体"/>
                <w:b/>
                <w:bCs/>
                <w:color w:val="auto"/>
                <w:sz w:val="21"/>
                <w:szCs w:val="21"/>
                <w:highlight w:val="none"/>
                <w:lang w:val="en-US" w:bidi="ar-SA"/>
              </w:rPr>
              <w:t xml:space="preserve">公章）；</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▲11.图传延时：≤2.0秒</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标识的检测报告扫描件加盖投标人单位公章）</w:t>
            </w:r>
            <w:r>
              <w:rPr>
                <w:rFonts w:hint="eastAsia" w:ascii="宋体" w:hAnsi="宋体" w:eastAsia="宋体" w:cs="宋体"/>
                <w:color w:val="auto"/>
                <w:sz w:val="21"/>
                <w:szCs w:val="21"/>
                <w:highlight w:val="none"/>
                <w:lang w:val="en-US" w:bidi="ar-SA"/>
              </w:rPr>
              <w:t xml:space="preserve">；</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12.机场控制与数据管理需支持接入苏农云平台；</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▲13.数据传输：支持可见光、多光谱≥4波段（绿/红/红边/近红外）航拍图像远程自主回传。</w:t>
            </w:r>
            <w:r>
              <w:rPr>
                <w:rFonts w:hint="eastAsia" w:ascii="宋体" w:hAnsi="宋体" w:eastAsia="宋体" w:cs="宋体"/>
                <w:b/>
                <w:bCs/>
                <w:color w:val="auto"/>
                <w:sz w:val="21"/>
                <w:szCs w:val="21"/>
                <w:highlight w:val="none"/>
                <w:lang w:val="en-US" w:bidi="ar-SA"/>
              </w:rPr>
              <w:t xml:space="preserve">（提供系统截图并加盖投标人公章）</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核心</w:t>
            </w:r>
            <w:r/>
          </w:p>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产品</w:t>
            </w:r>
            <w:r/>
          </w:p>
        </w:tc>
      </w:tr>
      <w:tr>
        <w:trPr>
          <w:jc w:val="center"/>
          <w:trHeight w:val="296"/>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无人机智能巡田飞控分析软件服务</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1、航线管理：支持新建航线、导入KMZ格式航线；航线支持点状航线和面状航线；点状航线支持对每个飞行坐标添加无人机动作，包含拍照、录像、全景等；</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2、飞行任务管理：支持对飞行任务的新增，取消定时、删除；新建任务支持单次执行、定时执行、重复定时执行；定时任务支持断点续飞、错误重试；</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3、实时状态：支持查看无人机及机巢的状态，包含气象、任务状态、网络、信号、电量、位置、云台状态等；</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4、调试面板：支持远程调试，远程对设备进行开关机、开关舱门、充电、电源重启、空调控制、存储格式化等操作；</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5、拼图服务：支持可见光重建、多光谱重建与光谱标定，可生成光谱指数图；</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基础光谱与植被指数：提供NDVI（归一化植被指数），RE-NDVI/红边NDVI（红边归一化植被指数），LAI（叶面积指数），植被覆盖度（FVC）；输出冠层光谱反射率（红光反射率、绿光反射率、蓝光反射率、近红外（NIR）反射率、红边（RedEdge）反射率），计算冠层均匀度/长势均一性；</w:t>
            </w:r>
            <w:r/>
          </w:p>
          <w:p>
            <w:pPr>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bidi="ar-SA"/>
              </w:rPr>
              <w:t xml:space="preserve">▲</w:t>
            </w:r>
            <w:r>
              <w:rPr>
                <w:rFonts w:hint="eastAsia" w:ascii="宋体" w:hAnsi="宋体" w:eastAsia="宋体" w:cs="宋体"/>
                <w:color w:val="auto"/>
                <w:sz w:val="21"/>
                <w:szCs w:val="21"/>
                <w:highlight w:val="none"/>
                <w:lang w:val="en-US" w:eastAsia="zh-CN" w:bidi="ar-SA"/>
              </w:rPr>
              <w:t xml:space="preserve">7、专业算法模型：支持出苗分析、长势分析、变量施肥处方、产量预估、倒伏监测共计六种专业算法模型，用于指导精准生产管理；</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▲8、出苗与苗情质量：水稻机插秧质量评估，小麦出苗质量分析，小麦冬前苗情自动分类；</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作物长势与生育进程：判定地块级长势等级（差/一般/正常/好），识别长势空间差异度（斑块状长势、条带差异），生育期判别（拔节、孕穗、抽穗、灌浆、成熟等关键期识别），群体结构（冠层郁闭度、有效分蘖）；</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▲10、产量预估：可输出单地块预估总产量，输出预估亩产量，生成产量空间分布图，计算产量潜力指数；</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11、胁迫诊断：氮素营养与相对叶绿素反演、水分胁迫指数、病虫害胁迫识别、早衰/黄化判定、倒伏区域识别与面积统计、杂草覆盖度评估；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▲12、田块地形分析：支持查看平均海拔、最大/最小高程，平均高程落差、最大高程差，可输出平整度系数，识别低洼积水风险区；</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13、生产决策指导：可生成需肥分区（高氮区/缺氮区/均匀施肥区）、需水分区（干旱区/正常区/过湿区），标注植保重点区域，可输出收获优先级；</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14、数字农田：支持农田电子地图、农田边界管理、地块管理；</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15、水稻全周期监测：播栽进度与苗情统计、购苗期/拔节期/孕穗期/抽穗期监测、高温热害与长势监测、产量预估与倒伏评估；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16、小麦全周期监测：苗情基础分类（旺长/一/二/三类）、越冬期冻害分级统计、返青期/拔节期/孕穗期长势监测、产量预估与倒伏评估；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17、具有当地主推品种（水稻、小麦）的田间管理决策模型，能够结合苗情监测内容实现关键生育期的田间管理建议；</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bidi="ar-SA"/>
              </w:rPr>
              <w:t xml:space="preserve">农情分析：农情分析结果查看</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农情分析报告下载</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综合决策建议；</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19、</w:t>
            </w:r>
            <w:r>
              <w:rPr>
                <w:rFonts w:hint="eastAsia" w:ascii="宋体" w:hAnsi="宋体" w:eastAsia="宋体" w:cs="宋体"/>
                <w:color w:val="auto"/>
                <w:sz w:val="21"/>
                <w:szCs w:val="21"/>
                <w:highlight w:val="none"/>
                <w:lang w:val="en-US" w:bidi="ar-SA"/>
              </w:rPr>
              <w:t xml:space="preserve">提供智能巡田分析系统、无人机机场操控平台等与本项目建设内容相关的软件著作权证书</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eastAsia="宋体" w:cs="宋体"/>
                <w:b/>
                <w:bCs/>
                <w:color w:val="auto"/>
                <w:sz w:val="21"/>
                <w:szCs w:val="21"/>
                <w:highlight w:val="none"/>
                <w:lang w:val="en-US" w:bidi="ar-SA"/>
              </w:rPr>
              <w:t xml:space="preserve">著作权证书</w:t>
            </w:r>
            <w:r>
              <w:rPr>
                <w:rFonts w:hint="eastAsia" w:ascii="宋体" w:hAnsi="宋体" w:eastAsia="宋体" w:cs="宋体"/>
                <w:b/>
                <w:bCs/>
                <w:color w:val="auto"/>
                <w:sz w:val="21"/>
                <w:szCs w:val="21"/>
                <w:highlight w:val="none"/>
                <w:lang w:val="en-US" w:eastAsia="zh-CN" w:bidi="ar-SA"/>
              </w:rPr>
              <w:t xml:space="preserve">并加盖投标人公章）</w:t>
            </w:r>
            <w:r>
              <w:rPr>
                <w:rFonts w:hint="eastAsia" w:ascii="宋体" w:hAnsi="宋体" w:eastAsia="宋体" w:cs="宋体"/>
                <w:b w:val="0"/>
                <w:bCs w:val="0"/>
                <w:color w:val="auto"/>
                <w:sz w:val="21"/>
                <w:szCs w:val="21"/>
                <w:highlight w:val="none"/>
                <w:lang w:val="en-US" w:bidi="ar-SA"/>
              </w:rPr>
              <w:t xml:space="preserve">。</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38"/>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w:t>
            </w:r>
            <w:r/>
          </w:p>
        </w:tc>
        <w:tc>
          <w:tcPr>
            <w:tcW w:w="1110" w:type="dxa"/>
            <w:vAlign w:val="center"/>
            <w:textDirection w:val="lrTb"/>
            <w:noWrap w:val="false"/>
          </w:tcPr>
          <w:p>
            <w:pPr>
              <w:jc w:val="lef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bidi="ar-SA"/>
              </w:rPr>
              <w:t xml:space="preserve">无人机保险</w:t>
            </w:r>
            <w:r>
              <w:rPr>
                <w:rFonts w:hint="eastAsia" w:ascii="宋体" w:hAnsi="宋体" w:eastAsia="宋体" w:cs="宋体"/>
                <w:bCs/>
                <w:color w:val="auto"/>
                <w:sz w:val="21"/>
                <w:szCs w:val="21"/>
                <w:highlight w:val="none"/>
                <w:lang w:val="en-US" w:eastAsia="zh-CN" w:bidi="ar-SA"/>
              </w:rPr>
              <w:t xml:space="preserve">及</w:t>
            </w:r>
            <w:r>
              <w:rPr>
                <w:rFonts w:hint="eastAsia" w:ascii="宋体" w:hAnsi="宋体" w:eastAsia="宋体" w:cs="宋体"/>
                <w:color w:val="auto"/>
                <w:sz w:val="21"/>
                <w:szCs w:val="21"/>
                <w:highlight w:val="none"/>
                <w:lang w:val="en-US" w:bidi="zh-CN"/>
              </w:rPr>
              <w:t xml:space="preserve">机巢</w:t>
            </w:r>
            <w:r>
              <w:rPr>
                <w:rFonts w:hint="eastAsia" w:ascii="宋体" w:hAnsi="宋体" w:eastAsia="宋体" w:cs="宋体"/>
                <w:bCs/>
                <w:color w:val="auto"/>
                <w:sz w:val="21"/>
                <w:szCs w:val="21"/>
                <w:highlight w:val="none"/>
                <w:lang w:val="en-US" w:eastAsia="zh-CN" w:bidi="ar-SA"/>
              </w:rPr>
              <w:t xml:space="preserve">保险</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提供三年保险，飞丢保障1 次/年，</w:t>
            </w:r>
            <w:r>
              <w:rPr>
                <w:rFonts w:hint="eastAsia" w:ascii="宋体" w:hAnsi="宋体" w:eastAsia="宋体" w:cs="宋体"/>
                <w:b w:val="0"/>
                <w:bCs w:val="0"/>
                <w:color w:val="auto"/>
                <w:sz w:val="21"/>
                <w:szCs w:val="21"/>
                <w:highlight w:val="none"/>
                <w:lang w:val="en-US" w:eastAsia="zh-CN" w:bidi="ar-SA"/>
              </w:rPr>
              <w:t xml:space="preserve">电池换新2块/年</w:t>
            </w:r>
            <w:r>
              <w:rPr>
                <w:rFonts w:hint="eastAsia" w:ascii="宋体" w:hAnsi="宋体" w:eastAsia="宋体" w:cs="宋体"/>
                <w:color w:val="auto"/>
                <w:sz w:val="21"/>
                <w:szCs w:val="21"/>
                <w:highlight w:val="none"/>
                <w:lang w:val="en-US" w:eastAsia="zh-CN" w:bidi="ar-SA"/>
              </w:rPr>
              <w:t xml:space="preserve">，保额维修，免费维修。</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68"/>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w:t>
            </w:r>
            <w:r>
              <w:rPr>
                <w:rFonts w:hint="eastAsia" w:ascii="宋体" w:hAnsi="宋体" w:eastAsia="宋体" w:cs="宋体"/>
                <w:bCs/>
                <w:color w:val="auto"/>
                <w:sz w:val="21"/>
                <w:szCs w:val="21"/>
                <w:highlight w:val="none"/>
                <w:lang w:val="en-US" w:eastAsia="zh-CN" w:bidi="ar-SA"/>
              </w:rPr>
              <w:t xml:space="preserve">第三责任险（三者险）</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提供每年100万第三方险（共3年），其中人60万，物40万。</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23"/>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w:t>
            </w:r>
            <w:r/>
          </w:p>
        </w:tc>
        <w:tc>
          <w:tcPr>
            <w:tcW w:w="1110" w:type="dxa"/>
            <w:vAlign w:val="center"/>
            <w:textDirection w:val="lrTb"/>
            <w:noWrap w:val="false"/>
          </w:tcPr>
          <w:p>
            <w:pPr>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无人机和机巢保养培训服务</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提供三年无人机和机巢保养服务；提供现场安装部署调试，飞行测试，现场培训等服务。</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57"/>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二、监控球机</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90"/>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监控球机</w:t>
            </w:r>
            <w:r/>
          </w:p>
        </w:tc>
        <w:tc>
          <w:tcPr>
            <w:tcW w:w="6480" w:type="dxa"/>
            <w:vAlign w:val="center"/>
            <w:textDirection w:val="lrTb"/>
            <w:noWrap w:val="false"/>
          </w:tcPr>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1.分辨率：≥3840×2160；</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2.最低照度</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彩色</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0.005Lux@F1.6 </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黑白：</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0.0005Lux@F1.6 </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红外灯开启：</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bidi="ar-SA"/>
              </w:rPr>
              <w:t xml:space="preserve">Lux</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3.最大补光距离：</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250m（红外）；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4.补光类型：红外；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5.光学变倍：</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bCs/>
                <w:color w:val="auto"/>
                <w:sz w:val="21"/>
                <w:szCs w:val="21"/>
                <w:highlight w:val="none"/>
                <w:lang w:val="en-US" w:bidi="ar-SA"/>
              </w:rPr>
              <w:t xml:space="preserve">25倍；</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6.定时任务：预置点；巡迹；巡航；线扫；</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7.可视域功能：支持；</w:t>
            </w:r>
            <w:r/>
          </w:p>
          <w:p>
            <w:pPr>
              <w:jc w:val="both"/>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8.智能分类：全智能；</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en-US" w:bidi="ar-SA"/>
              </w:rPr>
              <w:t xml:space="preserve">.防抖功能：电子防抖；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0</w:t>
            </w:r>
            <w:r>
              <w:rPr>
                <w:rFonts w:hint="eastAsia" w:ascii="宋体" w:hAnsi="宋体" w:eastAsia="宋体" w:cs="宋体"/>
                <w:bCs/>
                <w:color w:val="auto"/>
                <w:sz w:val="21"/>
                <w:szCs w:val="21"/>
                <w:highlight w:val="none"/>
                <w:lang w:val="en-US" w:bidi="ar-SA"/>
              </w:rPr>
              <w:t xml:space="preserve">.透雾功能：电子透雾；</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bidi="ar-SA"/>
              </w:rPr>
              <w:t xml:space="preserve">.网络接口：1个（内置RJ-45网口，支持</w:t>
            </w:r>
            <w:r>
              <w:rPr>
                <w:rFonts w:hint="eastAsia" w:ascii="宋体" w:hAnsi="宋体" w:eastAsia="宋体" w:cs="宋体"/>
                <w:bCs/>
                <w:color w:val="auto"/>
                <w:sz w:val="21"/>
                <w:szCs w:val="21"/>
                <w:highlight w:val="none"/>
                <w:lang w:val="en-US" w:eastAsia="zh-CN" w:bidi="ar-SA"/>
              </w:rPr>
              <w:t xml:space="preserve">500</w:t>
            </w:r>
            <w:r>
              <w:rPr>
                <w:rFonts w:hint="eastAsia" w:ascii="宋体" w:hAnsi="宋体" w:eastAsia="宋体" w:cs="宋体"/>
                <w:bCs/>
                <w:color w:val="auto"/>
                <w:sz w:val="21"/>
                <w:szCs w:val="21"/>
                <w:highlight w:val="none"/>
                <w:lang w:val="en-US" w:bidi="ar-SA"/>
              </w:rPr>
              <w:t xml:space="preserve">M/100</w:t>
            </w:r>
            <w:r>
              <w:rPr>
                <w:rFonts w:hint="eastAsia" w:ascii="宋体" w:hAnsi="宋体" w:eastAsia="宋体" w:cs="宋体"/>
                <w:bCs/>
                <w:color w:val="auto"/>
                <w:sz w:val="21"/>
                <w:szCs w:val="21"/>
                <w:highlight w:val="none"/>
                <w:lang w:val="en-US" w:eastAsia="zh-CN" w:bidi="ar-SA"/>
              </w:rPr>
              <w:t xml:space="preserve">0</w:t>
            </w:r>
            <w:r>
              <w:rPr>
                <w:rFonts w:hint="eastAsia" w:ascii="宋体" w:hAnsi="宋体" w:eastAsia="宋体" w:cs="宋体"/>
                <w:bCs/>
                <w:color w:val="auto"/>
                <w:sz w:val="21"/>
                <w:szCs w:val="21"/>
                <w:highlight w:val="none"/>
                <w:lang w:val="en-US" w:bidi="ar-SA"/>
              </w:rPr>
              <w:t xml:space="preserve">M网络数据）；</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bidi="ar-SA"/>
              </w:rPr>
              <w:t xml:space="preserve">.语音对讲：支持；</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en-US" w:bidi="ar-SA"/>
              </w:rPr>
              <w:t xml:space="preserve">.报警输入：2路，开关量输入（0</w:t>
            </w:r>
            <w:r>
              <w:rPr>
                <w:rFonts w:hint="eastAsia" w:ascii="宋体" w:hAnsi="宋体" w:eastAsia="宋体" w:cs="宋体"/>
                <w:color w:val="auto"/>
                <w:highlight w:val="none"/>
              </w:rPr>
              <w:t xml:space="preserve">～</w:t>
            </w:r>
            <w:r>
              <w:rPr>
                <w:rFonts w:hint="eastAsia" w:ascii="宋体" w:hAnsi="宋体" w:eastAsia="宋体" w:cs="宋体"/>
                <w:bCs/>
                <w:color w:val="auto"/>
                <w:sz w:val="21"/>
                <w:szCs w:val="21"/>
                <w:highlight w:val="none"/>
                <w:lang w:val="en-US" w:bidi="ar-SA"/>
              </w:rPr>
              <w:t xml:space="preserve">5V DC）；</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14</w:t>
            </w:r>
            <w:r>
              <w:rPr>
                <w:rFonts w:hint="eastAsia" w:ascii="宋体" w:hAnsi="宋体" w:eastAsia="宋体" w:cs="宋体"/>
                <w:bCs/>
                <w:color w:val="auto"/>
                <w:sz w:val="21"/>
                <w:szCs w:val="21"/>
                <w:highlight w:val="none"/>
                <w:lang w:val="en-US" w:bidi="ar-SA"/>
              </w:rPr>
              <w:t xml:space="preserve">.报警输出：1路；</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en-US" w:bidi="ar-SA"/>
              </w:rPr>
              <w:t xml:space="preserve">.供电方式：DC24V/2.5A±25%（标配）；</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w:t>
            </w:r>
            <w:r>
              <w:rPr>
                <w:rFonts w:hint="eastAsia" w:ascii="宋体" w:hAnsi="宋体" w:eastAsia="宋体" w:cs="宋体"/>
                <w:bCs/>
                <w:color w:val="auto"/>
                <w:sz w:val="21"/>
                <w:szCs w:val="21"/>
                <w:highlight w:val="none"/>
                <w:lang w:val="en-US" w:bidi="ar-SA"/>
              </w:rPr>
              <w:t xml:space="preserve">.防护等级：IP67；TVS 6000V防雷、防浪涌和防突波保护；符合GB/T 17626.5 4级标准</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17.流量卡：512</w:t>
            </w:r>
            <w:r>
              <w:rPr>
                <w:rFonts w:hint="eastAsia" w:ascii="宋体" w:hAnsi="宋体" w:eastAsia="宋体" w:cs="宋体"/>
                <w:bCs/>
                <w:color w:val="auto"/>
                <w:sz w:val="21"/>
                <w:szCs w:val="21"/>
                <w:highlight w:val="none"/>
                <w:lang w:val="en-US" w:bidi="ar-SA"/>
              </w:rPr>
              <w:t xml:space="preserve">G视频存储卡、视频流量卡，30G/月/3年</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18：太阳能供电系统：</w:t>
            </w:r>
            <w:r>
              <w:rPr>
                <w:rFonts w:hint="eastAsia" w:ascii="宋体" w:hAnsi="宋体" w:eastAsia="宋体" w:cs="宋体"/>
                <w:bCs/>
                <w:color w:val="auto"/>
                <w:sz w:val="21"/>
                <w:szCs w:val="21"/>
                <w:highlight w:val="none"/>
                <w:lang w:val="en-US" w:bidi="ar-SA"/>
              </w:rPr>
              <w:t xml:space="preserve">太阳板：≥100W、锂电池：≥12V/100Ah、（集成）太阳能控制器</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19：智能切换检验:支持快速智能切换,当更换智能模式时设备不重启,新智能使能后即可生效；</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20：多场景智能巡航检验:多场景分别配置不同智能后,可进行多场景智能巡航,进行不同智能的分时复用。</w:t>
            </w:r>
            <w:r/>
          </w:p>
        </w:tc>
        <w:tc>
          <w:tcPr>
            <w:tcW w:w="67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台</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47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1110" w:type="dxa"/>
            <w:vAlign w:val="center"/>
            <w:textDirection w:val="lrTb"/>
            <w:noWrap w:val="false"/>
          </w:tcPr>
          <w:p>
            <w:pPr>
              <w:jc w:val="center"/>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监控立杆</w:t>
            </w:r>
            <w:r/>
          </w:p>
        </w:tc>
        <w:tc>
          <w:tcPr>
            <w:tcW w:w="6480" w:type="dxa"/>
            <w:vAlign w:val="center"/>
            <w:textDirection w:val="lrTb"/>
            <w:noWrap w:val="false"/>
          </w:tcPr>
          <w:p>
            <w:pPr>
              <w:numPr>
                <w:ilvl w:val="0"/>
                <w:numId w:val="0"/>
              </w:num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1.五</w:t>
            </w:r>
            <w:r>
              <w:rPr>
                <w:rFonts w:hint="eastAsia" w:ascii="宋体" w:hAnsi="宋体" w:eastAsia="宋体" w:cs="宋体"/>
                <w:color w:val="auto"/>
                <w:highlight w:val="none"/>
                <w:lang w:val="zh-CN"/>
              </w:rPr>
              <w:t xml:space="preserve">米镀锌钢管；</w:t>
            </w:r>
            <w:r/>
          </w:p>
          <w:p>
            <w:pPr>
              <w:numPr>
                <w:ilvl w:val="0"/>
                <w:numId w:val="0"/>
              </w:numPr>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通径≥114mm，壁厚2.5≥mm，含预埋件（地笼）、横臂≥40cm和必要的安装配件。</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jc w:val="center"/>
          <w:trHeight w:val="387"/>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三、智能虫情测报灯</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26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zh-CN" w:bidi="ar"/>
              </w:rPr>
              <w:t xml:space="preserve">智能虫情测报灯</w:t>
            </w:r>
            <w:r/>
          </w:p>
        </w:tc>
        <w:tc>
          <w:tcPr>
            <w:tcW w:w="6480" w:type="dxa"/>
            <w:vAlign w:val="center"/>
            <w:textDirection w:val="lrTb"/>
            <w:noWrap w:val="false"/>
          </w:tcPr>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2、整体结构采用不锈钢，采用光、电、数控技术，远程自动控制及识别</w:t>
            </w:r>
            <w:r>
              <w:rPr>
                <w:rFonts w:hint="eastAsia" w:ascii="宋体" w:hAnsi="宋体" w:eastAsia="宋体" w:cs="宋体"/>
                <w:bCs/>
                <w:color w:val="auto"/>
                <w:sz w:val="21"/>
                <w:szCs w:val="21"/>
                <w:highlight w:val="none"/>
                <w:lang w:val="en-US" w:eastAsia="zh-CN" w:bidi="ar-SA"/>
              </w:rPr>
              <w:t xml:space="preserve">计数</w:t>
            </w:r>
            <w:r>
              <w:rPr>
                <w:rFonts w:hint="eastAsia" w:ascii="宋体" w:hAnsi="宋体" w:eastAsia="宋体" w:cs="宋体"/>
                <w:bCs/>
                <w:color w:val="auto"/>
                <w:sz w:val="21"/>
                <w:szCs w:val="21"/>
                <w:highlight w:val="none"/>
                <w:lang w:val="en-US" w:bidi="ar-SA"/>
              </w:rPr>
              <w:t xml:space="preserve">。具漏电保护、避雷和防雨装置，雨虫分离技术，有防雨百叶，下雨天可以正常工作，正常捕虫，集虫器内不积水；</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rPr>
                <w:rFonts w:hint="eastAsia" w:ascii="宋体" w:hAnsi="宋体" w:eastAsia="宋体" w:cs="宋体"/>
                <w:b/>
                <w:bCs w:val="0"/>
                <w:color w:val="auto"/>
                <w:sz w:val="21"/>
                <w:szCs w:val="21"/>
                <w:highlight w:val="none"/>
                <w:lang w:val="en-US" w:eastAsia="zh-CN" w:bidi="ar-SA"/>
              </w:rPr>
              <w:t xml:space="preserve">（提供具有CNAS或CMA标识的检测报告扫描件加盖投标人单位公章）</w:t>
            </w:r>
            <w:r>
              <w:rPr>
                <w:rFonts w:hint="eastAsia" w:ascii="宋体" w:hAnsi="宋体" w:eastAsia="宋体" w:cs="宋体"/>
                <w:bCs/>
                <w:color w:val="auto"/>
                <w:sz w:val="21"/>
                <w:szCs w:val="21"/>
                <w:highlight w:val="none"/>
                <w:lang w:val="en-US" w:bidi="ar-SA"/>
              </w:rPr>
              <w:t xml:space="preserve">；</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w:t>
            </w:r>
            <w:r>
              <w:rPr>
                <w:rFonts w:hint="eastAsia" w:ascii="宋体" w:hAnsi="宋体" w:eastAsia="宋体" w:cs="宋体"/>
                <w:bCs/>
                <w:color w:val="auto"/>
                <w:sz w:val="21"/>
                <w:szCs w:val="21"/>
                <w:highlight w:val="none"/>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6、摄像头:≥2500W工业相机，显示屏:&gt;7寸电容式触摸屏，系统:≥Android4.0；苗情球机监控：≥400W；</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▲7、对拍完照的虫子，需要保留标本的留在储存仓内，可分天存储7天以上，人工定期去收集,对于不需要标本的，虫子直接排出机器外部，避免人工去现场维护；</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▲9、虫体处理，仓温度 85士5℃，烘干时间≤5 分钟虫体处理致死率100%，虫体完整率100%；</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10、光源:20W黑光灯;波长:320</w:t>
            </w:r>
            <w:r>
              <w:rPr>
                <w:rFonts w:hint="eastAsia" w:ascii="宋体" w:hAnsi="宋体" w:eastAsia="宋体" w:cs="宋体"/>
                <w:color w:val="auto"/>
                <w:highlight w:val="none"/>
              </w:rPr>
              <w:t xml:space="preserve">～</w:t>
            </w:r>
            <w:r>
              <w:rPr>
                <w:rFonts w:hint="eastAsia" w:ascii="宋体" w:hAnsi="宋体" w:eastAsia="宋体" w:cs="宋体"/>
                <w:bCs/>
                <w:color w:val="auto"/>
                <w:sz w:val="21"/>
                <w:szCs w:val="21"/>
                <w:highlight w:val="none"/>
                <w:lang w:val="en-US" w:bidi="ar-SA"/>
              </w:rPr>
              <w:t xml:space="preserve">680nm，撞击屏长≥590mm，宽≥210mm，厚≥5mm，三块撞击屏角度为120；</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▲11、采集数据实现自动远程传输，并可按要求接入国家级、省级、市级、县级和当地相关农作物有害生物监控信息系统；</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12、自动清洁：定期自动清理撞击屏上的蜘蛛网，可远程实现一键远程辅助清虫，减少人工维护频率；</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▲14、产品的L/N到接地的金属外壳之间能经受1500V(交流有效值)，其电源频率50Hz,历时lmin的耐压试验，无飞弧击穿现象</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yellow"/>
                <w:lang w:val="en-US" w:bidi="ar-SA"/>
              </w:rPr>
            </w:pPr>
            <w:r>
              <w:rPr>
                <w:rFonts w:hint="eastAsia" w:ascii="宋体" w:hAnsi="宋体" w:eastAsia="宋体" w:cs="宋体"/>
                <w:bCs/>
                <w:color w:val="auto"/>
                <w:sz w:val="21"/>
                <w:szCs w:val="21"/>
                <w:highlight w:val="yellow"/>
                <w:lang w:val="en-US" w:bidi="ar-SA"/>
              </w:rPr>
              <w:t xml:space="preserve">▲15、支持查看设备拍摄区作物识别（水稻、小麦）、生育期识别及给出预测下一生育期时间；支持查看设备环境传感器数据</w:t>
            </w:r>
            <w:r>
              <w:rPr>
                <w:rFonts w:hint="eastAsia" w:ascii="宋体" w:hAnsi="宋体" w:cs="宋体"/>
                <w:bCs/>
                <w:color w:val="auto"/>
                <w:sz w:val="21"/>
                <w:szCs w:val="21"/>
                <w:highlight w:val="yellow"/>
                <w:lang w:val="en-US" w:eastAsia="zh-CN" w:bidi="ar-SA"/>
              </w:rPr>
              <w:t xml:space="preserve">；</w:t>
            </w:r>
            <w:r>
              <w:rPr>
                <w:rFonts w:hint="eastAsia" w:ascii="宋体" w:hAnsi="宋体" w:eastAsia="宋体" w:cs="宋体"/>
                <w:b/>
                <w:bCs w:val="0"/>
                <w:color w:val="auto"/>
                <w:sz w:val="21"/>
                <w:szCs w:val="21"/>
                <w:highlight w:val="yellow"/>
                <w:lang w:val="en-US" w:bidi="ar-SA"/>
              </w:rPr>
              <w:t xml:space="preserve">（提供水稻表型检测系统登记证书</w:t>
            </w:r>
            <w:r>
              <w:rPr>
                <w:rFonts w:hint="eastAsia" w:ascii="宋体" w:hAnsi="宋体" w:eastAsia="宋体" w:cs="宋体"/>
                <w:b/>
                <w:bCs w:val="0"/>
                <w:color w:val="auto"/>
                <w:sz w:val="21"/>
                <w:szCs w:val="21"/>
                <w:highlight w:val="yellow"/>
                <w:lang w:val="en-US" w:eastAsia="zh-CN" w:bidi="ar-SA"/>
              </w:rPr>
              <w:t xml:space="preserve">扫描件</w:t>
            </w:r>
            <w:r>
              <w:rPr>
                <w:rFonts w:hint="eastAsia" w:ascii="宋体" w:hAnsi="宋体" w:eastAsia="宋体" w:cs="宋体"/>
                <w:b/>
                <w:bCs w:val="0"/>
                <w:color w:val="auto"/>
                <w:highlight w:val="yellow"/>
                <w:lang w:val="en-US" w:eastAsia="zh-CN"/>
              </w:rPr>
              <w:t xml:space="preserve">或软件系统功能截图等方式予以证明材料</w:t>
            </w:r>
            <w:r>
              <w:rPr>
                <w:rFonts w:hint="eastAsia" w:ascii="宋体" w:hAnsi="宋体" w:eastAsia="宋体" w:cs="宋体"/>
                <w:b/>
                <w:bCs w:val="0"/>
                <w:strike w:val="0"/>
                <w:color w:val="auto"/>
                <w:sz w:val="21"/>
                <w:szCs w:val="21"/>
                <w:highlight w:val="yellow"/>
                <w:lang w:val="en-US" w:bidi="ar-SA"/>
              </w:rPr>
              <w:t xml:space="preserve">加盖投标人公章）</w:t>
            </w:r>
            <w:r/>
          </w:p>
          <w:p>
            <w:pPr>
              <w:jc w:val="left"/>
              <w:spacing w:line="360" w:lineRule="auto"/>
              <w:rPr>
                <w:rFonts w:hint="eastAsia" w:ascii="宋体" w:hAnsi="宋体" w:eastAsia="宋体" w:cs="宋体"/>
                <w:color w:val="auto"/>
                <w:sz w:val="21"/>
                <w:szCs w:val="21"/>
                <w:highlight w:val="none"/>
                <w:lang w:val="en-US" w:bidi="zh-CN"/>
              </w:rPr>
            </w:pPr>
            <w:r>
              <w:rPr>
                <w:rFonts w:hint="eastAsia" w:ascii="宋体" w:hAnsi="宋体" w:eastAsia="宋体" w:cs="宋体"/>
                <w:bCs/>
                <w:color w:val="auto"/>
                <w:sz w:val="21"/>
                <w:szCs w:val="21"/>
                <w:highlight w:val="none"/>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w:t>
            </w:r>
            <w:r>
              <w:rPr>
                <w:rFonts w:hint="eastAsia" w:ascii="宋体" w:hAnsi="宋体" w:eastAsia="宋体" w:cs="宋体"/>
                <w:b w:val="0"/>
                <w:bCs/>
                <w:color w:val="auto"/>
                <w:sz w:val="21"/>
                <w:szCs w:val="21"/>
                <w:highlight w:val="none"/>
                <w:lang w:val="en-US" w:bidi="ar-SA"/>
              </w:rPr>
              <w:t xml:space="preserve">；</w:t>
            </w:r>
            <w:r>
              <w:rPr>
                <w:rFonts w:hint="eastAsia" w:ascii="宋体" w:hAnsi="宋体" w:eastAsia="宋体" w:cs="宋体"/>
                <w:b/>
                <w:bCs w:val="0"/>
                <w:color w:val="auto"/>
                <w:sz w:val="21"/>
                <w:szCs w:val="21"/>
                <w:highlight w:val="none"/>
                <w:lang w:val="en-US" w:bidi="ar-SA"/>
              </w:rPr>
              <w:t xml:space="preserve">（提供水稻病虫害监测预警服务平台登记证书</w:t>
            </w:r>
            <w:r>
              <w:rPr>
                <w:rFonts w:hint="eastAsia" w:ascii="宋体" w:hAnsi="宋体" w:eastAsia="宋体" w:cs="宋体"/>
                <w:b/>
                <w:bCs w:val="0"/>
                <w:color w:val="auto"/>
                <w:sz w:val="21"/>
                <w:szCs w:val="21"/>
                <w:highlight w:val="none"/>
                <w:lang w:val="en-US" w:eastAsia="zh-CN" w:bidi="ar-SA"/>
              </w:rPr>
              <w:t xml:space="preserve">扫描件</w:t>
            </w:r>
            <w:r>
              <w:rPr>
                <w:rFonts w:hint="eastAsia" w:ascii="宋体" w:hAnsi="宋体" w:eastAsia="宋体" w:cs="宋体"/>
                <w:b/>
                <w:bCs w:val="0"/>
                <w:color w:val="auto"/>
                <w:highlight w:val="none"/>
                <w:lang w:val="en-US" w:eastAsia="zh-CN"/>
              </w:rPr>
              <w:t xml:space="preserve">或病虫害预警相关的软件著作权证书</w:t>
            </w:r>
            <w:r>
              <w:rPr>
                <w:rFonts w:hint="eastAsia" w:ascii="宋体" w:hAnsi="宋体" w:eastAsia="宋体" w:cs="宋体"/>
                <w:b/>
                <w:bCs w:val="0"/>
                <w:color w:val="auto"/>
                <w:sz w:val="21"/>
                <w:szCs w:val="21"/>
                <w:highlight w:val="none"/>
                <w:lang w:val="en-US" w:bidi="ar-SA"/>
              </w:rPr>
              <w:t xml:space="preserve">加盖投标人公章）</w:t>
            </w:r>
            <w:r/>
          </w:p>
        </w:tc>
        <w:tc>
          <w:tcPr>
            <w:tcW w:w="67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台</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452"/>
        </w:trPr>
        <w:tc>
          <w:tcPr>
            <w:gridSpan w:val="3"/>
            <w:tcW w:w="8385" w:type="dxa"/>
            <w:vAlign w:val="center"/>
            <w:textDirection w:val="lrTb"/>
            <w:noWrap w:val="false"/>
          </w:tcPr>
          <w:p>
            <w:pPr>
              <w:jc w:val="left"/>
              <w:widowControl/>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en-US" w:bidi="ar-SA"/>
              </w:rPr>
              <w:t xml:space="preserve">四、自动气象土壤墒情监测站</w:t>
            </w:r>
            <w:r/>
          </w:p>
        </w:tc>
        <w:tc>
          <w:tcPr>
            <w:tcW w:w="675"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1417"/>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自动气象土壤墒情监测站</w:t>
            </w:r>
            <w:r/>
          </w:p>
        </w:tc>
        <w:tc>
          <w:tcPr>
            <w:tcW w:w="648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bidi="ar"/>
              </w:rPr>
              <w:t xml:space="preserve">监测指标包括但不限于土壤含水量(体积含水量，不少于4层，0cm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20cm、20cm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40cm、40cm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60cm、60cm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100cm，敏感原件的中心点安装位置需分别对应10cm、30cm、50cm和80cm)、土壤温度(层次要求同土壤含水量)、降雨量、空气温度、空气相对湿度、总辐射、风向、风速、大气压、土壤EC(电导率)等。设备能够通过对传感器监测数据的二次计算输出ET</w:t>
            </w:r>
            <w:r>
              <w:rPr>
                <w:rFonts w:hint="eastAsia" w:ascii="宋体" w:hAnsi="宋体" w:eastAsia="宋体" w:cs="宋体"/>
                <w:color w:val="auto"/>
                <w:sz w:val="21"/>
                <w:szCs w:val="21"/>
                <w:highlight w:val="none"/>
                <w:vertAlign w:val="subscript"/>
                <w:lang w:val="zh-CN" w:bidi="ar"/>
              </w:rPr>
              <w:t xml:space="preserve">0</w:t>
            </w:r>
            <w:r>
              <w:rPr>
                <w:rFonts w:hint="eastAsia" w:ascii="宋体" w:hAnsi="宋体" w:eastAsia="宋体" w:cs="宋体"/>
                <w:color w:val="auto"/>
                <w:sz w:val="21"/>
                <w:szCs w:val="21"/>
                <w:highlight w:val="none"/>
                <w:lang w:val="zh-CN" w:bidi="ar"/>
              </w:rPr>
              <w:t xml:space="preserve">(参考作物蒸发蒸腾量)。应加装图象传感器，监测作物长势长相。</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bidi="ar"/>
              </w:rPr>
              <w:t xml:space="preserve">太阳辐射传感器：量程：0W/㎡～1400W/㎡；分辨率：≦5W/㎡；最大允许误差：±5%(日累计）；</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大气温湿度传感器：空气温度量程：-40℃～</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bidi="ar"/>
              </w:rPr>
              <w:t xml:space="preserve">0℃，分辨率：≦0.</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℃，最大允许误差：±2℃；空气相对湿度量程：0%～95%RH；分辨率：1%RH；精度：±3%RH（≤80%），±5%RH（≥80%）；</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bidi="ar"/>
              </w:rPr>
              <w:t xml:space="preserve">风速风向传感器：风速测量范围：0～60m/s；分辨率：≦0.1m/s；精度：±0.5m/s；风向测量范围：0～360°；分辨率：≦</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°；精度：±3°；</w:t>
            </w:r>
            <w:r/>
          </w:p>
          <w:p>
            <w:pPr>
              <w:numPr>
                <w:ilvl w:val="0"/>
                <w:numId w:val="0"/>
              </w:numPr>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雨量传感器</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lang w:val="zh-CN" w:bidi="ar"/>
              </w:rPr>
              <w:t xml:space="preserve">雨量测量范围：0～4mm/min；分辨率：≦0.1mm；精度：±0.4mm（≤10mm)；</w:t>
            </w:r>
            <w:r>
              <w:rPr>
                <w:rFonts w:hint="eastAsia" w:ascii="宋体" w:hAnsi="宋体" w:eastAsia="宋体" w:cs="宋体"/>
                <w:color w:val="auto"/>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6、土壤传感器：</w:t>
            </w:r>
            <w:r>
              <w:rPr>
                <w:rFonts w:hint="eastAsia" w:ascii="宋体" w:hAnsi="宋体" w:eastAsia="宋体" w:cs="宋体"/>
                <w:color w:val="auto"/>
                <w:sz w:val="21"/>
                <w:szCs w:val="21"/>
                <w:highlight w:val="none"/>
                <w:lang w:val="zh-CN" w:bidi="ar"/>
              </w:rPr>
              <w:t xml:space="preserve">4层土壤水分测量范围：0～100%VWC，分辨率：≦0.</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%，精度：±3%（0～50%）；4层土壤温度测量范围：-40℃～80℃，分辨率：≦0.1℃，精度：±0.5℃；</w:t>
            </w:r>
            <w:r/>
          </w:p>
          <w:p>
            <w:pPr>
              <w:numPr>
                <w:ilvl w:val="0"/>
                <w:numId w:val="0"/>
              </w:numPr>
              <w:jc w:val="left"/>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sz w:val="21"/>
                <w:szCs w:val="21"/>
                <w:highlight w:val="none"/>
                <w:lang w:val="en-US" w:eastAsia="zh-CN" w:bidi="ar"/>
              </w:rPr>
              <w:t xml:space="preserve">7、光照传感器：</w:t>
            </w:r>
            <w:r>
              <w:rPr>
                <w:rFonts w:hint="eastAsia" w:ascii="宋体" w:hAnsi="宋体" w:eastAsia="宋体" w:cs="宋体"/>
                <w:color w:val="auto"/>
                <w:sz w:val="21"/>
                <w:szCs w:val="21"/>
                <w:highlight w:val="none"/>
                <w:lang w:val="zh-CN" w:bidi="ar"/>
              </w:rPr>
              <w:t xml:space="preserve">光照强度测量范围：0～200000lux；分辨率：1Lux；精度：±2%FS。</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zh-CN" w:bidi="ar"/>
              </w:rPr>
              <w:t xml:space="preserve">、主机可通过管理云平台远程设置数据采集时间、存储和发送时间间隔及IP地址。</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、模块化设计，传感器可管理云平台进行任意配置，总共可接16种类型传感器，每种传感器可接16路，超过16路的可通过菜单设置进行增加。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zh-CN" w:bidi="ar"/>
              </w:rPr>
              <w:t xml:space="preserve">、传感器采用低功耗设计，且内置一次性电池供电，可工作5年以上；</w:t>
            </w:r>
            <w:r/>
          </w:p>
          <w:p>
            <w:pPr>
              <w:numPr>
                <w:ilvl w:val="0"/>
                <w:numId w:val="0"/>
              </w:numPr>
              <w:jc w:val="left"/>
              <w:spacing w:line="360" w:lineRule="auto"/>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zh-CN" w:bidi="ar"/>
              </w:rPr>
              <w:t xml:space="preserve">、可查看作物生长苗情图片，支持动态播放苗情生长过程；</w:t>
            </w:r>
            <w:r>
              <w:rPr>
                <w:rFonts w:hint="eastAsia" w:ascii="宋体" w:hAnsi="宋体" w:eastAsia="宋体" w:cs="宋体"/>
                <w:b/>
                <w:bCs/>
                <w:color w:val="auto"/>
                <w:sz w:val="21"/>
                <w:szCs w:val="21"/>
                <w:highlight w:val="none"/>
                <w:lang w:val="en-US" w:bidi="ar"/>
              </w:rPr>
              <w:t xml:space="preserve">（提供具有</w:t>
            </w:r>
            <w:r>
              <w:rPr>
                <w:rFonts w:hint="eastAsia" w:ascii="宋体" w:hAnsi="宋体" w:eastAsia="宋体" w:cs="宋体"/>
                <w:b/>
                <w:bCs/>
                <w:color w:val="auto"/>
                <w:sz w:val="21"/>
                <w:szCs w:val="21"/>
                <w:highlight w:val="none"/>
                <w:lang w:val="en-US" w:eastAsia="zh-CN" w:bidi="ar"/>
              </w:rPr>
              <w:t xml:space="preserve">CNAS或CMA</w:t>
            </w:r>
            <w:r>
              <w:rPr>
                <w:rFonts w:hint="eastAsia" w:ascii="宋体" w:hAnsi="宋体" w:eastAsia="宋体" w:cs="宋体"/>
                <w:b/>
                <w:bCs/>
                <w:color w:val="auto"/>
                <w:sz w:val="21"/>
                <w:szCs w:val="21"/>
                <w:highlight w:val="none"/>
                <w:lang w:val="en-US" w:bidi="ar"/>
              </w:rPr>
              <w:t xml:space="preserve">标识的检测报告扫描件加盖投标人单位公章）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zh-CN" w:bidi="ar"/>
              </w:rPr>
              <w:t xml:space="preserve">、数据可以上传到自己指定的电脑也可以上传到总服务器，可切换，无影响。</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13</w:t>
            </w:r>
            <w:r>
              <w:rPr>
                <w:rFonts w:hint="eastAsia" w:ascii="宋体" w:hAnsi="宋体" w:eastAsia="宋体" w:cs="宋体"/>
                <w:color w:val="auto"/>
                <w:sz w:val="21"/>
                <w:szCs w:val="21"/>
                <w:highlight w:val="none"/>
                <w:lang w:val="zh-CN" w:bidi="ar"/>
              </w:rPr>
              <w:t xml:space="preserve">、系统可兼容RS485和Lora两种传感器通讯接口；超声波风速风向传感器，RS485接口+12V电源，管式墒情采用有线RS485+8V电源接口；</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14</w:t>
            </w:r>
            <w:r>
              <w:rPr>
                <w:rFonts w:hint="eastAsia" w:ascii="宋体" w:hAnsi="宋体" w:eastAsia="宋体" w:cs="宋体"/>
                <w:color w:val="auto"/>
                <w:sz w:val="21"/>
                <w:szCs w:val="21"/>
                <w:highlight w:val="none"/>
                <w:lang w:val="zh-CN" w:bidi="ar"/>
              </w:rPr>
              <w:t xml:space="preserve">、系统采用FREERTOS操作系统，提升了系统运行的可靠性、多数据采集任务的实时性、系统模块化、CPU的高效化应用；</w:t>
            </w:r>
            <w:r/>
          </w:p>
          <w:p>
            <w:pPr>
              <w:numPr>
                <w:ilvl w:val="0"/>
                <w:numId w:val="0"/>
              </w:numPr>
              <w:jc w:val="left"/>
              <w:spacing w:line="360" w:lineRule="auto"/>
              <w:rPr>
                <w:rFonts w:hint="eastAsia" w:ascii="宋体" w:hAnsi="宋体" w:eastAsia="宋体" w:cs="宋体"/>
                <w:b/>
                <w:bCs/>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val="zh-CN" w:bidi="ar"/>
              </w:rPr>
              <w:t xml:space="preserve">、设备可自动获取安装点的海拔数据和GPS坐标信息，可知道设备及数据采集点具体的地理位置，防盗防位移；</w:t>
            </w:r>
            <w:r>
              <w:rPr>
                <w:rFonts w:hint="eastAsia" w:ascii="宋体" w:hAnsi="宋体" w:eastAsia="宋体" w:cs="宋体"/>
                <w:b/>
                <w:bCs/>
                <w:color w:val="auto"/>
                <w:sz w:val="21"/>
                <w:szCs w:val="21"/>
                <w:highlight w:val="none"/>
                <w:lang w:val="zh-CN" w:bidi="ar"/>
              </w:rPr>
              <w:t xml:space="preserve">（提供具有CNAS或CMA标识的检测报告扫描件加盖投标人单位公章）</w:t>
            </w:r>
            <w:r/>
          </w:p>
          <w:p>
            <w:pPr>
              <w:numPr>
                <w:ilvl w:val="0"/>
                <w:numId w:val="0"/>
              </w:numPr>
              <w:jc w:val="left"/>
              <w:spacing w:line="360" w:lineRule="auto"/>
              <w:rPr>
                <w:rFonts w:hint="eastAsia" w:ascii="宋体" w:hAnsi="宋体" w:eastAsia="宋体" w:cs="宋体"/>
                <w:b/>
                <w:bCs/>
                <w:color w:val="auto"/>
                <w:sz w:val="21"/>
                <w:szCs w:val="21"/>
                <w:highlight w:val="none"/>
                <w:lang w:val="en-US"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16</w:t>
            </w:r>
            <w:r>
              <w:rPr>
                <w:rFonts w:hint="eastAsia" w:ascii="宋体" w:hAnsi="宋体" w:eastAsia="宋体" w:cs="宋体"/>
                <w:color w:val="auto"/>
                <w:sz w:val="21"/>
                <w:szCs w:val="21"/>
                <w:highlight w:val="none"/>
                <w:lang w:val="zh-CN" w:bidi="ar"/>
              </w:rPr>
              <w:t xml:space="preserve">、设备自带摄像头，≥2.7英寸，1920×1080，</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200W像素，可视场角90°，支持定时拍照功能，可将现场图片上传到管理云平台方便观察植物实际生长情况，亦可在平台上设置拍照间隔和时间；</w:t>
            </w:r>
            <w:r>
              <w:rPr>
                <w:rFonts w:hint="eastAsia" w:ascii="宋体" w:hAnsi="宋体" w:eastAsia="宋体" w:cs="宋体"/>
                <w:b/>
                <w:bCs/>
                <w:color w:val="auto"/>
                <w:sz w:val="21"/>
                <w:szCs w:val="21"/>
                <w:highlight w:val="none"/>
                <w:lang w:val="en-US" w:bidi="ar"/>
              </w:rPr>
              <w:t xml:space="preserve">（提供具有</w:t>
            </w:r>
            <w:r>
              <w:rPr>
                <w:rFonts w:hint="eastAsia" w:ascii="宋体" w:hAnsi="宋体" w:eastAsia="宋体" w:cs="宋体"/>
                <w:b/>
                <w:bCs/>
                <w:color w:val="auto"/>
                <w:sz w:val="21"/>
                <w:szCs w:val="21"/>
                <w:highlight w:val="none"/>
                <w:lang w:val="en-US" w:eastAsia="zh-CN" w:bidi="ar"/>
              </w:rPr>
              <w:t xml:space="preserve">CNAS或CMA</w:t>
            </w:r>
            <w:r>
              <w:rPr>
                <w:rFonts w:hint="eastAsia" w:ascii="宋体" w:hAnsi="宋体" w:eastAsia="宋体" w:cs="宋体"/>
                <w:b/>
                <w:bCs/>
                <w:color w:val="auto"/>
                <w:sz w:val="21"/>
                <w:szCs w:val="21"/>
                <w:highlight w:val="none"/>
                <w:lang w:val="en-US" w:bidi="ar"/>
              </w:rPr>
              <w:t xml:space="preserve">标识的检测报告扫描件加盖投标人单位公章）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bidi="ar"/>
              </w:rPr>
              <w:t xml:space="preserve">、系统供电系统为太阳能+充电电池结合模式，内置一次磷酸铁锂15Ah电池，拆卸更换方便，可独立工作15天以上。</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zh-CN" w:bidi="ar"/>
              </w:rPr>
              <w:t xml:space="preserve">、防护等级：</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IP65</w:t>
            </w:r>
            <w:r/>
          </w:p>
          <w:p>
            <w:pPr>
              <w:numPr>
                <w:ilvl w:val="0"/>
                <w:numId w:val="0"/>
              </w:numPr>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、系统采用抗震级设计，可支持抵抗11级台风等级,长效续航：内置大容量锂电池，可独立工作15天以上。外接太阳能电池板，可实现连续工作。</w:t>
            </w:r>
            <w:r>
              <w:rPr>
                <w:rFonts w:hint="eastAsia" w:ascii="宋体" w:hAnsi="宋体" w:eastAsia="宋体" w:cs="宋体"/>
                <w:color w:val="auto"/>
                <w:sz w:val="21"/>
                <w:szCs w:val="21"/>
                <w:highlight w:val="none"/>
                <w:lang w:val="zh-CN" w:bidi="ar"/>
              </w:rPr>
              <w:br/>
            </w:r>
            <w:r>
              <w:rPr>
                <w:rFonts w:hint="eastAsia" w:ascii="宋体" w:hAnsi="宋体" w:eastAsia="宋体" w:cs="宋体"/>
                <w:b/>
                <w:bCs/>
                <w:color w:val="auto"/>
                <w:sz w:val="21"/>
                <w:szCs w:val="21"/>
                <w:highlight w:val="none"/>
                <w:lang w:val="en-US" w:eastAsia="zh-CN" w:bidi="ar"/>
              </w:rPr>
              <w:t xml:space="preserve">注：</w:t>
            </w:r>
            <w:r>
              <w:rPr>
                <w:rFonts w:hint="eastAsia" w:ascii="宋体" w:hAnsi="宋体" w:eastAsia="宋体" w:cs="宋体"/>
                <w:b/>
                <w:bCs/>
                <w:color w:val="auto"/>
                <w:sz w:val="21"/>
                <w:szCs w:val="21"/>
                <w:highlight w:val="none"/>
                <w:lang w:val="en-US" w:bidi="ar"/>
              </w:rPr>
              <w:t xml:space="preserve">设备安装前，必须测定安装点位的田间持水量和容重。</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jc w:val="center"/>
          <w:trHeight w:val="394"/>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五、</w:t>
            </w:r>
            <w:r>
              <w:rPr>
                <w:rFonts w:hint="eastAsia" w:ascii="宋体" w:hAnsi="宋体" w:eastAsia="宋体" w:cs="宋体"/>
                <w:b/>
                <w:bCs w:val="0"/>
                <w:color w:val="auto"/>
                <w:sz w:val="21"/>
                <w:szCs w:val="21"/>
                <w:highlight w:val="none"/>
                <w:lang w:val="en-US" w:eastAsia="zh-CN" w:bidi="ar"/>
              </w:rPr>
              <w:t xml:space="preserve">设备</w:t>
            </w:r>
            <w:r>
              <w:rPr>
                <w:rFonts w:hint="eastAsia" w:ascii="宋体" w:hAnsi="宋体" w:eastAsia="宋体" w:cs="宋体"/>
                <w:b/>
                <w:bCs w:val="0"/>
                <w:color w:val="auto"/>
                <w:sz w:val="21"/>
                <w:szCs w:val="21"/>
                <w:highlight w:val="none"/>
                <w:lang w:val="zh-CN" w:bidi="ar"/>
              </w:rPr>
              <w:t xml:space="preserve">操作平台</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281"/>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en-US" w:eastAsia="zh-CN" w:bidi="ar"/>
              </w:rPr>
              <w:t xml:space="preserve">设备</w:t>
            </w:r>
            <w:r>
              <w:rPr>
                <w:rFonts w:hint="eastAsia" w:ascii="宋体" w:hAnsi="宋体" w:eastAsia="宋体" w:cs="宋体"/>
                <w:color w:val="auto"/>
                <w:sz w:val="21"/>
                <w:szCs w:val="21"/>
                <w:highlight w:val="none"/>
                <w:lang w:val="zh-CN" w:bidi="ar"/>
              </w:rPr>
              <w:t xml:space="preserve">操作平台</w:t>
            </w:r>
            <w:r/>
          </w:p>
        </w:tc>
        <w:tc>
          <w:tcPr>
            <w:tcW w:w="648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bidi="ar"/>
              </w:rPr>
              <w:t xml:space="preserve">新建</w:t>
            </w:r>
            <w:r>
              <w:rPr>
                <w:rFonts w:hint="eastAsia" w:ascii="宋体" w:hAnsi="宋体" w:eastAsia="宋体" w:cs="宋体"/>
                <w:color w:val="auto"/>
                <w:sz w:val="21"/>
                <w:szCs w:val="21"/>
                <w:highlight w:val="none"/>
                <w:lang w:val="en-US" w:eastAsia="zh-CN" w:bidi="ar"/>
              </w:rPr>
              <w:t xml:space="preserve">设备</w:t>
            </w:r>
            <w:r>
              <w:rPr>
                <w:rFonts w:hint="eastAsia" w:ascii="宋体" w:hAnsi="宋体" w:eastAsia="宋体" w:cs="宋体"/>
                <w:color w:val="auto"/>
                <w:sz w:val="21"/>
                <w:szCs w:val="21"/>
                <w:highlight w:val="none"/>
                <w:lang w:val="zh-CN" w:bidi="ar"/>
              </w:rPr>
              <w:t xml:space="preserve">操作平台共不少于</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val="zh-CN" w:bidi="ar"/>
              </w:rPr>
              <w:t xml:space="preserve">m²，围栏</w:t>
            </w:r>
            <w:r>
              <w:rPr>
                <w:rFonts w:hint="eastAsia" w:ascii="宋体" w:hAnsi="宋体" w:eastAsia="宋体" w:cs="宋体"/>
                <w:color w:val="auto"/>
                <w:sz w:val="21"/>
                <w:szCs w:val="21"/>
                <w:highlight w:val="none"/>
                <w:lang w:val="en-US" w:eastAsia="zh-CN" w:bidi="ar"/>
              </w:rPr>
              <w:t xml:space="preserve">总长度≥80m</w:t>
            </w:r>
            <w:r>
              <w:rPr>
                <w:rFonts w:hint="eastAsia" w:ascii="宋体" w:hAnsi="宋体" w:eastAsia="宋体" w:cs="宋体"/>
                <w:color w:val="auto"/>
                <w:sz w:val="21"/>
                <w:szCs w:val="21"/>
                <w:highlight w:val="none"/>
                <w:lang w:val="zh-CN" w:bidi="ar"/>
              </w:rPr>
              <w:t xml:space="preserve">，围栏高度1.2m，立柱间距2～3m，格栅间距≥15</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m，立柱截面8</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zh-CN" w:bidi="ar"/>
              </w:rPr>
              <w:t xml:space="preserve">*8</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m，厚度≥1.2mm，横梁截面25*38mm，厚度≥1.0mm;格栅圆管直径25mm，厚度≥1.0mm，</w:t>
            </w:r>
            <w:r>
              <w:rPr>
                <w:rFonts w:hint="eastAsia" w:ascii="宋体" w:hAnsi="宋体" w:eastAsia="宋体" w:cs="宋体"/>
                <w:color w:val="auto"/>
                <w:sz w:val="21"/>
                <w:szCs w:val="21"/>
                <w:highlight w:val="none"/>
                <w:lang w:val="en-US" w:eastAsia="zh-CN" w:bidi="ar"/>
              </w:rPr>
              <w:t xml:space="preserve">以上材质均为304不锈钢</w:t>
            </w:r>
            <w:r>
              <w:rPr>
                <w:rFonts w:hint="eastAsia" w:ascii="宋体" w:hAnsi="宋体" w:eastAsia="宋体" w:cs="宋体"/>
                <w:color w:val="auto"/>
                <w:sz w:val="21"/>
                <w:szCs w:val="21"/>
                <w:highlight w:val="none"/>
                <w:lang w:val="zh-CN" w:bidi="ar"/>
              </w:rPr>
              <w:t xml:space="preserve">；</w:t>
            </w:r>
            <w:r/>
          </w:p>
          <w:p>
            <w:pPr>
              <w:numPr>
                <w:ilvl w:val="0"/>
                <w:numId w:val="0"/>
              </w:numPr>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bidi="ar"/>
              </w:rPr>
              <w:t xml:space="preserve">围栏上开设1套1</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lang w:val="zh-CN" w:bidi="ar"/>
              </w:rPr>
              <w:t xml:space="preserve">宽人行门，1套3</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lang w:val="zh-CN" w:bidi="ar"/>
              </w:rPr>
              <w:t xml:space="preserve">宽机耕门，材质</w:t>
            </w:r>
            <w:r>
              <w:rPr>
                <w:rFonts w:hint="eastAsia" w:ascii="宋体" w:hAnsi="宋体" w:eastAsia="宋体" w:cs="宋体"/>
                <w:color w:val="auto"/>
                <w:sz w:val="21"/>
                <w:szCs w:val="21"/>
                <w:highlight w:val="none"/>
                <w:lang w:val="en-US" w:eastAsia="zh-CN" w:bidi="ar"/>
              </w:rPr>
              <w:t xml:space="preserve">均为304不锈钢</w:t>
            </w:r>
            <w:r>
              <w:rPr>
                <w:rFonts w:hint="eastAsia" w:ascii="宋体" w:hAnsi="宋体" w:eastAsia="宋体" w:cs="宋体"/>
                <w:color w:val="auto"/>
                <w:sz w:val="21"/>
                <w:szCs w:val="21"/>
                <w:highlight w:val="none"/>
                <w:lang w:val="zh-CN" w:bidi="ar"/>
              </w:rPr>
              <w:t xml:space="preserve">；围栏设置设备示意图标牌</w:t>
            </w:r>
            <w:r>
              <w:rPr>
                <w:rFonts w:hint="eastAsia" w:ascii="宋体" w:hAnsi="宋体" w:eastAsia="宋体" w:cs="宋体"/>
                <w:color w:val="auto"/>
                <w:sz w:val="21"/>
                <w:szCs w:val="21"/>
                <w:highlight w:val="none"/>
                <w:lang w:val="en-US" w:eastAsia="zh-CN" w:bidi="ar"/>
              </w:rPr>
              <w:t xml:space="preserve">；</w:t>
            </w:r>
            <w:r/>
          </w:p>
          <w:p>
            <w:pPr>
              <w:numPr>
                <w:ilvl w:val="0"/>
                <w:numId w:val="0"/>
              </w:numPr>
              <w:jc w:val="left"/>
              <w:spacing w:line="360" w:lineRule="auto"/>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设备平台</w:t>
            </w:r>
            <w:r>
              <w:rPr>
                <w:rFonts w:hint="eastAsia" w:ascii="宋体" w:hAnsi="宋体" w:eastAsia="宋体" w:cs="宋体"/>
                <w:color w:val="auto"/>
                <w:sz w:val="21"/>
                <w:szCs w:val="21"/>
                <w:highlight w:val="none"/>
                <w:lang w:val="en-US" w:eastAsia="zh-CN" w:bidi="ar"/>
              </w:rPr>
              <w:t xml:space="preserve">四周</w:t>
            </w:r>
            <w:r>
              <w:rPr>
                <w:rFonts w:hint="eastAsia" w:ascii="宋体" w:hAnsi="宋体" w:eastAsia="宋体" w:cs="宋体"/>
                <w:color w:val="auto"/>
                <w:sz w:val="21"/>
                <w:szCs w:val="21"/>
                <w:highlight w:val="none"/>
                <w:lang w:val="zh-CN" w:bidi="ar"/>
              </w:rPr>
              <w:t xml:space="preserve">铺设</w:t>
            </w:r>
            <w:r>
              <w:rPr>
                <w:rFonts w:hint="eastAsia" w:ascii="宋体" w:hAnsi="宋体" w:eastAsia="宋体" w:cs="宋体"/>
                <w:color w:val="auto"/>
                <w:sz w:val="21"/>
                <w:szCs w:val="21"/>
                <w:highlight w:val="none"/>
                <w:lang w:val="en-US" w:eastAsia="zh-CN" w:bidi="ar"/>
              </w:rPr>
              <w:t xml:space="preserve">宽</w:t>
            </w: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m的防腐</w:t>
            </w:r>
            <w:r>
              <w:rPr>
                <w:rFonts w:hint="eastAsia" w:ascii="宋体" w:hAnsi="宋体" w:eastAsia="宋体" w:cs="宋体"/>
                <w:color w:val="auto"/>
                <w:sz w:val="21"/>
                <w:szCs w:val="21"/>
                <w:highlight w:val="none"/>
                <w:lang w:val="en-US" w:eastAsia="zh-CN" w:bidi="ar"/>
              </w:rPr>
              <w:t xml:space="preserve">木</w:t>
            </w:r>
            <w:r>
              <w:rPr>
                <w:rFonts w:hint="eastAsia" w:ascii="宋体" w:hAnsi="宋体" w:eastAsia="宋体" w:cs="宋体"/>
                <w:color w:val="auto"/>
                <w:sz w:val="21"/>
                <w:szCs w:val="21"/>
                <w:highlight w:val="none"/>
                <w:lang w:val="zh-CN" w:bidi="ar"/>
              </w:rPr>
              <w:t xml:space="preserve">人行过道，防腐木厚度≥</w:t>
            </w:r>
            <w:r>
              <w:rPr>
                <w:rFonts w:hint="eastAsia" w:ascii="宋体" w:hAnsi="宋体" w:eastAsia="宋体" w:cs="宋体"/>
                <w:color w:val="auto"/>
                <w:sz w:val="21"/>
                <w:szCs w:val="21"/>
                <w:highlight w:val="none"/>
                <w:lang w:val="en-US" w:eastAsia="zh-CN" w:bidi="ar"/>
              </w:rPr>
              <w:t xml:space="preserve">40m</w:t>
            </w:r>
            <w:r>
              <w:rPr>
                <w:rFonts w:hint="eastAsia" w:ascii="宋体" w:hAnsi="宋体" w:eastAsia="宋体" w:cs="宋体"/>
                <w:color w:val="auto"/>
                <w:sz w:val="21"/>
                <w:szCs w:val="21"/>
                <w:highlight w:val="none"/>
                <w:lang w:val="zh-CN" w:bidi="ar"/>
              </w:rPr>
              <w:t xml:space="preserve">m，过道高度不超过10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m，两侧支撑龙骨为防腐木条，断面尺寸为</w:t>
            </w:r>
            <w:r>
              <w:rPr>
                <w:rFonts w:hint="eastAsia" w:ascii="宋体" w:hAnsi="宋体" w:eastAsia="宋体" w:cs="宋体"/>
                <w:color w:val="auto"/>
                <w:sz w:val="21"/>
                <w:szCs w:val="21"/>
                <w:highlight w:val="none"/>
                <w:lang w:val="en-US" w:eastAsia="zh-CN" w:bidi="ar"/>
              </w:rPr>
              <w:t xml:space="preserve">42*105mm</w:t>
            </w:r>
            <w:r>
              <w:rPr>
                <w:rFonts w:hint="eastAsia" w:ascii="宋体" w:hAnsi="宋体" w:eastAsia="宋体" w:cs="宋体"/>
                <w:color w:val="auto"/>
                <w:sz w:val="21"/>
                <w:szCs w:val="21"/>
                <w:highlight w:val="none"/>
                <w:lang w:val="zh-CN" w:bidi="ar"/>
              </w:rPr>
              <w:t xml:space="preserve">；</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bidi="ar"/>
              </w:rPr>
              <w:t xml:space="preserve">平台支撑立柱为防腐木柱，立柱尺寸为9</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m*9</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m*100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m，埋深不少于70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m，立柱间隔1m；</w:t>
            </w:r>
            <w:r>
              <w:rPr>
                <w:rFonts w:hint="eastAsia" w:ascii="宋体" w:hAnsi="宋体" w:eastAsia="宋体" w:cs="宋体"/>
                <w:color w:val="auto"/>
                <w:sz w:val="21"/>
                <w:szCs w:val="21"/>
                <w:highlight w:val="none"/>
                <w:lang w:val="zh-CN" w:bidi="ar"/>
              </w:rPr>
              <w:br/>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、供电系统一套：太阳能供电系统电池不得低于200Ah，配套电箱含警示标识；太阳能板立杆不低于5米，并带防盗固定处理。</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bl>
    <w:p>
      <w:pPr>
        <w:spacing w:line="360" w:lineRule="auto"/>
        <w:rPr>
          <w:rFonts w:hint="eastAsia" w:ascii="宋体" w:hAnsi="宋体" w:eastAsia="宋体" w:cs="宋体"/>
          <w:b/>
          <w:bCs/>
          <w:color w:val="auto"/>
          <w:highlight w:val="yellow"/>
        </w:rPr>
      </w:pPr>
      <w:r>
        <w:rPr>
          <w:rFonts w:hint="eastAsia" w:ascii="宋体" w:hAnsi="宋体" w:eastAsia="宋体" w:cs="宋体"/>
          <w:b/>
          <w:bCs/>
          <w:color w:val="auto"/>
          <w:highlight w:val="yellow"/>
          <w:lang w:val="en-US" w:eastAsia="zh-CN"/>
        </w:rPr>
        <w:t xml:space="preserve">注：（1）报告出具时间为 2026 年 6 月 1 日之前：带 CMA 或 CNAS 标识均有效；</w:t>
      </w:r>
      <w:r>
        <w:rPr>
          <w:highlight w:val="yellow"/>
        </w:rPr>
      </w:r>
    </w:p>
    <w:p>
      <w:pPr>
        <w:ind w:firstLine="422"/>
        <w:spacing w:line="360" w:lineRule="auto"/>
        <w:rPr>
          <w:rFonts w:hint="eastAsia" w:ascii="宋体" w:hAnsi="宋体" w:eastAsia="宋体" w:cs="宋体"/>
          <w:b/>
          <w:bCs/>
          <w:color w:val="auto"/>
          <w:highlight w:val="yellow"/>
        </w:rPr>
      </w:pPr>
      <w:r>
        <w:rPr>
          <w:rFonts w:hint="eastAsia" w:ascii="宋体" w:hAnsi="宋体" w:eastAsia="宋体" w:cs="宋体"/>
          <w:b/>
          <w:bCs/>
          <w:color w:val="auto"/>
          <w:highlight w:val="yellow"/>
          <w:lang w:val="en-US" w:eastAsia="zh-CN"/>
        </w:rPr>
        <w:t xml:space="preserve">（2）报告出具时间为 2026 年 6 月 1 日（含）之后：可不加盖 CMA 标识，供应商须同步提交《检测项目未列入一单一库书面说明》+ 国家认监委一单一库官网查询截图等佐证材料，对报告真实性、有效性全权负责；</w:t>
      </w:r>
      <w:bookmarkStart w:id="35" w:name="_GoBack"/>
      <w:r>
        <w:rPr>
          <w:highlight w:val="yellow"/>
        </w:rPr>
      </w:r>
      <w:bookmarkEnd w:id="35"/>
      <w:r>
        <w:rPr>
          <w:highlight w:val="yellow"/>
        </w:rPr>
      </w:r>
      <w:r>
        <w:rPr>
          <w:highlight w:val="yellow"/>
        </w:rP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、项目实施要求</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人提供的货物（含配件）应是全新的、未使用过的原装合格正品，并保证所提供货物的开箱合格率为100%，外观和内在质量都不得有任何问题。采用的是最佳材料和第一流的工艺，并在各个方面符合合同规定的质量、规格和性能要求。在未验收前，货物保管、安全均由中标人负责。</w:t>
      </w:r>
      <w:r/>
    </w:p>
    <w:p>
      <w:pPr>
        <w:ind w:firstLine="480"/>
        <w:spacing w:line="360" w:lineRule="auto"/>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w:t>
      </w:r>
      <w:r>
        <w:rPr>
          <w:rFonts w:hint="eastAsia" w:ascii="宋体" w:hAnsi="宋体" w:eastAsia="宋体" w:cs="宋体"/>
          <w:b w:val="0"/>
          <w:bCs w:val="0"/>
          <w:color w:val="auto"/>
          <w:szCs w:val="21"/>
          <w:highlight w:val="none"/>
        </w:rPr>
        <w:t xml:space="preserve">按时正确地安装、调试和验收，并能满足正常运行和维修保养的需要。</w:t>
      </w:r>
      <w:r/>
    </w:p>
    <w:p>
      <w:pPr>
        <w:ind w:firstLine="48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本项目为交钥匙工程，项目包含货物制作、安装、部署、人工、辅材、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4、中标人要在提供完整、可靠设备的同时，还必须为整个系统提供规范、达标的安装工作。安装工程所需的仪器和专用工具由中标人自备。工程完</w:t>
      </w:r>
      <w:r>
        <w:rPr>
          <w:rFonts w:hint="eastAsia" w:ascii="宋体" w:hAnsi="宋体" w:eastAsia="宋体" w:cs="宋体"/>
          <w:color w:val="auto"/>
          <w:szCs w:val="21"/>
          <w:highlight w:val="none"/>
        </w:rPr>
        <w:t xml:space="preserve">工后，中标人提供的设备和安装服务，须满足采购人的要求。</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5、采购人使用该货物的任何一部分，当受第三方提出的侵犯其专利权、商标权或工业设计权的投诉时，一切后果由中标人负责。</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6、安排至少1名专业技术人员对采购方人员进行免费技术培训，培训内容包括装备的操作、日常维修、简单故障的识别及排除等。培训地点由采购方指定。</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四、运维售后服务要求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免费质保期要求：自本项目完成验收之日起，提供不少于3年的免费质保和免费上门服务，提供7*24小时技术支持服务，如在使用过程中发生质量问题，承诺2小时内反馈，接到通知后48小时内维修工程师到达维修现场。服务覆盖设备正常使用、故障修复、定期巡检、校准调试、数据保障、技术支撑、人员指导等，满足常态化监测工作要求。如中标人未在规定时间内答复响应，则视为承认质量问题并承担由此发生的一切费用。</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所有质保费用均已包含在投标报价中，质保期内每年上门维护保养1次，产品的一切质量问题，更换部件及产品本身质量原因造成的直接经济损失全部由中标人负责。无法短时间完成维修的，应向采购人提供应急备用产品。质保期满后，应提供优先的有偿售后服务及按不高于投标文件中主要配件、易损件清单所报价格供应原厂零配件等。</w:t>
      </w:r>
      <w:r/>
    </w:p>
    <w:p>
      <w:pPr>
        <w:ind w:firstLine="48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rPr>
        <w:t xml:space="preserve">3、中标人须满足数据、飞控、在线控制对接至江苏省“苏农云”、</w:t>
      </w:r>
      <w:r>
        <w:rPr>
          <w:rFonts w:hint="eastAsia" w:ascii="宋体" w:hAnsi="宋体" w:eastAsia="宋体" w:cs="宋体"/>
          <w:b w:val="0"/>
          <w:bCs w:val="0"/>
          <w:i/>
          <w:iCs/>
          <w:color w:val="auto"/>
          <w:szCs w:val="21"/>
          <w:highlight w:val="none"/>
          <w:u w:val="single"/>
          <w:lang w:val="en-US" w:eastAsia="zh-CN"/>
        </w:rPr>
        <w:t xml:space="preserve">扬州、</w:t>
      </w:r>
      <w:r>
        <w:rPr>
          <w:rFonts w:hint="eastAsia" w:ascii="宋体" w:hAnsi="宋体" w:eastAsia="宋体" w:cs="宋体"/>
          <w:b w:val="0"/>
          <w:bCs w:val="0"/>
          <w:i/>
          <w:iCs/>
          <w:color w:val="auto"/>
          <w:szCs w:val="21"/>
          <w:highlight w:val="none"/>
          <w:u w:val="single"/>
        </w:rPr>
        <w:t xml:space="preserve">仪征等信息平台的对接要求，并保障所需要的流量、软硬件等各项条件</w:t>
      </w:r>
      <w:r>
        <w:rPr>
          <w:rFonts w:hint="eastAsia" w:ascii="宋体" w:hAnsi="宋体" w:eastAsia="宋体" w:cs="宋体"/>
          <w:b w:val="0"/>
          <w:bCs w:val="0"/>
          <w:i/>
          <w:iCs/>
          <w:color w:val="auto"/>
          <w:szCs w:val="21"/>
          <w:highlight w:val="none"/>
          <w:u w:val="single"/>
          <w:lang w:eastAsia="zh-CN"/>
        </w:rPr>
        <w:t xml:space="preserve">，完成</w:t>
      </w:r>
      <w:r>
        <w:rPr>
          <w:rFonts w:hint="eastAsia" w:ascii="宋体" w:hAnsi="宋体" w:eastAsia="宋体" w:cs="宋体"/>
          <w:b w:val="0"/>
          <w:bCs w:val="0"/>
          <w:i/>
          <w:iCs/>
          <w:color w:val="auto"/>
          <w:szCs w:val="21"/>
          <w:highlight w:val="none"/>
          <w:u w:val="single"/>
          <w:lang w:val="en-US" w:eastAsia="zh-CN"/>
        </w:rPr>
        <w:t xml:space="preserve">每年</w:t>
      </w:r>
      <w:r>
        <w:rPr>
          <w:rFonts w:hint="eastAsia" w:ascii="宋体" w:hAnsi="宋体" w:eastAsia="宋体" w:cs="宋体"/>
          <w:b w:val="0"/>
          <w:bCs w:val="0"/>
          <w:i/>
          <w:iCs/>
          <w:color w:val="auto"/>
          <w:szCs w:val="21"/>
          <w:highlight w:val="none"/>
          <w:u w:val="single"/>
          <w:lang w:eastAsia="zh-CN"/>
        </w:rPr>
        <w:t xml:space="preserve">省市</w:t>
      </w:r>
      <w:r>
        <w:rPr>
          <w:rFonts w:hint="eastAsia" w:ascii="宋体" w:hAnsi="宋体" w:eastAsia="宋体" w:cs="宋体"/>
          <w:b w:val="0"/>
          <w:bCs w:val="0"/>
          <w:i/>
          <w:iCs/>
          <w:color w:val="auto"/>
          <w:szCs w:val="21"/>
          <w:highlight w:val="none"/>
          <w:u w:val="single"/>
          <w:lang w:val="en-US" w:eastAsia="zh-CN"/>
        </w:rPr>
        <w:t xml:space="preserve">规定的</w:t>
      </w:r>
      <w:r>
        <w:rPr>
          <w:rFonts w:hint="eastAsia" w:ascii="宋体" w:hAnsi="宋体" w:eastAsia="宋体" w:cs="宋体"/>
          <w:b w:val="0"/>
          <w:bCs w:val="0"/>
          <w:i/>
          <w:iCs/>
          <w:color w:val="auto"/>
          <w:szCs w:val="21"/>
          <w:highlight w:val="none"/>
          <w:u w:val="single"/>
          <w:lang w:eastAsia="zh-CN"/>
        </w:rPr>
        <w:t xml:space="preserve">巡飞任务。</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提供承诺书原件扫描件并加盖投标人单位公章，格式自拟</w:t>
      </w:r>
      <w:r>
        <w:rPr>
          <w:rFonts w:hint="eastAsia" w:ascii="宋体" w:hAnsi="宋体" w:eastAsia="宋体" w:cs="宋体"/>
          <w:b/>
          <w:bCs/>
          <w:i/>
          <w:iCs/>
          <w:color w:val="auto"/>
          <w:szCs w:val="21"/>
          <w:highlight w:val="none"/>
          <w:u w:val="single"/>
        </w:rPr>
        <w:t xml:space="preserve">）。</w:t>
      </w:r>
      <w:r/>
    </w:p>
    <w:p>
      <w:pPr>
        <w:ind w:firstLine="480"/>
        <w:spacing w:line="360" w:lineRule="auto"/>
        <w:rPr>
          <w:rFonts w:hint="eastAsia" w:ascii="宋体" w:hAnsi="宋体" w:eastAsia="宋体" w:cs="宋体"/>
          <w:b/>
          <w:bCs/>
          <w:color w:val="auto"/>
          <w:highlight w:val="none"/>
          <w:u w:val="single"/>
          <w:lang w:val="en-US" w:eastAsia="zh-CN"/>
        </w:rPr>
      </w:pPr>
      <w:r>
        <w:rPr>
          <w:rFonts w:hint="eastAsia" w:ascii="宋体" w:hAnsi="宋体" w:eastAsia="宋体" w:cs="宋体"/>
          <w:b w:val="0"/>
          <w:bCs w:val="0"/>
          <w:i/>
          <w:iCs/>
          <w:color w:val="auto"/>
          <w:szCs w:val="21"/>
          <w:highlight w:val="none"/>
          <w:u w:val="single"/>
        </w:rPr>
        <w:t xml:space="preserve">4、对于本项目中所提供的系统以及算法软件，中标人应提供最新的版本。采购人有软件升级要求时，中标人还应及时提供升级服务和技术支持，费用包含在报价中。</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提供承诺书原件扫描件并加盖投标人单位公章，格式自拟</w:t>
      </w:r>
      <w:r>
        <w:rPr>
          <w:rFonts w:hint="eastAsia" w:ascii="宋体" w:hAnsi="宋体" w:eastAsia="宋体" w:cs="宋体"/>
          <w:b/>
          <w:bCs/>
          <w:i/>
          <w:iCs/>
          <w:color w:val="auto"/>
          <w:szCs w:val="21"/>
          <w:highlight w:val="none"/>
          <w:u w:val="single"/>
        </w:rPr>
        <w:t xml:space="preserve">）</w:t>
      </w:r>
      <w:r/>
    </w:p>
    <w:p>
      <w:pPr>
        <w:numPr>
          <w:ilvl w:val="0"/>
          <w:numId w:val="0"/>
        </w:num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5、中标人须设有维修服务电话，负责解答用户在设备使用中遇到的问题，及时提出解决问题的建议和操作方法。</w:t>
      </w:r>
      <w:r/>
    </w:p>
    <w:p>
      <w:pPr>
        <w:numPr>
          <w:ilvl w:val="0"/>
          <w:numId w:val="0"/>
        </w:num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五、交货及付款要求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1、供货方式、时间及地点要求：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（1）交货时间要求：合同签订之日起30个日历天内(除不可抗力、非乙方原因)完成供货并安装调试验收合格。</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（2）供货地点：采购人指定地点。</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2、付款方式</w:t>
      </w:r>
      <w:r/>
    </w:p>
    <w:p>
      <w:pPr>
        <w:contextualSpacing/>
        <w:ind w:firstLine="630"/>
        <w:spacing w:line="360" w:lineRule="auto"/>
        <w:tabs>
          <w:tab w:val="left" w:pos="5325"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合同签订后，乙方向甲方开具发票，甲方自收到发票之日起10个工作日内支付合同总价30%的预付款，</w:t>
      </w:r>
      <w:r>
        <w:rPr>
          <w:rFonts w:hint="eastAsia" w:ascii="宋体" w:hAnsi="宋体" w:eastAsia="宋体" w:cs="宋体"/>
          <w:b w:val="0"/>
          <w:bCs w:val="0"/>
          <w:color w:val="auto"/>
          <w:szCs w:val="21"/>
          <w:highlight w:val="none"/>
          <w:lang w:val="en-US" w:eastAsia="zh-CN"/>
        </w:rPr>
        <w:t xml:space="preserve">设备</w:t>
      </w:r>
      <w:r>
        <w:rPr>
          <w:rFonts w:hint="eastAsia" w:ascii="宋体" w:hAnsi="宋体" w:eastAsia="宋体" w:cs="宋体"/>
          <w:b w:val="0"/>
          <w:bCs w:val="0"/>
          <w:color w:val="auto"/>
          <w:szCs w:val="21"/>
          <w:highlight w:val="none"/>
        </w:rPr>
        <w:t xml:space="preserve">安装调试完成，验收合格后一次性付清余款。</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bookmarkEnd w:id="25"/>
      <w:r/>
      <w:bookmarkEnd w:id="26"/>
      <w:r/>
      <w:r/>
    </w:p>
    <w:p>
      <w:pPr>
        <w:pStyle w:val="947"/>
        <w:ind w:firstLine="422"/>
        <w:keepLines w:val="0"/>
        <w:keepNext w:val="0"/>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630"/>
        <w:keepLines w:val="0"/>
        <w:keepNext w:val="0"/>
        <w:pageBreakBefore w:val="0"/>
        <w:spacing w:line="360" w:lineRule="auto"/>
        <w:rPr>
          <w:rFonts w:hint="eastAsia" w:ascii="宋体" w:hAnsi="宋体" w:eastAsia="宋体" w:cs="宋体"/>
          <w:color w:val="auto"/>
          <w:szCs w:val="21"/>
          <w:highlight w:val="none"/>
        </w:rPr>
      </w:pPr>
      <w:r/>
      <w:bookmarkStart w:id="27" w:name="_Toc449016388"/>
      <w:r/>
      <w:bookmarkStart w:id="28" w:name="_Toc449017024"/>
      <w:r>
        <w:rPr>
          <w:rFonts w:hint="eastAsia" w:ascii="宋体" w:hAnsi="宋体" w:eastAsia="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
      <w:r/>
      <w:bookmarkEnd w:id="28"/>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highlight w:val="none"/>
        </w:rPr>
        <w:t xml:space="preserve">二、</w:t>
      </w:r>
      <w:r>
        <w:rPr>
          <w:rFonts w:hint="eastAsia" w:ascii="宋体" w:hAnsi="宋体" w:eastAsia="宋体" w:cs="宋体"/>
          <w:b/>
          <w:color w:val="auto"/>
          <w:szCs w:val="21"/>
          <w:highlight w:val="none"/>
        </w:rPr>
        <w:t xml:space="preserve">政府采购政策功能落实</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1、中小企业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（1）本项目专门面向中小微企业采购，不享受价格扣除政策。</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（2）供应商需按照招标文件的要求提供相应的《中小企业声明函》。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（3）企业标准请参照《关于印发中小企业划型标准规定的通知》（工信部联企业〔2011〕300号）文件规定自行填写。</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〔2014〕68号）。</w:t>
      </w:r>
      <w:r/>
    </w:p>
    <w:p>
      <w:pPr>
        <w:ind w:firstLine="211"/>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三、评审标准</w:t>
      </w:r>
      <w:r/>
    </w:p>
    <w:tbl>
      <w:tblPr>
        <w:tblStyle w:val="719"/>
        <w:tblW w:w="10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058"/>
        <w:gridCol w:w="8310"/>
        <w:gridCol w:w="900"/>
      </w:tblGrid>
      <w:tr>
        <w:trPr>
          <w:jc w:val="center"/>
          <w:trHeight w:val="540"/>
          <w:tblHeader/>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shd w:val="clear" w:color="auto" w:fill="ffffff"/>
            <w:tcMar>
              <w:left w:w="108" w:type="dxa"/>
              <w:right w:w="108" w:type="dxa"/>
            </w:tcMar>
            <w:tcW w:w="831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  分  标  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bCs/>
                <w:color w:val="auto"/>
                <w:sz w:val="21"/>
                <w:szCs w:val="21"/>
                <w:highlight w:val="none"/>
                <w:lang w:val="en-US" w:eastAsia="zh-CN" w:bidi="ar-SA"/>
              </w:rPr>
              <w:t xml:space="preserve">分值</w:t>
            </w:r>
            <w:r/>
          </w:p>
        </w:tc>
      </w:tr>
      <w:tr>
        <w:trPr>
          <w:jc w:val="center"/>
          <w:trHeight w:val="1082"/>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w:t>
            </w:r>
            <w:r>
              <w:rPr>
                <w:rFonts w:hint="eastAsia" w:ascii="宋体" w:hAnsi="宋体" w:eastAsia="宋体" w:cs="宋体"/>
                <w:b/>
                <w:color w:val="auto"/>
                <w:sz w:val="21"/>
                <w:szCs w:val="21"/>
                <w:highlight w:val="none"/>
                <w:lang w:eastAsia="zh-CN"/>
              </w:rPr>
              <w:t xml:space="preserve">得分</w:t>
            </w:r>
            <w:r>
              <w:rPr>
                <w:rFonts w:hint="eastAsia" w:ascii="宋体" w:hAnsi="宋体" w:eastAsia="宋体" w:cs="宋体"/>
                <w:b/>
                <w:color w:val="auto"/>
                <w:sz w:val="21"/>
                <w:szCs w:val="21"/>
                <w:highlight w:val="none"/>
              </w:rPr>
              <w:t xml:space="preserve">（30分）</w:t>
            </w:r>
            <w:r/>
          </w:p>
        </w:tc>
        <w:tc>
          <w:tcPr>
            <w:shd w:val="clear" w:color="auto" w:fill="ffffff"/>
            <w:tcMar>
              <w:left w:w="108" w:type="dxa"/>
              <w:right w:w="108" w:type="dxa"/>
            </w:tcMar>
            <w:tcW w:w="8310" w:type="dxa"/>
            <w:vAlign w:val="center"/>
            <w:textDirection w:val="lrTb"/>
            <w:noWrap w:val="false"/>
          </w:tcPr>
          <w:p>
            <w:pPr>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以满足招标文件要求的最低投标报价为评标基准价，得满分30分，其他投标报价得分＝（评标基准价/其他投标报价）×30×100％（小数保留2位）。</w:t>
            </w:r>
            <w:r/>
          </w:p>
          <w:p>
            <w:pPr>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30分</w:t>
            </w:r>
            <w:r/>
          </w:p>
        </w:tc>
      </w:tr>
      <w:tr>
        <w:trPr>
          <w:jc w:val="center"/>
          <w:trHeight w:val="1532"/>
        </w:trPr>
        <w:tc>
          <w:tcPr>
            <w:shd w:val="clear" w:color="auto" w:fill="ffffff"/>
            <w:tcMar>
              <w:left w:w="108" w:type="dxa"/>
              <w:right w:w="108" w:type="dxa"/>
            </w:tcMar>
            <w:tcW w:w="1058" w:type="dxa"/>
            <w:vAlign w:val="center"/>
            <w:textDirection w:val="lrTb"/>
            <w:noWrap w:val="false"/>
          </w:tcPr>
          <w:p>
            <w:pPr>
              <w:ind w:left="0"/>
              <w:jc w:val="center"/>
              <w:keepLines w:val="0"/>
              <w:keepNext w:val="0"/>
              <w:pageBreakBefore w:val="0"/>
              <w:spacing w:after="0" w:line="28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left="0"/>
              <w:jc w:val="center"/>
              <w:keepLines w:val="0"/>
              <w:keepNext w:val="0"/>
              <w:pageBreakBefore w:val="0"/>
              <w:spacing w:after="0"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技术参数</w:t>
            </w:r>
            <w:r>
              <w:rPr>
                <w:rFonts w:hint="eastAsia" w:ascii="宋体" w:hAnsi="宋体" w:eastAsia="宋体" w:cs="宋体"/>
                <w:b/>
                <w:bCs/>
                <w:color w:val="auto"/>
                <w:sz w:val="21"/>
                <w:szCs w:val="21"/>
                <w:highlight w:val="none"/>
              </w:rPr>
              <w:t xml:space="preserve">响应</w:t>
            </w:r>
            <w:r>
              <w:rPr>
                <w:rFonts w:hint="eastAsia" w:ascii="宋体" w:hAnsi="宋体" w:eastAsia="宋体" w:cs="宋体"/>
                <w:b/>
                <w:bCs/>
                <w:color w:val="auto"/>
                <w:sz w:val="21"/>
                <w:szCs w:val="21"/>
                <w:highlight w:val="none"/>
                <w:lang w:val="en-US" w:eastAsia="zh-CN" w:bidi="ar-SA"/>
              </w:rPr>
              <w:t xml:space="preserve">（25分）</w:t>
            </w:r>
            <w:r/>
          </w:p>
          <w:p>
            <w:pPr>
              <w:jc w:val="center"/>
              <w:keepLines w:val="0"/>
              <w:keepNext w:val="0"/>
              <w:pageBreakBefore w:val="0"/>
              <w:spacing w:line="28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shd w:val="clear" w:color="auto" w:fill="ffffff"/>
            <w:tcMar>
              <w:left w:w="108" w:type="dxa"/>
              <w:right w:w="108" w:type="dxa"/>
            </w:tcMar>
            <w:tcW w:w="8310" w:type="dxa"/>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全部满足项目需求带“▲”条款要求的得25分，正偏离不加分，带“▲”条款有一项指标负偏离的扣1分，扣完为止。</w:t>
            </w:r>
            <w:r/>
          </w:p>
          <w:p>
            <w:pPr>
              <w:numPr>
                <w:ilvl w:val="0"/>
                <w:numId w:val="0"/>
              </w:num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注：1、▲项需根据要求提供相应证明材料，不提供或者提供不完全满足要求则视为负偏离。</w:t>
            </w:r>
            <w:r>
              <w:rPr>
                <w:rFonts w:hint="eastAsia" w:ascii="宋体" w:hAnsi="宋体" w:eastAsia="宋体" w:cs="宋体"/>
                <w:color w:val="auto"/>
                <w:sz w:val="21"/>
                <w:szCs w:val="21"/>
                <w:highlight w:val="none"/>
                <w:lang w:val="en-US" w:eastAsia="zh-CN" w:bidi="ar-SA"/>
              </w:rPr>
              <w:t xml:space="preserve">2、对</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虚假材料中标者，货到验收技术参数与投标文件不符时，中标无效，采购方可以拒收货，拒付款，并且供货方必须承担相应的法律责任。</w:t>
            </w:r>
            <w:r/>
          </w:p>
        </w:tc>
        <w:tc>
          <w:tcPr>
            <w:shd w:val="clear" w:color="auto" w:fill="ffffff"/>
            <w:tcMar>
              <w:left w:w="108" w:type="dxa"/>
              <w:right w:w="108" w:type="dxa"/>
            </w:tcMar>
            <w:tcW w:w="900" w:type="dxa"/>
            <w:vAlign w:val="center"/>
            <w:textDirection w:val="lrTb"/>
            <w:noWrap w:val="false"/>
          </w:tcPr>
          <w:p>
            <w:pPr>
              <w:numPr>
                <w:ilvl w:val="0"/>
                <w:numId w:val="0"/>
              </w:numPr>
              <w:ind w:left="0" w:firstLine="0"/>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25分</w:t>
            </w:r>
            <w:r/>
          </w:p>
        </w:tc>
      </w:tr>
      <w:tr>
        <w:trPr>
          <w:jc w:val="center"/>
          <w:trHeight w:val="682"/>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b/>
                <w:bCs/>
                <w:color w:val="auto"/>
                <w:spacing w:val="6"/>
                <w:sz w:val="21"/>
                <w:szCs w:val="21"/>
                <w:highlight w:val="none"/>
              </w:rPr>
              <w:t xml:space="preserve">企业</w:t>
            </w:r>
            <w:r>
              <w:rPr>
                <w:rFonts w:hint="eastAsia" w:ascii="宋体" w:hAnsi="宋体" w:eastAsia="宋体" w:cs="宋体"/>
                <w:b/>
                <w:bCs/>
                <w:color w:val="auto"/>
                <w:spacing w:val="6"/>
                <w:sz w:val="21"/>
                <w:szCs w:val="21"/>
                <w:highlight w:val="none"/>
                <w:lang w:eastAsia="zh-CN"/>
              </w:rPr>
              <w:t xml:space="preserve">实力</w:t>
            </w:r>
            <w:r>
              <w:rPr>
                <w:rFonts w:hint="eastAsia" w:ascii="宋体" w:hAnsi="宋体" w:eastAsia="宋体" w:cs="宋体"/>
                <w:b/>
                <w:bCs/>
                <w:color w:val="auto"/>
                <w:spacing w:val="6"/>
                <w:sz w:val="21"/>
                <w:szCs w:val="21"/>
                <w:highlight w:val="none"/>
              </w:rPr>
              <w:t xml:space="preserve">（</w:t>
            </w:r>
            <w:r>
              <w:rPr>
                <w:rFonts w:hint="eastAsia" w:ascii="宋体" w:hAnsi="宋体" w:eastAsia="宋体" w:cs="宋体"/>
                <w:b/>
                <w:bCs/>
                <w:color w:val="auto"/>
                <w:spacing w:val="6"/>
                <w:sz w:val="21"/>
                <w:szCs w:val="21"/>
                <w:highlight w:val="none"/>
                <w:lang w:val="en-US" w:eastAsia="zh-CN"/>
              </w:rPr>
              <w:t xml:space="preserve">3</w:t>
            </w:r>
            <w:r>
              <w:rPr>
                <w:rFonts w:hint="eastAsia" w:ascii="宋体" w:hAnsi="宋体" w:eastAsia="宋体" w:cs="宋体"/>
                <w:b/>
                <w:bCs/>
                <w:color w:val="auto"/>
                <w:spacing w:val="6"/>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1、投标人具有有效期内的质量管理体系认证、环境管理体系认证、职业健康安全管理体系认证证书，每有1个得1分，本项满分3分。</w:t>
            </w:r>
            <w:r>
              <w:rPr>
                <w:rFonts w:hint="eastAsia" w:ascii="宋体" w:hAnsi="宋体" w:eastAsia="宋体" w:cs="宋体"/>
                <w:b/>
                <w:bCs/>
                <w:color w:val="auto"/>
                <w:szCs w:val="21"/>
                <w:highlight w:val="none"/>
                <w:lang w:val="en-US" w:eastAsia="zh-CN"/>
              </w:rPr>
              <w:t xml:space="preserve">（提供证书扫描件加盖投标人公章及全国认证认可信息公共服务平台（网址：“https://cx.cnca.cn/CertECloud/index/index/page”）查询截图加盖公章，未提供或提供不全不得分）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3分</w:t>
            </w:r>
            <w:r/>
          </w:p>
        </w:tc>
      </w:tr>
      <w:tr>
        <w:trPr>
          <w:jc w:val="center"/>
          <w:trHeight w:val="1082"/>
        </w:trPr>
        <w:tc>
          <w:tcPr>
            <w:shd w:val="clear" w:color="auto" w:fill="ffffff"/>
            <w:tcMar>
              <w:left w:w="108" w:type="dxa"/>
              <w:right w:w="108" w:type="dxa"/>
            </w:tcMar>
            <w:tcW w:w="1058" w:type="dxa"/>
            <w:vAlign w:val="center"/>
            <w:textDirection w:val="lrTb"/>
            <w:noWrap w:val="false"/>
          </w:tcPr>
          <w:p>
            <w:pPr>
              <w:pStyle w:val="963"/>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w:t>
            </w:r>
            <w:r/>
          </w:p>
          <w:p>
            <w:pPr>
              <w:pStyle w:val="963"/>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要求（7分）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1、本项目拟派项目负责人具备高级工程师（电子信息）、信息系统项目管理师认证证书，每提供一项有效证书得1分，最高得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项目组成员（除项目负责人以外）</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具有农业信息学或作物栽培学与耕作学等相关专业学位证书、系统规划与管理师、网络规划设计师、数据分析工程师，每有一项有效证书得1分，最高得4分；</w:t>
            </w:r>
            <w:r/>
          </w:p>
          <w:p>
            <w:pPr>
              <w:jc w:val="left"/>
              <w:keepLines w:val="0"/>
              <w:keepNext w:val="0"/>
              <w:pageBreakBefore w:val="0"/>
              <w:spacing w:after="0" w:line="360" w:lineRule="auto"/>
              <w:rPr>
                <w:rFonts w:hint="eastAsia" w:ascii="宋体" w:hAnsi="宋体" w:eastAsia="宋体" w:cs="宋体"/>
                <w:b w:val="0"/>
                <w:bCs w:val="0"/>
                <w:color w:val="auto"/>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具有有效期内ASFC遥控航空模型飞行员执照（无人机）或CAAC民航无人机驾驶员证或UTC农业无人机执照的得1分，最高得1分。</w:t>
            </w:r>
            <w:r>
              <w:rPr>
                <w:rFonts w:hint="eastAsia" w:ascii="宋体" w:hAnsi="宋体" w:eastAsia="宋体" w:cs="宋体"/>
                <w:b w:val="0"/>
                <w:bCs w:val="0"/>
                <w:color w:val="auto"/>
                <w:szCs w:val="21"/>
                <w:highlight w:val="none"/>
              </w:rPr>
              <w:br/>
            </w:r>
            <w:r>
              <w:rPr>
                <w:rFonts w:hint="eastAsia" w:ascii="宋体" w:hAnsi="宋体" w:eastAsia="宋体" w:cs="宋体"/>
                <w:b/>
                <w:bCs/>
                <w:color w:val="auto"/>
                <w:szCs w:val="21"/>
                <w:highlight w:val="none"/>
                <w:lang w:eastAsia="zh-CN"/>
              </w:rPr>
              <w:t xml:space="preserve">注：以上人员互不重复</w:t>
            </w:r>
            <w:r>
              <w:rPr>
                <w:rFonts w:hint="eastAsia" w:ascii="宋体" w:hAnsi="宋体" w:eastAsia="宋体" w:cs="宋体"/>
                <w:b/>
                <w:bCs/>
                <w:color w:val="auto"/>
                <w:szCs w:val="21"/>
                <w:highlight w:val="none"/>
                <w:lang w:val="en-US" w:eastAsia="zh-CN"/>
              </w:rPr>
              <w:t xml:space="preserve">计分</w:t>
            </w:r>
            <w:r>
              <w:rPr>
                <w:rFonts w:hint="eastAsia" w:ascii="宋体" w:hAnsi="宋体" w:eastAsia="宋体" w:cs="宋体"/>
                <w:b/>
                <w:bCs/>
                <w:color w:val="auto"/>
                <w:szCs w:val="21"/>
                <w:highlight w:val="none"/>
                <w:lang w:eastAsia="zh-CN"/>
              </w:rPr>
              <w:t xml:space="preserve">且提供有效证书</w:t>
            </w:r>
            <w:r>
              <w:rPr>
                <w:rFonts w:hint="eastAsia" w:ascii="宋体" w:hAnsi="宋体" w:eastAsia="宋体" w:cs="宋体"/>
                <w:b/>
                <w:bCs/>
                <w:color w:val="auto"/>
                <w:szCs w:val="21"/>
                <w:highlight w:val="none"/>
                <w:lang w:val="en-US" w:eastAsia="zh-CN"/>
              </w:rPr>
              <w:t xml:space="preserve">原件扫描件</w:t>
            </w:r>
            <w:r>
              <w:rPr>
                <w:rFonts w:hint="eastAsia" w:ascii="宋体" w:hAnsi="宋体" w:eastAsia="宋体" w:cs="宋体"/>
                <w:b/>
                <w:bCs/>
                <w:color w:val="auto"/>
                <w:szCs w:val="21"/>
                <w:highlight w:val="none"/>
                <w:lang w:eastAsia="zh-CN"/>
              </w:rPr>
              <w:t xml:space="preserve">加盖</w:t>
            </w:r>
            <w:r>
              <w:rPr>
                <w:rFonts w:hint="eastAsia" w:ascii="宋体" w:hAnsi="宋体" w:eastAsia="宋体" w:cs="宋体"/>
                <w:b/>
                <w:bCs/>
                <w:color w:val="auto"/>
                <w:szCs w:val="21"/>
                <w:highlight w:val="none"/>
                <w:lang w:val="en-US" w:eastAsia="zh-CN"/>
              </w:rPr>
              <w:t xml:space="preserve">投标人</w:t>
            </w:r>
            <w:r>
              <w:rPr>
                <w:rFonts w:hint="eastAsia" w:ascii="宋体" w:hAnsi="宋体" w:eastAsia="宋体" w:cs="宋体"/>
                <w:b/>
                <w:bCs/>
                <w:color w:val="auto"/>
                <w:szCs w:val="21"/>
                <w:highlight w:val="none"/>
                <w:lang w:eastAsia="zh-CN"/>
              </w:rPr>
              <w:t xml:space="preserve">公章，未提供不得分。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以上所涉及到的相关人员需提供投标单位近</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个月任意一月为其缴纳的社保证明。</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7分</w:t>
            </w:r>
            <w:r/>
          </w:p>
        </w:tc>
      </w:tr>
      <w:tr>
        <w:trPr>
          <w:jc w:val="center"/>
          <w:trHeight w:val="187"/>
        </w:trPr>
        <w:tc>
          <w:tcPr>
            <w:shd w:val="clear" w:color="auto" w:fill="ffffff"/>
            <w:tcMar>
              <w:left w:w="108" w:type="dxa"/>
              <w:right w:w="108" w:type="dxa"/>
            </w:tcMar>
            <w:tcW w:w="1058" w:type="dxa"/>
            <w:vAlign w:val="center"/>
            <w:vMerge w:val="restart"/>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en-US" w:bidi="ar-SA"/>
              </w:rPr>
              <w:t xml:space="preserve">功能演示</w:t>
            </w:r>
            <w:r>
              <w:rPr>
                <w:rFonts w:hint="eastAsia" w:ascii="宋体" w:hAnsi="宋体" w:eastAsia="宋体" w:cs="宋体"/>
                <w:b/>
                <w:bCs/>
                <w:color w:val="auto"/>
                <w:sz w:val="21"/>
                <w:szCs w:val="21"/>
                <w:highlight w:val="none"/>
                <w:lang w:val="en-US" w:eastAsia="zh-CN" w:bidi="ar-SA"/>
              </w:rPr>
              <w:t xml:space="preserve">（16分）</w:t>
            </w:r>
            <w:r/>
          </w:p>
        </w:tc>
        <w:tc>
          <w:tcPr>
            <w:gridSpan w:val="2"/>
            <w:shd w:val="clear" w:color="auto" w:fill="ffffff"/>
            <w:tcMar>
              <w:left w:w="108" w:type="dxa"/>
              <w:right w:w="108" w:type="dxa"/>
            </w:tcMar>
            <w:tcW w:w="92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w:t>
            </w:r>
            <w:r>
              <w:rPr>
                <w:rFonts w:hint="eastAsia" w:ascii="宋体" w:hAnsi="宋体" w:eastAsia="宋体" w:cs="宋体"/>
                <w:b w:val="0"/>
                <w:bCs w:val="0"/>
                <w:color w:val="auto"/>
                <w:szCs w:val="21"/>
                <w:highlight w:val="none"/>
              </w:rPr>
              <w:t xml:space="preserve">(</w:t>
            </w:r>
            <w:r>
              <w:rPr>
                <w:rFonts w:hint="eastAsia" w:ascii="宋体" w:hAnsi="宋体" w:eastAsia="宋体" w:cs="宋体"/>
                <w:b/>
                <w:bCs/>
                <w:color w:val="auto"/>
                <w:szCs w:val="21"/>
                <w:highlight w:val="none"/>
              </w:rPr>
              <w:t xml:space="preserve">演示者须根据投标内容进行现场讲解演示，演示者须同步出镜</w:t>
            </w:r>
            <w:r>
              <w:rPr>
                <w:rFonts w:hint="eastAsia" w:ascii="宋体" w:hAnsi="宋体" w:eastAsia="宋体" w:cs="宋体"/>
                <w:b/>
                <w:bCs/>
                <w:color w:val="auto"/>
                <w:szCs w:val="21"/>
                <w:highlight w:val="none"/>
                <w:lang w:val="en-US" w:eastAsia="zh-CN"/>
              </w:rPr>
              <w:t xml:space="preserve">并手持本人身份证及投标单位近三个月任意一月为其缴纳的社保证明）</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视频帧须保持前后连续性，不得使用剪辑嫁接后期制作而成)，时长不超过 15 分钟。如不按以上要求摄录，视频演示不</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分。</w:t>
            </w:r>
            <w:r/>
          </w:p>
        </w:tc>
      </w:tr>
      <w:tr>
        <w:trPr>
          <w:jc w:val="center"/>
          <w:trHeight w:val="108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一、设备管理（4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平台大屏具备无人机和无人机巢可视化、信息维护、状态监控、多屏总览等管理能力；对设备管控、信息维护、界面展示的合理性、可行性、完整性进行评价。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支持无人机与机巢部署分布可视化呈现及设备信息维护，实时监测设备运行状态与任务进度；多屏总览可集中展示全部无人机监控画面，支持在线设备统计、单画面放大跳转详情，功能完整、界面清晰、操作可行，完全满足管理需求，得 4分.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2）可标注无人机与机巢部署位置，支持设备信息查询与核心状态监测，具备基础管理能力，但功能完整性、界面布局仍有较大优化空间，得2 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r>
        <w:trPr>
          <w:jc w:val="center"/>
          <w:trHeight w:val="108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二、远程控制（4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平台具备航线规划、任务执行、飞行操控与应急处置能力，实现飞行控制、数据采集的高效化、自动化、智能化；对控制功能、操作可行性、应急响应及界面展示进行评价。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支持地图航线规划与任务下发，可一键起飞、手动操控无人机与云台相机，具备远程关舱、紧急返航等应急处置；具备平台控制无人机悬停、移动、拍照等功能；平台同步直播巡飞视频与作业数据回传，功能完整、响应及时、流程顺畅，得 4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2）可进行简易航线规划与基础飞行控制，能实现部分数据回传与应急操作，满足基本使用需求，但智能化与流畅度有待优化，得 2分。</w:t>
            </w:r>
            <w:r/>
          </w:p>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r>
        <w:trPr>
          <w:jc w:val="center"/>
          <w:trHeight w:val="307"/>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三、实时监控与数据回传（4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平台实现无人机巡飞画面直播、作业数据回传、轨迹与拍摄位置展示；对直播稳定性、回传实时性、展示效果及功能完整性进行评价。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1）无人机巡飞画面实时直播，支持无人机监控与机舱外监控同步展示，5波段照片自动回传；可直观展示巡飞轨迹与照片拍摄位置，数据准确、展示清晰，完全满足监控需求，得 4分。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2）可实现基础巡飞直播与部分数据回传，能简单展示轨迹信息，满足核心查看需求，但效果与完整性有待优化，得 2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4分</w:t>
            </w:r>
            <w:r/>
          </w:p>
        </w:tc>
      </w:tr>
      <w:tr>
        <w:trPr>
          <w:jc w:val="center"/>
          <w:trHeight w:val="29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四、影像制图与 AI 算法分析服务模块（4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平台支持多光谱图像拼接与作物 AI 分析，自动生成分析报告；对制图精度、算法覆盖、结果展示、场景适配及界面效果进行评价。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1）一键发起可见光、NDVI 等多光谱图像拼接，算法可靠、精度达标、无明显失真；全面覆盖稻麦苗情、长势、倒伏、产量等 AI 分析，自动生成完整报告并支持下载，功能一体化、实用性强，得 4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2）可完成可见光图像拼接与部分 AI 分析，生成基础分析报告，满足核心需求，但精度、覆盖度仍有优化空间，得 2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4分</w:t>
            </w:r>
            <w:r/>
          </w:p>
        </w:tc>
      </w:tr>
      <w:tr>
        <w:trPr>
          <w:jc w:val="center"/>
          <w:trHeight w:val="677"/>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pacing w:val="-15"/>
                <w:sz w:val="21"/>
                <w:szCs w:val="21"/>
                <w:highlight w:val="none"/>
                <w:lang w:val="en-US" w:eastAsia="en-US" w:bidi="ar-SA"/>
              </w:rPr>
            </w:pPr>
            <w:r>
              <w:rPr>
                <w:rFonts w:hint="eastAsia" w:ascii="宋体" w:hAnsi="宋体" w:eastAsia="宋体" w:cs="宋体"/>
                <w:b/>
                <w:bCs/>
                <w:color w:val="auto"/>
                <w:spacing w:val="-15"/>
                <w:sz w:val="21"/>
                <w:szCs w:val="21"/>
                <w:highlight w:val="none"/>
              </w:rPr>
              <w:t xml:space="preserve">实施方案（</w:t>
            </w:r>
            <w:r>
              <w:rPr>
                <w:rFonts w:hint="eastAsia" w:ascii="宋体" w:hAnsi="宋体" w:eastAsia="宋体" w:cs="宋体"/>
                <w:b/>
                <w:bCs/>
                <w:color w:val="auto"/>
                <w:spacing w:val="-15"/>
                <w:sz w:val="21"/>
                <w:szCs w:val="21"/>
                <w:highlight w:val="none"/>
                <w:lang w:val="en-US" w:eastAsia="zh-CN"/>
              </w:rPr>
              <w:t xml:space="preserve">8</w:t>
            </w:r>
            <w:r>
              <w:rPr>
                <w:rFonts w:hint="eastAsia" w:ascii="宋体" w:hAnsi="宋体" w:eastAsia="宋体" w:cs="宋体"/>
                <w:b/>
                <w:bCs/>
                <w:color w:val="auto"/>
                <w:spacing w:val="-15"/>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根据投标人提供给的项目组织实施方案，包括但不限于：①</w:t>
            </w:r>
            <w:r>
              <w:rPr>
                <w:rFonts w:hint="eastAsia" w:ascii="宋体" w:hAnsi="宋体" w:eastAsia="宋体" w:cs="宋体"/>
                <w:color w:val="auto"/>
                <w:sz w:val="21"/>
                <w:szCs w:val="21"/>
                <w:highlight w:val="none"/>
                <w:lang w:val="en-US" w:eastAsia="zh-CN"/>
              </w:rPr>
              <w:t xml:space="preserve">对采购所需技术需求的解读②</w:t>
            </w:r>
            <w:r>
              <w:rPr>
                <w:rFonts w:hint="eastAsia" w:ascii="宋体" w:hAnsi="宋体" w:eastAsia="宋体" w:cs="宋体"/>
                <w:color w:val="auto"/>
                <w:sz w:val="21"/>
                <w:szCs w:val="21"/>
                <w:highlight w:val="none"/>
                <w:lang w:val="en-US" w:eastAsia="zh-CN" w:bidi="ar-SA"/>
              </w:rPr>
              <w:t xml:space="preserve">项目建设目标阐述③总体实施架构设计及建设内容④项目进度安排⑤项目质量目标；⑥项目质量保证和管理体系⑦项目团队管理措施⑧</w:t>
            </w:r>
            <w:r>
              <w:rPr>
                <w:rFonts w:hint="eastAsia" w:ascii="宋体" w:hAnsi="宋体" w:eastAsia="宋体" w:cs="宋体"/>
                <w:color w:val="auto"/>
                <w:highlight w:val="none"/>
                <w:lang w:val="en-US"/>
              </w:rPr>
              <w:t xml:space="preserve">培训内容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rPr>
              <w:t xml:space="preserve">师资配置培训方法</w:t>
            </w:r>
            <w:r>
              <w:rPr>
                <w:rFonts w:hint="eastAsia" w:ascii="宋体" w:hAnsi="宋体" w:eastAsia="宋体" w:cs="宋体"/>
                <w:color w:val="auto"/>
                <w:highlight w:val="none"/>
                <w:lang w:val="en-US" w:eastAsia="zh-CN"/>
              </w:rPr>
              <w:t xml:space="preserve">、培训效果</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方案内容描述详细全面得8分，每有一项内容缺失的扣1分；每有一项内容存在缺陷或不满足要求的扣0.5分，扣完为止。</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（缺陷或不满足指：内容不全面、与实际需求不符、内容不清晰或交叉混乱、有规范性或常识性错误、存在无关的事项、存在不可能实现的夸大情形等任意一种情形）</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8分</w:t>
            </w:r>
            <w:r/>
          </w:p>
        </w:tc>
      </w:tr>
      <w:tr>
        <w:trPr>
          <w:jc w:val="center"/>
          <w:trHeight w:val="677"/>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售后服务</w:t>
            </w:r>
            <w:r>
              <w:rPr>
                <w:rFonts w:hint="eastAsia" w:ascii="宋体" w:hAnsi="宋体" w:eastAsia="宋体" w:cs="宋体"/>
                <w:b/>
                <w:bCs/>
                <w:color w:val="auto"/>
                <w:sz w:val="21"/>
                <w:szCs w:val="21"/>
                <w:highlight w:val="none"/>
                <w:lang w:val="en-US" w:eastAsia="zh-CN"/>
              </w:rPr>
              <w:t xml:space="preserve">方案</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根据各投标人的售后服务方案进行综合评审，包括：①售后服务承诺②</w:t>
            </w:r>
            <w:r>
              <w:rPr>
                <w:rFonts w:hint="eastAsia" w:ascii="宋体" w:hAnsi="宋体" w:eastAsia="宋体" w:cs="宋体"/>
                <w:color w:val="auto"/>
                <w:highlight w:val="none"/>
                <w:lang w:val="en-US"/>
              </w:rPr>
              <w:t xml:space="preserve">故障响应时限</w:t>
            </w:r>
            <w:r>
              <w:rPr>
                <w:rFonts w:hint="eastAsia" w:ascii="宋体" w:hAnsi="宋体" w:eastAsia="宋体" w:cs="宋体"/>
                <w:color w:val="auto"/>
                <w:highlight w:val="none"/>
                <w:lang w:val="en-US" w:eastAsia="zh-CN"/>
              </w:rPr>
              <w:t xml:space="preserve">③</w:t>
            </w:r>
            <w:r>
              <w:rPr>
                <w:rFonts w:hint="eastAsia" w:ascii="宋体" w:hAnsi="宋体" w:eastAsia="宋体" w:cs="宋体"/>
                <w:color w:val="auto"/>
                <w:sz w:val="21"/>
                <w:szCs w:val="21"/>
                <w:highlight w:val="none"/>
                <w:lang w:val="en-US" w:eastAsia="zh-CN" w:bidi="ar-SA"/>
              </w:rPr>
              <w:t xml:space="preserve">人员配备④解决问题能力⑤紧急故障处理预案⑥</w:t>
            </w:r>
            <w:r>
              <w:rPr>
                <w:rFonts w:hint="eastAsia" w:ascii="宋体" w:hAnsi="宋体" w:eastAsia="宋体" w:cs="宋体"/>
                <w:color w:val="auto"/>
                <w:highlight w:val="none"/>
                <w:lang w:val="en-US"/>
              </w:rPr>
              <w:t xml:space="preserve">驻场服务周期</w:t>
            </w:r>
            <w:r>
              <w:rPr>
                <w:rFonts w:hint="eastAsia" w:ascii="宋体" w:hAnsi="宋体" w:eastAsia="宋体" w:cs="宋体"/>
                <w:color w:val="auto"/>
                <w:highlight w:val="none"/>
                <w:lang w:val="en-US" w:eastAsia="zh-CN"/>
              </w:rPr>
              <w:t xml:space="preserve">⑦</w:t>
            </w:r>
            <w:r>
              <w:rPr>
                <w:rFonts w:hint="eastAsia" w:ascii="宋体" w:hAnsi="宋体" w:eastAsia="宋体" w:cs="宋体"/>
                <w:color w:val="auto"/>
                <w:highlight w:val="none"/>
                <w:lang w:val="en-US"/>
              </w:rPr>
              <w:t xml:space="preserve">质保服务细则</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方案内容描述详细全面得7分，每有一项内容缺失的扣1分；每有一项内容存在缺陷或不满足要求的扣0.5分，扣完为止。</w:t>
            </w:r>
            <w:r/>
          </w:p>
          <w:p>
            <w:pPr>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（缺陷或不满足指：内容不全面、与实际需求不符、内容不清晰或交叉混乱、有规范性或常识性错误、存在无关的事项、存在不可能实现的夸大情形等任意一种情形）</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7分</w:t>
            </w:r>
            <w:r/>
          </w:p>
        </w:tc>
      </w:tr>
      <w:tr>
        <w:trPr>
          <w:jc w:val="center"/>
          <w:trHeight w:val="677"/>
        </w:trPr>
        <w:tc>
          <w:tcPr>
            <w:shd w:val="clear" w:color="auto" w:fill="ffffff"/>
            <w:tcMar>
              <w:left w:w="108" w:type="dxa"/>
              <w:right w:w="108" w:type="dxa"/>
            </w:tcMar>
            <w:tcW w:w="1058" w:type="dxa"/>
            <w:vAlign w:val="center"/>
            <w:textDirection w:val="lrTb"/>
            <w:noWrap w:val="false"/>
          </w:tcPr>
          <w:p>
            <w:pPr>
              <w:pStyle w:val="963"/>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企业</w:t>
            </w:r>
            <w:r>
              <w:rPr>
                <w:rFonts w:hint="eastAsia" w:ascii="宋体" w:hAnsi="宋体" w:eastAsia="宋体" w:cs="宋体"/>
                <w:b/>
                <w:bCs/>
                <w:color w:val="auto"/>
                <w:sz w:val="21"/>
                <w:szCs w:val="21"/>
                <w:highlight w:val="none"/>
                <w:lang w:val="en-US" w:eastAsia="zh-CN"/>
              </w:rPr>
              <w:t xml:space="preserve">业绩（4</w:t>
            </w:r>
            <w:r>
              <w:rPr>
                <w:rFonts w:hint="eastAsia" w:ascii="宋体" w:hAnsi="宋体" w:eastAsia="宋体" w:cs="宋体"/>
                <w:b/>
                <w:bCs/>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eastAsia="zh-CN"/>
              </w:rPr>
              <w:t xml:space="preserve">具有自</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年1月1日至今（以签订合同时间为准）承担过类似项目业绩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智慧农业</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 w:val="21"/>
                <w:szCs w:val="21"/>
                <w:highlight w:val="none"/>
                <w:lang w:val="en-US" w:bidi="ar-SA"/>
              </w:rPr>
              <w:t xml:space="preserve">包含</w:t>
            </w:r>
            <w:r>
              <w:rPr>
                <w:rFonts w:hint="eastAsia" w:ascii="宋体" w:hAnsi="宋体" w:eastAsia="宋体" w:cs="宋体"/>
                <w:color w:val="auto"/>
                <w:sz w:val="21"/>
                <w:szCs w:val="21"/>
                <w:highlight w:val="none"/>
                <w:lang w:val="en-US" w:eastAsia="zh-CN" w:bidi="ar-SA"/>
              </w:rPr>
              <w:t xml:space="preserve">农业</w:t>
            </w:r>
            <w:r>
              <w:rPr>
                <w:rFonts w:hint="eastAsia" w:ascii="宋体" w:hAnsi="宋体" w:eastAsia="宋体" w:cs="宋体"/>
                <w:color w:val="auto"/>
                <w:sz w:val="21"/>
                <w:szCs w:val="21"/>
                <w:highlight w:val="none"/>
                <w:lang w:val="en-US" w:bidi="ar-SA"/>
              </w:rPr>
              <w:t xml:space="preserve">无人机</w:t>
            </w:r>
            <w:r>
              <w:rPr>
                <w:rFonts w:hint="eastAsia" w:ascii="宋体" w:hAnsi="宋体" w:eastAsia="宋体" w:cs="宋体"/>
                <w:color w:val="auto"/>
                <w:sz w:val="21"/>
                <w:szCs w:val="21"/>
                <w:highlight w:val="none"/>
                <w:lang w:val="en-US" w:eastAsia="zh-CN" w:bidi="ar-SA"/>
              </w:rPr>
              <w:t xml:space="preserve">飞控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，每提供一份得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分。（提供合同和中标通知书</w:t>
            </w:r>
            <w:r>
              <w:rPr>
                <w:rFonts w:hint="eastAsia" w:ascii="宋体" w:hAnsi="宋体" w:eastAsia="宋体" w:cs="宋体"/>
                <w:color w:val="auto"/>
                <w:szCs w:val="21"/>
                <w:highlight w:val="none"/>
                <w:lang w:val="en-US" w:eastAsia="zh-CN"/>
              </w:rPr>
              <w:t xml:space="preserve">原件扫描件</w:t>
            </w:r>
            <w:r>
              <w:rPr>
                <w:rFonts w:hint="eastAsia" w:ascii="宋体" w:hAnsi="宋体" w:eastAsia="宋体" w:cs="宋体"/>
                <w:color w:val="auto"/>
                <w:szCs w:val="21"/>
                <w:highlight w:val="none"/>
              </w:rPr>
              <w:t xml:space="preserve">加盖投标人公章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不提供</w:t>
            </w:r>
            <w:r>
              <w:rPr>
                <w:rFonts w:hint="eastAsia" w:ascii="宋体" w:hAnsi="宋体" w:eastAsia="宋体" w:cs="宋体"/>
                <w:color w:val="auto"/>
                <w:szCs w:val="21"/>
                <w:highlight w:val="none"/>
              </w:rPr>
              <w:t xml:space="preserve">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bl>
    <w:p>
      <w:pPr>
        <w:pStyle w:val="947"/>
        <w:ind w:firstLine="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注：以上相关证书及相关证明材料需将彩色原件扫描件添加进电子投标文件中。</w:t>
      </w:r>
      <w:r/>
    </w:p>
    <w:p>
      <w:pPr>
        <w:pStyle w:val="709"/>
        <w:rPr>
          <w:rFonts w:hint="eastAsia" w:ascii="宋体" w:hAnsi="宋体" w:eastAsia="宋体" w:cs="宋体"/>
          <w:color w:val="auto"/>
          <w:highlight w:val="none"/>
        </w:rPr>
      </w:pPr>
      <w:r>
        <w:rPr>
          <w:rFonts w:hint="eastAsia" w:ascii="宋体" w:hAnsi="宋体" w:eastAsia="宋体" w:cs="宋体"/>
          <w:b/>
          <w:color w:val="auto"/>
          <w:szCs w:val="21"/>
          <w:highlight w:val="none"/>
        </w:rPr>
        <w:br w:type="page" w:clear="all"/>
      </w:r>
      <w:bookmarkStart w:id="29" w:name="_Toc27744861"/>
      <w:r/>
      <w:bookmarkStart w:id="30" w:name="_Toc12983"/>
      <w:r/>
      <w:bookmarkStart w:id="31" w:name="_Toc23892"/>
      <w:r>
        <w:rPr>
          <w:rFonts w:hint="eastAsia" w:ascii="宋体" w:hAnsi="宋体" w:eastAsia="宋体" w:cs="宋体"/>
          <w:color w:val="auto"/>
          <w:highlight w:val="none"/>
        </w:rPr>
        <w:t xml:space="preserve">第六章 投标文件格式</w:t>
      </w:r>
      <w:bookmarkEnd w:id="29"/>
      <w:r/>
      <w:bookmarkEnd w:id="30"/>
      <w:r/>
      <w:bookmarkEnd w:id="31"/>
      <w:r/>
      <w:r/>
    </w:p>
    <w:p>
      <w:pPr>
        <w:jc w:val="center"/>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（加盖CA电子公章）</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投标主要文件目录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b w:val="0"/>
          <w:bCs w:val="0"/>
          <w:i/>
          <w:color w:val="auto"/>
          <w:szCs w:val="21"/>
          <w:highlight w:val="none"/>
          <w:u w:val="single"/>
        </w:rPr>
      </w:pPr>
      <w:r>
        <w:rPr>
          <w:rFonts w:hint="eastAsia" w:ascii="宋体" w:hAnsi="宋体" w:eastAsia="宋体" w:cs="宋体"/>
          <w:b w:val="0"/>
          <w:bCs w:val="0"/>
          <w:i/>
          <w:color w:val="auto"/>
          <w:szCs w:val="21"/>
          <w:highlight w:val="none"/>
          <w:u w:val="single"/>
        </w:rPr>
        <w:t xml:space="preserve">一、法人或者其他组织的营业执照等证明文件，自然人的身份证明</w:t>
      </w:r>
      <w:r/>
    </w:p>
    <w:p>
      <w:pPr>
        <w:ind w:firstLine="420"/>
        <w:spacing w:line="360" w:lineRule="auto"/>
        <w:rPr>
          <w:rFonts w:hint="eastAsia" w:ascii="宋体" w:hAnsi="宋体" w:eastAsia="宋体" w:cs="宋体"/>
          <w:b/>
          <w:bCs/>
          <w:i/>
          <w:color w:val="auto"/>
          <w:szCs w:val="21"/>
          <w:highlight w:val="none"/>
          <w:u w:val="single"/>
        </w:rPr>
      </w:pPr>
      <w:r>
        <w:rPr>
          <w:rFonts w:hint="eastAsia" w:ascii="宋体" w:hAnsi="宋体" w:eastAsia="宋体" w:cs="宋体"/>
          <w:b w:val="0"/>
          <w:bCs w:val="0"/>
          <w:i/>
          <w:color w:val="auto"/>
          <w:szCs w:val="21"/>
          <w:highlight w:val="none"/>
          <w:u w:val="single"/>
        </w:rPr>
        <w:t xml:space="preserve">二、依法缴纳社会保障资金的证明材料</w:t>
      </w:r>
      <w:r>
        <w:rPr>
          <w:rFonts w:hint="eastAsia" w:ascii="宋体" w:hAnsi="宋体" w:eastAsia="宋体" w:cs="宋体"/>
          <w:b/>
          <w:bCs/>
          <w:i/>
          <w:color w:val="auto"/>
          <w:szCs w:val="21"/>
          <w:highlight w:val="none"/>
          <w:u w:val="single"/>
        </w:rPr>
        <w:t xml:space="preserve">(税务、银行或社会保险基金管理部门出具的近</w:t>
      </w:r>
      <w:r>
        <w:rPr>
          <w:rFonts w:hint="eastAsia" w:ascii="宋体" w:hAnsi="宋体" w:eastAsia="宋体" w:cs="宋体"/>
          <w:b/>
          <w:bCs/>
          <w:i/>
          <w:color w:val="auto"/>
          <w:szCs w:val="21"/>
          <w:highlight w:val="none"/>
          <w:u w:val="single"/>
          <w:lang w:val="en-US" w:eastAsia="zh-CN"/>
        </w:rPr>
        <w:t xml:space="preserve">六个月</w:t>
      </w:r>
      <w:r>
        <w:rPr>
          <w:rFonts w:hint="eastAsia" w:ascii="宋体" w:hAnsi="宋体" w:eastAsia="宋体" w:cs="宋体"/>
          <w:b/>
          <w:bCs/>
          <w:i/>
          <w:color w:val="auto"/>
          <w:szCs w:val="21"/>
          <w:highlight w:val="none"/>
          <w:u w:val="single"/>
        </w:rPr>
        <w:t xml:space="preserve">内任意一个月缴纳社会保障资金的缴款凭证或缴款证明)（供应商依法享受缓缴、免缴的提供证明材料）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color w:val="auto"/>
          <w:szCs w:val="21"/>
          <w:highlight w:val="none"/>
          <w:u w:val="single"/>
        </w:rPr>
        <w:t xml:space="preserve">三、</w:t>
      </w:r>
      <w:r>
        <w:rPr>
          <w:rFonts w:hint="eastAsia" w:ascii="宋体" w:hAnsi="宋体" w:eastAsia="宋体" w:cs="宋体"/>
          <w:b w:val="0"/>
          <w:bCs w:val="0"/>
          <w:i/>
          <w:iCs/>
          <w:color w:val="auto"/>
          <w:szCs w:val="21"/>
          <w:highlight w:val="none"/>
          <w:u w:val="single"/>
        </w:rPr>
        <w:t xml:space="preserve">供应商近</w:t>
      </w:r>
      <w:r>
        <w:rPr>
          <w:rFonts w:hint="eastAsia" w:ascii="宋体" w:hAnsi="宋体" w:eastAsia="宋体" w:cs="宋体"/>
          <w:b w:val="0"/>
          <w:bCs w:val="0"/>
          <w:i/>
          <w:iCs/>
          <w:color w:val="auto"/>
          <w:szCs w:val="21"/>
          <w:highlight w:val="none"/>
          <w:u w:val="single"/>
          <w:lang w:val="en-US" w:eastAsia="zh-CN"/>
        </w:rPr>
        <w:t xml:space="preserve">六个月</w:t>
      </w:r>
      <w:r>
        <w:rPr>
          <w:rFonts w:hint="eastAsia" w:ascii="宋体" w:hAnsi="宋体" w:eastAsia="宋体" w:cs="宋体"/>
          <w:b w:val="0"/>
          <w:bCs w:val="0"/>
          <w:i/>
          <w:iCs/>
          <w:color w:val="auto"/>
          <w:szCs w:val="21"/>
          <w:highlight w:val="none"/>
          <w:u w:val="single"/>
        </w:rPr>
        <w:t xml:space="preserve">内任意一份依法纳税的缴款凭证</w:t>
      </w:r>
      <w:r>
        <w:rPr>
          <w:rFonts w:hint="eastAsia" w:ascii="宋体" w:hAnsi="宋体" w:eastAsia="宋体" w:cs="宋体"/>
          <w:b/>
          <w:bCs/>
          <w:i/>
          <w:iCs/>
          <w:color w:val="auto"/>
          <w:szCs w:val="21"/>
          <w:highlight w:val="none"/>
          <w:u w:val="single"/>
        </w:rPr>
        <w:t xml:space="preserve">（供应商依法享受缓缴、免缴的提供证明材料）</w:t>
      </w:r>
      <w:r/>
    </w:p>
    <w:p>
      <w:pPr>
        <w:numPr>
          <w:ilvl w:val="0"/>
          <w:numId w:val="0"/>
        </w:num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四、</w:t>
      </w:r>
      <w:r>
        <w:rPr>
          <w:rFonts w:hint="eastAsia" w:ascii="宋体" w:hAnsi="宋体" w:eastAsia="宋体" w:cs="宋体"/>
          <w:b w:val="0"/>
          <w:bCs w:val="0"/>
          <w:i/>
          <w:iCs/>
          <w:color w:val="auto"/>
          <w:szCs w:val="21"/>
          <w:highlight w:val="none"/>
          <w:u w:val="single"/>
        </w:rPr>
        <w:t xml:space="preserve">2025年度的财务报告情况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五、</w:t>
      </w:r>
      <w:r>
        <w:rPr>
          <w:rFonts w:hint="eastAsia" w:ascii="宋体" w:hAnsi="宋体" w:eastAsia="宋体" w:cs="宋体"/>
          <w:i/>
          <w:iCs/>
          <w:color w:val="auto"/>
          <w:szCs w:val="21"/>
          <w:highlight w:val="none"/>
          <w:u w:val="single"/>
        </w:rPr>
        <w:t xml:space="preserve">具备履行合同所必需的设备和专业技术能力的证明材料</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六、</w:t>
      </w:r>
      <w:r>
        <w:rPr>
          <w:rFonts w:hint="eastAsia" w:ascii="宋体" w:hAnsi="宋体" w:eastAsia="宋体" w:cs="宋体"/>
          <w:i/>
          <w:iCs/>
          <w:color w:val="auto"/>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eastAsia="宋体" w:cs="宋体"/>
          <w:b/>
          <w:bCs/>
          <w:i/>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七、</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 xml:space="preserve">（供应商无需提供，由代理机构现场查询）</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八</w:t>
      </w:r>
      <w:r>
        <w:rPr>
          <w:rFonts w:hint="eastAsia" w:ascii="宋体" w:hAnsi="宋体" w:eastAsia="宋体" w:cs="宋体"/>
          <w:i/>
          <w:color w:val="auto"/>
          <w:szCs w:val="21"/>
          <w:highlight w:val="none"/>
          <w:u w:val="single"/>
        </w:rPr>
        <w:t xml:space="preserve">、供应商信用承诺书</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九</w:t>
      </w:r>
      <w:r>
        <w:rPr>
          <w:rFonts w:hint="eastAsia" w:ascii="宋体" w:hAnsi="宋体" w:eastAsia="宋体" w:cs="宋体"/>
          <w:i/>
          <w:color w:val="auto"/>
          <w:szCs w:val="21"/>
          <w:highlight w:val="none"/>
          <w:u w:val="single"/>
        </w:rPr>
        <w:t xml:space="preserve">、特定资格要求的证明文件</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eastAsia="zh-CN"/>
        </w:rPr>
        <w:t xml:space="preserve">如</w:t>
      </w:r>
      <w:r>
        <w:rPr>
          <w:rFonts w:hint="eastAsia" w:ascii="宋体" w:hAnsi="宋体" w:eastAsia="宋体" w:cs="宋体"/>
          <w:b/>
          <w:bCs/>
          <w:i/>
          <w:color w:val="auto"/>
          <w:szCs w:val="21"/>
          <w:highlight w:val="none"/>
          <w:u w:val="single"/>
        </w:rPr>
        <w:t xml:space="preserve">本项目设置特定资格要求，</w:t>
      </w:r>
      <w:r>
        <w:rPr>
          <w:rFonts w:hint="eastAsia" w:ascii="宋体" w:hAnsi="宋体" w:eastAsia="宋体" w:cs="宋体"/>
          <w:b/>
          <w:bCs/>
          <w:i/>
          <w:color w:val="auto"/>
          <w:szCs w:val="21"/>
          <w:highlight w:val="none"/>
          <w:u w:val="single"/>
          <w:lang w:eastAsia="zh-CN"/>
        </w:rPr>
        <w:t xml:space="preserve">则</w:t>
      </w:r>
      <w:r>
        <w:rPr>
          <w:rFonts w:hint="eastAsia" w:ascii="宋体" w:hAnsi="宋体" w:eastAsia="宋体" w:cs="宋体"/>
          <w:b/>
          <w:bCs/>
          <w:i/>
          <w:color w:val="auto"/>
          <w:szCs w:val="21"/>
          <w:highlight w:val="none"/>
          <w:u w:val="single"/>
        </w:rPr>
        <w:t xml:space="preserve">需提供</w:t>
      </w:r>
      <w:r>
        <w:rPr>
          <w:rFonts w:hint="eastAsia" w:ascii="宋体" w:hAnsi="宋体" w:eastAsia="宋体" w:cs="宋体"/>
          <w:b/>
          <w:bCs/>
          <w:i/>
          <w:color w:val="auto"/>
          <w:sz w:val="21"/>
          <w:szCs w:val="21"/>
          <w:highlight w:val="none"/>
          <w:u w:val="single"/>
          <w:lang w:val="en-US" w:eastAsia="zh-CN"/>
        </w:rPr>
        <w:t xml:space="preserve">证明材料</w:t>
      </w:r>
      <w:r>
        <w:rPr>
          <w:rFonts w:hint="eastAsia" w:ascii="宋体" w:hAnsi="宋体" w:eastAsia="宋体" w:cs="宋体"/>
          <w:b/>
          <w:bCs/>
          <w:i/>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十</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投标函</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十一</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法人授权书</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w:t>
      </w:r>
      <w:r>
        <w:rPr>
          <w:rFonts w:hint="eastAsia" w:ascii="宋体" w:hAnsi="宋体" w:eastAsia="宋体" w:cs="宋体"/>
          <w:iCs/>
          <w:color w:val="auto"/>
          <w:szCs w:val="21"/>
          <w:highlight w:val="none"/>
        </w:rPr>
        <w:t xml:space="preserve">企业报价折扣证明（</w:t>
      </w:r>
      <w:r>
        <w:rPr>
          <w:rFonts w:hint="eastAsia" w:ascii="宋体" w:hAnsi="宋体" w:eastAsia="宋体" w:cs="宋体"/>
          <w:i/>
          <w:color w:val="auto"/>
          <w:szCs w:val="21"/>
          <w:highlight w:val="none"/>
          <w:u w:val="single"/>
        </w:rPr>
        <w:t xml:space="preserve">中小企业声明函</w:t>
      </w:r>
      <w:r>
        <w:rPr>
          <w:rFonts w:hint="eastAsia" w:ascii="宋体" w:hAnsi="宋体" w:eastAsia="宋体" w:cs="宋体"/>
          <w:i/>
          <w:color w:val="auto"/>
          <w:szCs w:val="21"/>
          <w:highlight w:val="none"/>
          <w:u w:val="single"/>
          <w:lang w:eastAsia="zh-CN"/>
        </w:rPr>
        <w:t xml:space="preserve">、</w:t>
      </w:r>
      <w:r>
        <w:rPr>
          <w:rFonts w:hint="eastAsia" w:ascii="宋体" w:hAnsi="宋体" w:eastAsia="宋体" w:cs="宋体"/>
          <w:i/>
          <w:color w:val="auto"/>
          <w:szCs w:val="21"/>
          <w:highlight w:val="none"/>
          <w:u w:val="single"/>
        </w:rPr>
        <w:t xml:space="preserve">残疾人福利性单位声明函</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iCs/>
          <w:color w:val="auto"/>
          <w:szCs w:val="21"/>
          <w:highlight w:val="none"/>
        </w:rPr>
      </w:pPr>
      <w:r>
        <w:rPr>
          <w:rFonts w:hint="eastAsia" w:ascii="宋体" w:hAnsi="宋体" w:eastAsia="宋体" w:cs="宋体"/>
          <w:iCs/>
          <w:color w:val="auto"/>
          <w:szCs w:val="21"/>
          <w:highlight w:val="none"/>
        </w:rPr>
        <w:t xml:space="preserve">十</w:t>
      </w:r>
      <w:r>
        <w:rPr>
          <w:rFonts w:hint="eastAsia" w:ascii="宋体" w:hAnsi="宋体" w:eastAsia="宋体" w:cs="宋体"/>
          <w:iCs/>
          <w:color w:val="auto"/>
          <w:szCs w:val="21"/>
          <w:highlight w:val="none"/>
          <w:lang w:val="en-US" w:eastAsia="zh-CN"/>
        </w:rPr>
        <w:t xml:space="preserve">三</w:t>
      </w:r>
      <w:r>
        <w:rPr>
          <w:rFonts w:hint="eastAsia" w:ascii="宋体" w:hAnsi="宋体" w:eastAsia="宋体" w:cs="宋体"/>
          <w:iCs/>
          <w:color w:val="auto"/>
          <w:szCs w:val="21"/>
          <w:highlight w:val="none"/>
        </w:rPr>
        <w:t xml:space="preserve">、采购需求中必须满足的实质性要求</w:t>
      </w:r>
      <w:r>
        <w:rPr>
          <w:rFonts w:hint="eastAsia" w:ascii="宋体" w:hAnsi="宋体" w:eastAsia="宋体" w:cs="宋体"/>
          <w:b/>
          <w:iCs/>
          <w:color w:val="auto"/>
          <w:szCs w:val="21"/>
          <w:highlight w:val="none"/>
        </w:rPr>
        <w:t xml:space="preserve">（</w:t>
      </w:r>
      <w:r>
        <w:rPr>
          <w:rFonts w:hint="eastAsia" w:ascii="宋体" w:hAnsi="宋体" w:eastAsia="宋体" w:cs="宋体"/>
          <w:b/>
          <w:i/>
          <w:iCs/>
          <w:color w:val="auto"/>
          <w:szCs w:val="21"/>
          <w:highlight w:val="none"/>
          <w:u w:val="single"/>
        </w:rPr>
        <w:t xml:space="preserve">即加斜体下划线内容，每条详细列出</w:t>
      </w:r>
      <w:r>
        <w:rPr>
          <w:rFonts w:hint="eastAsia" w:ascii="宋体" w:hAnsi="宋体" w:eastAsia="宋体" w:cs="宋体"/>
          <w:b/>
          <w:i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i/>
          <w:color w:val="auto"/>
          <w:szCs w:val="21"/>
          <w:highlight w:val="none"/>
          <w:u w:val="single"/>
        </w:rPr>
        <w:t xml:space="preserve">十</w:t>
      </w:r>
      <w:r>
        <w:rPr>
          <w:rFonts w:hint="eastAsia" w:ascii="宋体" w:hAnsi="宋体" w:eastAsia="宋体" w:cs="宋体"/>
          <w:i/>
          <w:color w:val="auto"/>
          <w:szCs w:val="21"/>
          <w:highlight w:val="none"/>
          <w:u w:val="single"/>
          <w:lang w:val="en-US" w:eastAsia="zh-CN"/>
        </w:rPr>
        <w:t xml:space="preserve">四</w:t>
      </w:r>
      <w:r>
        <w:rPr>
          <w:rFonts w:hint="eastAsia" w:ascii="宋体" w:hAnsi="宋体" w:eastAsia="宋体" w:cs="宋体"/>
          <w:i/>
          <w:color w:val="auto"/>
          <w:szCs w:val="21"/>
          <w:highlight w:val="none"/>
          <w:u w:val="single"/>
        </w:rPr>
        <w:t xml:space="preserve">、开标一览表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、投标分项报价表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、技术参数响应及偏离表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商务条款响应及偏离表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、拟投入人员一览表</w:t>
      </w:r>
      <w:r/>
    </w:p>
    <w:p>
      <w:pPr>
        <w:pStyle w:val="933"/>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九、主要标的信息</w:t>
      </w:r>
      <w:r/>
    </w:p>
    <w:p>
      <w:pPr>
        <w:pStyle w:val="933"/>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二十</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联合体协议</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val="en-US" w:eastAsia="zh-CN"/>
        </w:rPr>
        <w:t xml:space="preserve">二十一</w:t>
      </w:r>
      <w:r>
        <w:rPr>
          <w:rFonts w:hint="eastAsia" w:ascii="宋体" w:hAnsi="宋体" w:eastAsia="宋体" w:cs="宋体"/>
          <w:color w:val="auto"/>
          <w:szCs w:val="21"/>
          <w:highlight w:val="none"/>
        </w:rPr>
        <w:t xml:space="preserve">、其他（投标人认为有必要提供的声明和文件，如有自拟并自行添加</w:t>
      </w:r>
      <w:r>
        <w:rPr>
          <w:rFonts w:hint="eastAsia" w:ascii="宋体" w:hAnsi="宋体" w:eastAsia="宋体" w:cs="宋体"/>
          <w:color w:val="auto"/>
          <w:szCs w:val="21"/>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t xml:space="preserve">具体格式：</w:t>
      </w:r>
      <w:r/>
    </w:p>
    <w:p>
      <w:pPr>
        <w:ind w:firstLine="413"/>
        <w:spacing w:before="156"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一、法人或者其他组织的营业执照等证明文件，自然人的身份证明</w:t>
      </w:r>
      <w:r/>
    </w:p>
    <w:p>
      <w:pPr>
        <w:pStyle w:val="964"/>
        <w:ind w:firstLine="315"/>
        <w:rPr>
          <w:rFonts w:hint="eastAsia" w:ascii="宋体" w:hAnsi="宋体" w:eastAsia="宋体" w:cs="宋体"/>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投标人提供原件扫描上传</w:t>
      </w:r>
      <w:r/>
    </w:p>
    <w:p>
      <w:pPr>
        <w:spacing w:line="360" w:lineRule="auto"/>
        <w:rPr>
          <w:rFonts w:hint="eastAsia" w:ascii="宋体" w:hAnsi="宋体" w:eastAsia="宋体" w:cs="宋体"/>
          <w:b w:val="0"/>
          <w:bCs w:val="0"/>
          <w:i/>
          <w:color w:val="auto"/>
          <w:szCs w:val="21"/>
          <w:highlight w:val="none"/>
          <w:u w:val="single"/>
        </w:rPr>
      </w:pPr>
      <w:r>
        <w:rPr>
          <w:rFonts w:hint="eastAsia" w:ascii="宋体" w:hAnsi="宋体" w:eastAsia="宋体" w:cs="宋体"/>
          <w:b w:val="0"/>
          <w:bCs w:val="0"/>
          <w:i/>
          <w:color w:val="auto"/>
          <w:szCs w:val="21"/>
          <w:highlight w:val="none"/>
          <w:u w:val="singl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val="0"/>
          <w:bCs w:val="0"/>
          <w:i/>
          <w:color w:val="auto"/>
          <w:szCs w:val="21"/>
          <w:highlight w:val="none"/>
          <w:u w:val="single"/>
        </w:rPr>
        <w:t xml:space="preserve">二、</w:t>
      </w:r>
      <w:r>
        <w:rPr>
          <w:rFonts w:hint="eastAsia" w:ascii="宋体" w:hAnsi="宋体" w:eastAsia="宋体" w:cs="宋体"/>
          <w:b w:val="0"/>
          <w:bCs w:val="0"/>
          <w:i/>
          <w:iCs/>
          <w:color w:val="auto"/>
          <w:szCs w:val="21"/>
          <w:highlight w:val="none"/>
          <w:u w:val="single"/>
        </w:rPr>
        <w:t xml:space="preserve">依法缴纳社会保障资金的证明材料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w:t>
      </w:r>
      <w:r>
        <w:rPr>
          <w:rFonts w:hint="eastAsia" w:ascii="宋体" w:hAnsi="宋体" w:eastAsia="宋体" w:cs="宋体"/>
          <w:b/>
          <w:bCs/>
          <w:i/>
          <w:iCs/>
          <w:color w:val="auto"/>
          <w:szCs w:val="21"/>
          <w:highlight w:val="none"/>
          <w:u w:val="single"/>
          <w:lang w:val="en-US" w:eastAsia="zh-CN"/>
        </w:rPr>
        <w:t xml:space="preserve">六个月</w:t>
      </w:r>
      <w:r>
        <w:rPr>
          <w:rFonts w:hint="eastAsia" w:ascii="宋体" w:hAnsi="宋体" w:eastAsia="宋体" w:cs="宋体"/>
          <w:b/>
          <w:bCs/>
          <w:i/>
          <w:iCs/>
          <w:color w:val="auto"/>
          <w:szCs w:val="21"/>
          <w:highlight w:val="none"/>
          <w:u w:val="single"/>
        </w:rPr>
        <w:t xml:space="preserve">内任意一个月缴纳社会保障资金的缴款凭证或缴款证明)（供应商依法享受缓缴、免缴的提供证明材料）</w:t>
      </w:r>
      <w:r/>
    </w:p>
    <w:p>
      <w:pPr>
        <w:ind w:firstLine="492"/>
        <w:spacing w:line="460" w:lineRule="exact"/>
        <w:rPr>
          <w:rFonts w:hint="eastAsia" w:ascii="宋体" w:hAnsi="宋体" w:eastAsia="宋体" w:cs="宋体"/>
          <w:b/>
          <w:bCs/>
          <w:color w:val="auto"/>
          <w:szCs w:val="21"/>
          <w:highlight w:val="none"/>
          <w:lang w:val="en-US" w:eastAsia="zh-CN"/>
        </w:rPr>
      </w:pPr>
      <w:r>
        <w:rPr>
          <w:rFonts w:hint="eastAsia" w:ascii="宋体" w:hAnsi="宋体" w:eastAsia="宋体" w:cs="宋体"/>
          <w:bCs/>
          <w:color w:val="auto"/>
          <w:szCs w:val="21"/>
          <w:highlight w:val="none"/>
        </w:rPr>
        <w:t xml:space="preserve">三、供应商</w:t>
      </w:r>
      <w:r>
        <w:rPr>
          <w:rFonts w:hint="eastAsia" w:ascii="宋体" w:hAnsi="宋体" w:eastAsia="宋体" w:cs="宋体"/>
          <w:bCs/>
          <w:color w:val="auto"/>
          <w:szCs w:val="21"/>
          <w:highlight w:val="none"/>
          <w:lang w:val="en-US" w:eastAsia="zh-CN"/>
        </w:rPr>
        <w:t xml:space="preserve">近六个月</w:t>
      </w:r>
      <w:r>
        <w:rPr>
          <w:rFonts w:hint="eastAsia" w:ascii="宋体" w:hAnsi="宋体" w:eastAsia="宋体" w:cs="宋体"/>
          <w:bCs/>
          <w:color w:val="auto"/>
          <w:szCs w:val="21"/>
          <w:highlight w:val="none"/>
        </w:rPr>
        <w:t xml:space="preserve">内任意一份依法纳税的缴款凭证</w:t>
      </w:r>
      <w:r>
        <w:rPr>
          <w:rFonts w:hint="eastAsia" w:ascii="宋体" w:hAnsi="宋体" w:eastAsia="宋体" w:cs="宋体"/>
          <w:b/>
          <w:bCs w:val="0"/>
          <w:color w:val="auto"/>
          <w:szCs w:val="21"/>
          <w:highlight w:val="none"/>
        </w:rPr>
        <w:t xml:space="preserve">（供应商依法享受缓缴、免缴的提供证明材料）</w:t>
      </w:r>
      <w:r/>
    </w:p>
    <w:p>
      <w:pPr>
        <w:ind w:firstLine="413"/>
        <w:spacing w:before="156" w:line="360" w:lineRule="auto"/>
        <w:rPr>
          <w:rFonts w:hint="eastAsia" w:ascii="宋体" w:hAnsi="宋体" w:eastAsia="宋体" w:cs="宋体"/>
          <w:bCs/>
          <w:iCs/>
          <w:color w:val="auto"/>
          <w:szCs w:val="21"/>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color w:val="auto"/>
          <w:szCs w:val="21"/>
          <w:highlight w:val="none"/>
        </w:rPr>
        <w:t xml:space="preserve">、</w:t>
      </w:r>
      <w:r>
        <w:rPr>
          <w:rFonts w:hint="eastAsia" w:ascii="宋体" w:hAnsi="宋体" w:eastAsia="宋体" w:cs="宋体"/>
          <w:b/>
          <w:bCs/>
          <w:color w:val="auto"/>
          <w:highlight w:val="none"/>
        </w:rPr>
        <w:t xml:space="preserve">2025年度的财务报告情况</w:t>
      </w:r>
      <w:r>
        <w:rPr>
          <w:rFonts w:hint="eastAsia" w:ascii="宋体" w:hAnsi="宋体" w:eastAsia="宋体" w:cs="宋体"/>
          <w:b/>
          <w:bCs/>
          <w:color w:val="auto"/>
          <w:highlight w:val="none"/>
          <w:lang w:eastAsia="zh-CN"/>
        </w:rPr>
        <w:t xml:space="preserve">（</w:t>
      </w:r>
      <w:r>
        <w:rPr>
          <w:rFonts w:hint="eastAsia" w:ascii="宋体" w:hAnsi="宋体" w:eastAsia="宋体" w:cs="宋体"/>
          <w:bCs/>
          <w:iCs/>
          <w:color w:val="auto"/>
          <w:szCs w:val="21"/>
          <w:highlight w:val="none"/>
        </w:rPr>
        <w:t xml:space="preserve">成立不满一年不需提供</w:t>
      </w:r>
      <w:r>
        <w:rPr>
          <w:rFonts w:hint="eastAsia" w:ascii="宋体" w:hAnsi="宋体" w:eastAsia="宋体" w:cs="宋体"/>
          <w:b/>
          <w:bCs/>
          <w:color w:val="auto"/>
          <w:highlight w:val="none"/>
          <w:lang w:eastAsia="zh-CN"/>
        </w:rPr>
        <w:t xml:space="preserve">）</w:t>
      </w:r>
      <w:r/>
    </w:p>
    <w:p>
      <w:pPr>
        <w:ind w:firstLine="422"/>
        <w:jc w:val="both"/>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ind w:firstLine="422"/>
        <w:jc w:val="both"/>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2"/>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参加本次政府采购活动前 3 年内在经营活动中没有重大违法记录的书面声明</w:t>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273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szCs w:val="21"/>
          <w:highlight w:val="none"/>
        </w:rPr>
        <w:t xml:space="preserve">供应商名称（</w:t>
      </w:r>
      <w:r>
        <w:rPr>
          <w:rFonts w:hint="eastAsia" w:ascii="宋体" w:hAnsi="宋体" w:eastAsia="宋体" w:cs="宋体"/>
          <w:color w:val="auto"/>
          <w:highlight w:val="none"/>
        </w:rPr>
        <w:t xml:space="preserve">加盖CA电子签章</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法定代表人</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highlight w:val="none"/>
        </w:rPr>
        <w:t xml:space="preserve">签</w:t>
      </w:r>
      <w:r>
        <w:rPr>
          <w:rFonts w:hint="eastAsia" w:ascii="宋体" w:hAnsi="宋体" w:eastAsia="宋体" w:cs="宋体"/>
          <w:bCs/>
          <w:color w:val="auto"/>
          <w:highlight w:val="none"/>
          <w:lang w:val="en-US" w:eastAsia="zh-CN"/>
        </w:rPr>
        <w:t xml:space="preserve">字或盖</w:t>
      </w:r>
      <w:r>
        <w:rPr>
          <w:rFonts w:hint="eastAsia" w:ascii="宋体" w:hAnsi="宋体" w:eastAsia="宋体" w:cs="宋体"/>
          <w:bCs/>
          <w:color w:val="auto"/>
          <w:highlight w:val="none"/>
        </w:rPr>
        <w:t xml:space="preserve">章</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szCs w:val="21"/>
          <w:highlight w:val="none"/>
        </w:rPr>
        <w:t xml:space="preserve">：__________________</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日期：______年___月___日</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2"/>
        <w:spacing w:line="360" w:lineRule="auto"/>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七、</w:t>
      </w:r>
      <w:r>
        <w:rPr>
          <w:rFonts w:hint="eastAsia" w:ascii="宋体" w:hAnsi="宋体" w:eastAsia="宋体" w:cs="宋体"/>
          <w:b/>
          <w:bCs/>
          <w:i w:val="0"/>
          <w:iCs w:val="0"/>
          <w:color w:val="auto"/>
          <w:szCs w:val="21"/>
          <w:highlight w:val="none"/>
          <w:u w:val="none"/>
        </w:rPr>
        <w:t xml:space="preserve">未被“信用中国”网站（www.creditchina.gov.cn）、“中国政府采购网"(www.ccgp.gov.cn)列入失信被执行人、重大税收违法案件当事人名单、政府采购严重违法失信行为记录名单（供应商无需提供，由代理机构现场查询）</w:t>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lang w:eastAsia="zh-CN"/>
        </w:rPr>
        <w:br w:type="page" w:clear="all"/>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供应商信用承诺书</w:t>
      </w:r>
      <w:r/>
    </w:p>
    <w:p>
      <w:pPr>
        <w:spacing w:line="5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为维护公平竞争、规范有序的市场秩序，营造诚实守信的信用环境，共同推进社会信用体系建设完善，树立企业诚信守法形象，本企业对____________________项目政府采购活动郑重承诺如下:</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承</w:t>
      </w:r>
      <w:r>
        <w:rPr>
          <w:rFonts w:hint="eastAsia" w:ascii="宋体" w:hAnsi="宋体" w:eastAsia="宋体" w:cs="宋体"/>
          <w:color w:val="auto"/>
          <w:szCs w:val="21"/>
          <w:highlight w:val="none"/>
        </w:rPr>
        <w:t xml:space="preserve">诺单位（加盖CA电子签章）：           </w:t>
      </w:r>
      <w:r/>
    </w:p>
    <w:p>
      <w:pPr>
        <w:jc w:val="cente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336" w:lineRule="auto"/>
        <w:rPr>
          <w:rFonts w:hint="eastAsia" w:ascii="宋体" w:hAnsi="宋体" w:eastAsia="宋体" w:cs="宋体"/>
          <w:bCs/>
          <w:color w:val="auto"/>
          <w:sz w:val="24"/>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before="156" w:line="360" w:lineRule="auto"/>
        <w:rPr>
          <w:rFonts w:hint="eastAsia" w:ascii="宋体" w:hAnsi="宋体" w:eastAsia="宋体" w:cs="宋体"/>
          <w:b/>
          <w:bCs/>
          <w:color w:val="auto"/>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highlight w:val="none"/>
        </w:rPr>
        <w:t xml:space="preserve">、特定资格要求的证明文件</w:t>
      </w:r>
      <w:r/>
    </w:p>
    <w:p>
      <w:pPr>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w:t>
      </w:r>
      <w:r>
        <w:rPr>
          <w:rFonts w:hint="eastAsia" w:ascii="宋体" w:hAnsi="宋体" w:eastAsia="宋体" w:cs="宋体"/>
          <w:i/>
          <w:color w:val="auto"/>
          <w:szCs w:val="21"/>
          <w:highlight w:val="none"/>
          <w:u w:val="single"/>
          <w:lang w:eastAsia="zh-CN"/>
        </w:rPr>
        <w:t xml:space="preserve">如</w:t>
      </w:r>
      <w:r>
        <w:rPr>
          <w:rFonts w:hint="eastAsia" w:ascii="宋体" w:hAnsi="宋体" w:eastAsia="宋体" w:cs="宋体"/>
          <w:i/>
          <w:color w:val="auto"/>
          <w:szCs w:val="21"/>
          <w:highlight w:val="none"/>
          <w:u w:val="single"/>
        </w:rPr>
        <w:t xml:space="preserve">本项目设置特定资格要求，</w:t>
      </w:r>
      <w:r>
        <w:rPr>
          <w:rFonts w:hint="eastAsia" w:ascii="宋体" w:hAnsi="宋体" w:eastAsia="宋体" w:cs="宋体"/>
          <w:i/>
          <w:color w:val="auto"/>
          <w:szCs w:val="21"/>
          <w:highlight w:val="none"/>
          <w:u w:val="single"/>
          <w:lang w:eastAsia="zh-CN"/>
        </w:rPr>
        <w:t xml:space="preserve">则</w:t>
      </w:r>
      <w:r>
        <w:rPr>
          <w:rFonts w:hint="eastAsia" w:ascii="宋体" w:hAnsi="宋体" w:eastAsia="宋体" w:cs="宋体"/>
          <w:i/>
          <w:color w:val="auto"/>
          <w:szCs w:val="21"/>
          <w:highlight w:val="none"/>
          <w:u w:val="single"/>
        </w:rPr>
        <w:t xml:space="preserve">需提供</w:t>
      </w:r>
      <w:r>
        <w:rPr>
          <w:rFonts w:hint="eastAsia" w:ascii="宋体" w:hAnsi="宋体" w:eastAsia="宋体" w:cs="宋体"/>
          <w:i/>
          <w:color w:val="auto"/>
          <w:sz w:val="21"/>
          <w:szCs w:val="21"/>
          <w:highlight w:val="none"/>
          <w:u w:val="single"/>
          <w:lang w:val="en-US" w:eastAsia="zh-CN"/>
        </w:rPr>
        <w:t xml:space="preserve">证明材料</w:t>
      </w:r>
      <w:r>
        <w:rPr>
          <w:rFonts w:hint="eastAsia" w:ascii="宋体" w:hAnsi="宋体" w:eastAsia="宋体" w:cs="宋体"/>
          <w:i/>
          <w:color w:val="auto"/>
          <w:szCs w:val="21"/>
          <w:highlight w:val="none"/>
          <w:u w:val="single"/>
        </w:rPr>
        <w:t xml:space="preserve">）</w:t>
      </w:r>
      <w:r/>
    </w:p>
    <w:p>
      <w:pPr>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投标函</w:t>
      </w:r>
      <w:r/>
    </w:p>
    <w:p>
      <w:pPr>
        <w:pStyle w:val="94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7"/>
        <w:ind w:firstLine="42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扬州传承招投标代理有限公司</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根据贵方的_______________号招标文件，正式授权下述签字人_________________(姓名)代表我方______________（投标人的名称），全权处理本次项目投标的有关事宜。</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47"/>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47"/>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47"/>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47"/>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户：________________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w:t>
      </w:r>
      <w:r>
        <w:rPr>
          <w:rFonts w:hint="eastAsia" w:ascii="宋体" w:hAnsi="宋体" w:eastAsia="宋体" w:cs="宋体"/>
          <w:color w:val="auto"/>
          <w:sz w:val="21"/>
          <w:szCs w:val="21"/>
          <w:highlight w:val="none"/>
          <w:lang w:val="en-US" w:eastAsia="zh-CN"/>
        </w:rPr>
        <w:t xml:space="preserve">字或盖</w:t>
      </w:r>
      <w:r>
        <w:rPr>
          <w:rFonts w:hint="eastAsia" w:ascii="宋体" w:hAnsi="宋体" w:eastAsia="宋体" w:cs="宋体"/>
          <w:color w:val="auto"/>
          <w:sz w:val="21"/>
          <w:szCs w:val="21"/>
          <w:highlight w:val="none"/>
        </w:rPr>
        <w:t xml:space="preserve">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________________</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投标人名称（加盖CA电子签章）：________________ </w:t>
      </w:r>
      <w:r/>
    </w:p>
    <w:p>
      <w:pPr>
        <w:pStyle w:val="947"/>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49"/>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法人授权书</w:t>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本授权书声明：_______________（投标人名称）授权_________（被授权人的姓名）为我方就_______________号（项目编号）（项目名称）采购活动的合法代理人，以本公司名义全权处理一切与该项目采购有关的事务。</w:t>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4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被授权人身份证号码：</w:t>
      </w:r>
      <w:r/>
    </w:p>
    <w:p>
      <w:pPr>
        <w:pStyle w:val="94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w:t>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授权单位盖章：_</w:t>
      </w:r>
      <w:r>
        <w:rPr>
          <w:rFonts w:hint="eastAsia" w:ascii="宋体" w:hAnsi="宋体" w:eastAsia="宋体" w:cs="宋体"/>
          <w:color w:val="auto"/>
          <w:sz w:val="21"/>
          <w:szCs w:val="21"/>
          <w:highlight w:val="none"/>
          <w:u w:val="single"/>
        </w:rPr>
        <w:t xml:space="preserve">_加盖CA电子签章</w:t>
      </w:r>
      <w:r>
        <w:rPr>
          <w:rFonts w:hint="eastAsia" w:ascii="宋体" w:hAnsi="宋体" w:eastAsia="宋体" w:cs="宋体"/>
          <w:color w:val="auto"/>
          <w:sz w:val="21"/>
          <w:szCs w:val="21"/>
          <w:highlight w:val="none"/>
        </w:rPr>
        <w:t xml:space="preserve">_____________</w:t>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pStyle w:val="9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25"/>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法人身份证复印件正反面：</w:t>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25"/>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被授权人身份证复印件正反面：</w:t>
      </w:r>
      <w:r/>
    </w:p>
    <w:p>
      <w:pPr>
        <w:numPr>
          <w:ilvl w:val="0"/>
          <w:numId w:val="0"/>
        </w:numPr>
        <w:jc w:val="center"/>
        <w:rPr>
          <w:rFonts w:hint="eastAsia" w:ascii="宋体" w:hAnsi="宋体" w:eastAsia="宋体" w:cs="宋体"/>
          <w:b/>
          <w:color w:val="auto"/>
          <w:sz w:val="32"/>
          <w:szCs w:val="32"/>
          <w:highlight w:val="none"/>
          <w:lang w:val="en-US" w:eastAsia="zh-CN"/>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lang w:val="en-US" w:eastAsia="zh-CN"/>
        </w:rPr>
      </w:r>
      <w:r/>
    </w:p>
    <w:p>
      <w:pPr>
        <w:jc w:val="center"/>
        <w:spacing w:before="312" w:after="312" w:line="312"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十二、</w:t>
      </w:r>
      <w:r>
        <w:rPr>
          <w:rFonts w:hint="eastAsia" w:ascii="宋体" w:hAnsi="宋体" w:eastAsia="宋体" w:cs="宋体"/>
          <w:b/>
          <w:bCs/>
          <w:color w:val="auto"/>
          <w:highlight w:val="none"/>
        </w:rPr>
        <w:t xml:space="preserve">中小企业声明函（货物）</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 </w:t>
      </w:r>
      <w:r>
        <w:rPr>
          <w:rFonts w:hint="eastAsia" w:ascii="宋体" w:hAnsi="宋体" w:eastAsia="宋体" w:cs="宋体"/>
          <w:b/>
          <w:bCs/>
          <w:color w:val="auto"/>
          <w:highlight w:val="none"/>
          <w:u w:val="single"/>
        </w:rPr>
        <w:t xml:space="preserve"> 工业</w:t>
      </w:r>
      <w:r>
        <w:rPr>
          <w:rFonts w:hint="eastAsia" w:ascii="宋体" w:hAnsi="宋体" w:eastAsia="宋体" w:cs="宋体"/>
          <w:color w:val="auto"/>
          <w:highlight w:val="none"/>
          <w:u w:val="single"/>
        </w:rPr>
        <w:t xml:space="preserve"> （采购文件中明确的所属行业）行业</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12"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工业</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 1、从业人员（不仅指在职职工）、营业收入、资产总额填报上一年度数据，无上一年度数据的新成立企业可不填报。</w:t>
      </w:r>
      <w:r/>
    </w:p>
    <w:p>
      <w:pPr>
        <w:ind w:firstLine="420"/>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2、专门面向中小微型企业采购的项目，供应商如不提供此声明函，则不能通过资格审查；非专门面向中小微型企业采购的项目，供应商如不提供此声明函，价格将不</w:t>
      </w:r>
      <w:r>
        <w:rPr>
          <w:rFonts w:hint="eastAsia" w:ascii="宋体" w:hAnsi="宋体" w:eastAsia="宋体" w:cs="宋体"/>
          <w:color w:val="auto"/>
          <w:highlight w:val="none"/>
          <w:lang w:val="en-US" w:eastAsia="zh-CN"/>
        </w:rPr>
        <w:t xml:space="preserve">作</w:t>
      </w:r>
      <w:r>
        <w:rPr>
          <w:rFonts w:hint="eastAsia" w:ascii="宋体" w:hAnsi="宋体" w:eastAsia="宋体" w:cs="宋体"/>
          <w:color w:val="auto"/>
          <w:highlight w:val="none"/>
        </w:rPr>
        <w:t xml:space="preserve">相应扣除。</w:t>
      </w:r>
      <w:r/>
    </w:p>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5、声明函应涵盖本项目(分包)所有货物，货物的产品制造应为中小微企业。</w:t>
      </w:r>
      <w:r/>
    </w:p>
    <w:p>
      <w:pPr>
        <w:ind w:firstLine="420"/>
        <w:jc w:val="left"/>
        <w:spacing w:line="312"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940" w:firstLine="420"/>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left="2940" w:firstLine="420"/>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920"/>
        <w:ind w:firstLine="42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pPr>
      <w:r/>
      <w:bookmarkStart w:id="32" w:name="_Toc91061195"/>
      <w:r/>
      <w:bookmarkStart w:id="33" w:name="_Toc19241"/>
      <w:r/>
      <w:bookmarkStart w:id="34" w:name="_Toc24350"/>
      <w:r>
        <w:rPr>
          <w:rFonts w:hint="eastAsia" w:ascii="宋体" w:hAnsi="宋体" w:eastAsia="宋体" w:cs="宋体"/>
          <w:b/>
          <w:bCs/>
          <w:color w:val="auto"/>
          <w:sz w:val="21"/>
          <w:szCs w:val="21"/>
          <w:highlight w:val="none"/>
        </w:rPr>
        <w:t xml:space="preserve">中小微企业划型标准</w:t>
      </w:r>
      <w:bookmarkEnd w:id="32"/>
      <w:r/>
      <w:bookmarkEnd w:id="33"/>
      <w:r/>
      <w:bookmarkEnd w:id="34"/>
      <w:r/>
      <w:r/>
    </w:p>
    <w:p>
      <w:pPr>
        <w:pStyle w:val="920"/>
        <w:ind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22"/>
          <w:rFonts w:hint="eastAsia" w:ascii="宋体" w:hAnsi="宋体" w:eastAsia="宋体" w:cs="宋体"/>
          <w:color w:val="auto"/>
          <w:sz w:val="21"/>
          <w:szCs w:val="21"/>
          <w:highlight w:val="none"/>
        </w:rPr>
        <w:t xml:space="preserve">中小微企业划型标准如下：</w:t>
      </w:r>
      <w:r/>
    </w:p>
    <w:tbl>
      <w:tblPr>
        <w:tblStyle w:val="719"/>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610"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57"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Y＜300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X＜5</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20"/>
              <w:jc w:val="both"/>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61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20"/>
              <w:jc w:val="center"/>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ind w:firstLine="420"/>
              <w:spacing w:after="150" w:line="240" w:lineRule="auto"/>
              <w:widowControl/>
              <w:rPr>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X＜10</w:t>
            </w:r>
            <w:r/>
          </w:p>
        </w:tc>
      </w:tr>
    </w:tbl>
    <w:p>
      <w:pPr>
        <w:pStyle w:val="920"/>
        <w:ind w:firstLine="810"/>
        <w:spacing w:before="300" w:after="452" w:line="360" w:lineRule="auto"/>
        <w:widowControl/>
        <w:rPr>
          <w:rStyle w:val="922"/>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                                残疾人福利性单位声明函</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w:t>
      </w:r>
      <w:r>
        <w:rPr>
          <w:rFonts w:hint="eastAsia" w:ascii="宋体" w:hAnsi="宋体" w:eastAsia="宋体" w:cs="宋体"/>
          <w:color w:val="auto"/>
          <w:szCs w:val="21"/>
          <w:highlight w:val="none"/>
          <w:lang w:val="en-US" w:eastAsia="zh-CN"/>
        </w:rPr>
        <w:t xml:space="preserve">作</w:t>
      </w:r>
      <w:r>
        <w:rPr>
          <w:rFonts w:hint="eastAsia" w:ascii="宋体" w:hAnsi="宋体" w:eastAsia="宋体" w:cs="宋体"/>
          <w:color w:val="auto"/>
          <w:szCs w:val="21"/>
          <w:highlight w:val="none"/>
        </w:rPr>
        <w:t xml:space="preserve">相应扣除。2、中标人为残疾人福利单位的，此声明函将随中标结果同时公告，接受社会监督）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供应商全称（加盖CA电子公章）：</w:t>
      </w:r>
      <w:r/>
    </w:p>
    <w:p>
      <w:pPr>
        <w:numPr>
          <w:ilvl w:val="0"/>
          <w:numId w:val="0"/>
        </w:numPr>
        <w:jc w:val="center"/>
        <w:rPr>
          <w:rFonts w:hint="eastAsia" w:ascii="宋体" w:hAnsi="宋体" w:eastAsia="宋体" w:cs="宋体"/>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日  期：</w:t>
      </w:r>
      <w:r/>
    </w:p>
    <w:p>
      <w:pPr>
        <w:ind w:left="0" w:right="0" w:firstLine="0"/>
        <w:jc w:val="center"/>
        <w:spacing w:before="0" w:after="0"/>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关于符合本国产品标准的声明函（采购包号：**）</w:t>
      </w:r>
      <w:r/>
    </w:p>
    <w:p>
      <w:pPr>
        <w:ind w:left="0" w:right="0" w:firstLine="42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本国产品。具体情况如下：</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152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2.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76300" cy="1047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pt;height:8.2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9.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857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619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12.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85825" cy="1333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vertAlign w:val="superscript"/>
        </w:rPr>
        <w:t xml:space="preserve">2</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（产品名称1） </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vertAlign w:val="superscript"/>
        </w:rPr>
        <w:t xml:space="preserve">3</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vertAlign w:val="superscript"/>
        </w:rPr>
        <w:t xml:space="preserve">4</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vertAlign w:val="superscript"/>
        </w:rPr>
        <w:t xml:space="preserve">5</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62000" cy="1238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47725" cy="12382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8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952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5pt;height:7.5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325" cy="1333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62000" cy="12382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0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95350" cy="1428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5pt;height:11.2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480" w:firstLine="3255"/>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公司（单位）名称（盖章）：　</w:t>
      </w:r>
      <w:r/>
    </w:p>
    <w:p>
      <w:pPr>
        <w:ind w:left="0" w:right="0" w:firstLine="0"/>
        <w:jc w:val="center"/>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日期：　年　月　日</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1.产品如有型号，请在“产品名称”栏一并填写。</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4.该产品的关键组件要求实施前，“关键组件”栏可不填，下同。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5.该产品的关键工序要求实施前，“关键工序”栏可不填，下同。</w:t>
      </w:r>
      <w:r/>
    </w:p>
    <w:p>
      <w:pPr>
        <w:ind w:left="0" w:right="0" w:firstLine="0"/>
        <w:spacing w:before="30" w:after="30" w:line="27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6.用斜线划除的地方无需填写。</w:t>
      </w:r>
      <w:r/>
    </w:p>
    <w:p>
      <w:pPr>
        <w:numPr>
          <w:ilvl w:val="0"/>
          <w:numId w:val="0"/>
        </w:numPr>
        <w:jc w:val="both"/>
        <w:rPr>
          <w:rFonts w:hint="eastAsia"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2"/>
          <w:highlight w:val="none"/>
        </w:rPr>
        <w:t xml:space="preserve">7.如word斜线错位，请以下方图片所示为准。</w:t>
      </w:r>
      <w:r/>
    </w:p>
    <w:p>
      <w:pPr>
        <w:numPr>
          <w:ilvl w:val="0"/>
          <w:numId w:val="0"/>
        </w:numPr>
        <w:jc w:val="center"/>
        <w:rPr>
          <w:rFonts w:hint="eastAsia" w:ascii="宋体" w:hAnsi="宋体" w:eastAsia="宋体" w:cs="宋体"/>
          <w:b/>
          <w:color w:val="auto"/>
          <w:sz w:val="22"/>
          <w:szCs w:val="22"/>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267325" cy="5734050"/>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8"/>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451.5pt;mso-wrap-distance-left:0.0pt;mso-wrap-distance-top:0.0pt;mso-wrap-distance-right:0.0pt;mso-wrap-distance-bottom:0.0pt;" stroked="false">
                <v:path textboxrect="0,0,0,0"/>
                <v:imagedata r:id="rId18" o:title=""/>
              </v:shape>
            </w:pict>
          </mc:Fallback>
        </mc:AlternateContent>
      </w:r>
      <w:r/>
    </w:p>
    <w:p>
      <w:pPr>
        <w:numPr>
          <w:ilvl w:val="0"/>
          <w:numId w:val="0"/>
        </w:num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十三、</w:t>
      </w:r>
      <w:r>
        <w:rPr>
          <w:rFonts w:hint="eastAsia" w:ascii="宋体" w:hAnsi="宋体" w:eastAsia="宋体" w:cs="宋体"/>
          <w:b/>
          <w:color w:val="auto"/>
          <w:sz w:val="22"/>
          <w:szCs w:val="22"/>
          <w:highlight w:val="none"/>
        </w:rPr>
        <w:t xml:space="preserve">符合性审查响应对照表</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第四章采购需求中必须满足的实质性要求（即加斜体下划线内容，每条详细列出）</w:t>
            </w:r>
            <w:r/>
          </w:p>
        </w:tc>
        <w:tc>
          <w:tcPr>
            <w:tcW w:w="1680"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rPr>
          <w:rFonts w:hint="eastAsia" w:ascii="宋体" w:hAnsi="宋体" w:eastAsia="宋体" w:cs="宋体"/>
          <w:b/>
          <w:color w:val="auto"/>
          <w:sz w:val="32"/>
          <w:szCs w:val="32"/>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lang w:val="en-US" w:eastAsia="zh-CN"/>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十</w:t>
      </w:r>
      <w:r>
        <w:rPr>
          <w:rFonts w:hint="eastAsia" w:ascii="宋体" w:hAnsi="宋体" w:eastAsia="宋体" w:cs="宋体"/>
          <w:b/>
          <w:color w:val="auto"/>
          <w:sz w:val="22"/>
          <w:szCs w:val="22"/>
          <w:highlight w:val="none"/>
        </w:rPr>
        <w:t xml:space="preserve">四、开标一览表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71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项目名称</w:t>
            </w:r>
            <w:r/>
          </w:p>
        </w:tc>
        <w:tc>
          <w:tcPr>
            <w:tcW w:w="640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en-US" w:eastAsia="zh-CN"/>
              </w:rPr>
              <w:t xml:space="preserve">报价</w:t>
            </w:r>
            <w:r/>
          </w:p>
        </w:tc>
      </w:tr>
      <w:tr>
        <w:trPr>
          <w:cantSplit/>
          <w:trHeight w:val="1697"/>
        </w:trPr>
        <w:tc>
          <w:tcPr>
            <w:tcW w:w="248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05" w:type="dxa"/>
            <w:vAlign w:val="center"/>
            <w:textDirection w:val="lrTb"/>
            <w:noWrap w:val="false"/>
          </w:tcPr>
          <w:p>
            <w:pPr>
              <w:pStyle w:val="94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（人民币：元）</w:t>
            </w:r>
            <w:r/>
          </w:p>
          <w:p>
            <w:pPr>
              <w:pStyle w:val="947"/>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7"/>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（人民币：元）</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15"/>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22"/>
          <w:szCs w:val="22"/>
          <w:highlight w:val="none"/>
          <w:lang w:val="en-US" w:eastAsia="zh-CN"/>
        </w:rPr>
        <w:t xml:space="preserve">十五、</w:t>
      </w:r>
      <w:r>
        <w:rPr>
          <w:rFonts w:hint="eastAsia" w:ascii="宋体" w:hAnsi="宋体" w:eastAsia="宋体" w:cs="宋体"/>
          <w:b/>
          <w:color w:val="auto"/>
          <w:sz w:val="22"/>
          <w:szCs w:val="22"/>
          <w:highlight w:val="none"/>
        </w:rPr>
        <w:t xml:space="preserve">投标产品配置及分项报价表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4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投标人全称（加盖CA电子公章）</w:t>
      </w:r>
      <w:r>
        <w:rPr>
          <w:rFonts w:hint="eastAsia" w:ascii="宋体" w:hAnsi="宋体" w:eastAsia="宋体" w:cs="宋体"/>
          <w:color w:val="auto"/>
          <w:sz w:val="21"/>
          <w:szCs w:val="21"/>
          <w:highlight w:val="none"/>
          <w:lang w:eastAsia="zh-CN"/>
        </w:rPr>
        <w:t xml:space="preserve">：</w:t>
      </w:r>
      <w:r/>
    </w:p>
    <w:p>
      <w:pPr>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p>
      <w:pPr>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 </w:t>
      </w:r>
      <w:r/>
    </w:p>
    <w:tbl>
      <w:tblPr>
        <w:tblStyle w:val="71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21"/>
        <w:gridCol w:w="1217"/>
        <w:gridCol w:w="1342"/>
        <w:gridCol w:w="1060"/>
        <w:gridCol w:w="896"/>
        <w:gridCol w:w="1034"/>
        <w:gridCol w:w="1047"/>
        <w:gridCol w:w="882"/>
      </w:tblGrid>
      <w:tr>
        <w:trPr>
          <w:jc w:val="center"/>
          <w:trHeight w:val="729"/>
        </w:trPr>
        <w:tc>
          <w:tcPr>
            <w:tcW w:w="68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02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W w:w="12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技术规格、型号</w:t>
            </w:r>
            <w:r/>
          </w:p>
        </w:tc>
        <w:tc>
          <w:tcPr>
            <w:tcW w:w="134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生产厂家/品牌</w:t>
            </w:r>
            <w:r/>
          </w:p>
        </w:tc>
        <w:tc>
          <w:tcPr>
            <w:tcW w:w="106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产地</w:t>
            </w:r>
            <w:r/>
          </w:p>
        </w:tc>
        <w:tc>
          <w:tcPr>
            <w:tcW w:w="89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W w:w="104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tc>
        <w:tc>
          <w:tcPr>
            <w:tcW w:w="882" w:type="dxa"/>
            <w:vAlign w:val="center"/>
            <w:textDirection w:val="lrTb"/>
            <w:noWrap w:val="false"/>
          </w:tcPr>
          <w:p>
            <w:pPr>
              <w:jc w:val="center"/>
              <w:spacing w:before="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1024"/>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0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0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0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0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十</w:t>
      </w:r>
      <w:r>
        <w:rPr>
          <w:rFonts w:hint="eastAsia" w:ascii="宋体" w:hAnsi="宋体" w:eastAsia="宋体" w:cs="宋体"/>
          <w:b/>
          <w:color w:val="auto"/>
          <w:szCs w:val="21"/>
          <w:highlight w:val="none"/>
        </w:rPr>
        <w:t xml:space="preserve">六、技术参数响应及偏离表</w:t>
      </w:r>
      <w:r/>
    </w:p>
    <w:tbl>
      <w:tblPr>
        <w:tblStyle w:val="719"/>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85"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注：1、按照基本技术要求详细填列。</w:t>
      </w:r>
      <w:r/>
    </w:p>
    <w:p>
      <w:pPr>
        <w:ind w:firstLine="420"/>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2、行数不够，可自行添加。</w:t>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十</w:t>
      </w:r>
      <w:r>
        <w:rPr>
          <w:rFonts w:hint="eastAsia" w:ascii="宋体" w:hAnsi="宋体" w:eastAsia="宋体" w:cs="宋体"/>
          <w:b/>
          <w:color w:val="auto"/>
          <w:szCs w:val="21"/>
          <w:highlight w:val="none"/>
        </w:rPr>
        <w:t xml:space="preserve">七、商务条款响应及偏离表</w:t>
      </w:r>
      <w:r/>
    </w:p>
    <w:tbl>
      <w:tblPr>
        <w:tblStyle w:val="719"/>
        <w:tblW w:w="85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469"/>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质保期</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9"/>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售后技术服务要求</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after="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after="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bCs/>
          <w:color w:val="auto"/>
          <w:highlight w:val="none"/>
        </w:rPr>
      </w:pPr>
      <w:r>
        <w:rPr>
          <w:rFonts w:hint="eastAsia" w:ascii="宋体" w:hAnsi="宋体" w:eastAsia="宋体" w:cs="宋体"/>
          <w:b/>
          <w:color w:val="auto"/>
          <w:highlight w:val="none"/>
        </w:rPr>
        <w:br w:type="page" w:clear="all"/>
      </w:r>
      <w:r/>
    </w:p>
    <w:p>
      <w:pPr>
        <w:jc w:val="center"/>
        <w:spacing w:before="312" w:line="360" w:lineRule="auto"/>
        <w:rPr>
          <w:rFonts w:hint="eastAsia" w:ascii="宋体" w:hAnsi="宋体" w:eastAsia="宋体" w:cs="宋体"/>
          <w:b/>
          <w:color w:val="auto"/>
          <w:szCs w:val="21"/>
          <w:highlight w:val="none"/>
        </w:rPr>
      </w:pPr>
      <w:r>
        <w:rPr>
          <w:rFonts w:hint="eastAsia" w:ascii="宋体" w:hAnsi="宋体" w:eastAsia="宋体" w:cs="宋体"/>
          <w:b/>
          <w:color w:val="auto"/>
          <w:highlight w:val="none"/>
          <w:lang w:val="en-US" w:eastAsia="zh-CN"/>
        </w:rPr>
        <w:t xml:space="preserve">十八、</w:t>
      </w:r>
      <w:r>
        <w:rPr>
          <w:rFonts w:hint="eastAsia" w:ascii="宋体" w:hAnsi="宋体" w:eastAsia="宋体" w:cs="宋体"/>
          <w:b/>
          <w:color w:val="auto"/>
          <w:szCs w:val="21"/>
          <w:highlight w:val="none"/>
        </w:rPr>
        <w:t xml:space="preserve">拟投入人员一览表</w:t>
      </w:r>
      <w:r/>
    </w:p>
    <w:p>
      <w:pP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spacing w:line="48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供应商全称：</w:t>
      </w:r>
      <w:r>
        <w:rPr>
          <w:rFonts w:hint="eastAsia" w:ascii="宋体" w:hAnsi="宋体" w:eastAsia="宋体" w:cs="宋体"/>
          <w:color w:val="auto"/>
          <w:szCs w:val="21"/>
          <w:highlight w:val="none"/>
        </w:rPr>
        <w:t xml:space="preserve">（加盖CA电子公章）</w:t>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项目名称：</w:t>
      </w:r>
      <w:r/>
    </w:p>
    <w:tbl>
      <w:tblPr>
        <w:tblStyle w:val="7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bl>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jc w:val="righ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jc w:val="righ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righ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日期：  年  月  日</w:t>
      </w:r>
      <w:r/>
    </w:p>
    <w:p>
      <w:pPr>
        <w:jc w:val="left"/>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lang w:val="en-US" w:eastAsia="zh-CN"/>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十九、</w:t>
      </w:r>
      <w:r>
        <w:rPr>
          <w:rFonts w:hint="eastAsia" w:ascii="宋体" w:hAnsi="宋体" w:eastAsia="宋体" w:cs="宋体"/>
          <w:b/>
          <w:color w:val="auto"/>
          <w:highlight w:val="none"/>
        </w:rPr>
        <w:t xml:space="preserve">主要标的信息（中标后将公示）</w:t>
      </w:r>
      <w:r/>
    </w:p>
    <w:p>
      <w:pPr>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投标人全称（加盖CA电子公章）：</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0"/>
      </w:tblGrid>
      <w:tr>
        <w:trPr>
          <w:jc w:val="center"/>
          <w:trHeight w:val="350"/>
        </w:trPr>
        <w:tc>
          <w:tcPr>
            <w:tcW w:w="8140"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r>
      <w:tr>
        <w:trPr>
          <w:jc w:val="center"/>
          <w:trHeight w:val="2330"/>
        </w:trPr>
        <w:tc>
          <w:tcPr>
            <w:tcW w:w="8140" w:type="dxa"/>
            <w:vAlign w:val="top"/>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r>
    </w:tbl>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widowControl/>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lang w:val="en-US" w:eastAsia="zh-CN"/>
        </w:rPr>
        <w:t xml:space="preserve">二十、</w:t>
      </w:r>
      <w:r>
        <w:rPr>
          <w:rFonts w:hint="eastAsia" w:ascii="宋体" w:hAnsi="宋体" w:eastAsia="宋体" w:cs="宋体"/>
          <w:b/>
          <w:bCs/>
          <w:color w:val="auto"/>
          <w:highlight w:val="none"/>
        </w:rPr>
        <w:t xml:space="preserve">联合体协议（如有）</w:t>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  </w:t>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二十一、</w:t>
      </w:r>
      <w:r>
        <w:rPr>
          <w:rFonts w:hint="eastAsia" w:ascii="宋体" w:hAnsi="宋体" w:eastAsia="宋体" w:cs="宋体"/>
          <w:b/>
          <w:bCs/>
          <w:color w:val="auto"/>
          <w:szCs w:val="21"/>
          <w:highlight w:val="none"/>
        </w:rPr>
        <w:t xml:space="preserve">其他（投标人认为有必要提供的声明和文件，如有自拟并自行添加</w:t>
      </w:r>
      <w:r>
        <w:rPr>
          <w:rFonts w:hint="eastAsia" w:ascii="宋体" w:hAnsi="宋体" w:eastAsia="宋体" w:cs="宋体"/>
          <w:b/>
          <w:bCs/>
          <w:color w:val="auto"/>
          <w:szCs w:val="21"/>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rPr>
        <w:lang w:val="zh-CN"/>
      </w:rPr>
      <w:t xml:space="preserve">2</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rPr>
        <w:lang w:val="zh-CN"/>
      </w:rPr>
      <w:t xml:space="preserve">46</w:t>
    </w:r>
    <w:r>
      <w:fldChar w:fldCharType="end"/>
    </w:r>
    <w:r/>
  </w:p>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59"/>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21"/>
    <w:next w:val="708"/>
    <w:link w:val="745"/>
    <w:uiPriority w:val="9"/>
    <w:qFormat/>
    <w:pPr>
      <w:jc w:val="center"/>
      <w:keepLines w:val="0"/>
      <w:keepNext w:val="0"/>
      <w:spacing w:before="0" w:after="0" w:line="360" w:lineRule="auto"/>
    </w:pPr>
    <w:rPr>
      <w:rFonts w:ascii="Times New Roman" w:hAnsi="Times New Roman" w:eastAsia="宋体"/>
      <w:color w:val="000000"/>
      <w:sz w:val="36"/>
      <w:szCs w:val="40"/>
    </w:rPr>
  </w:style>
  <w:style w:type="paragraph" w:styleId="710">
    <w:name w:val="Heading 2"/>
    <w:basedOn w:val="708"/>
    <w:next w:val="708"/>
    <w:link w:val="746"/>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7"/>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9"/>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0"/>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2"/>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3"/>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Indent"/>
    <w:basedOn w:val="708"/>
    <w:uiPriority w:val="99"/>
    <w:unhideWhenUsed/>
    <w:qFormat/>
    <w:pPr>
      <w:jc w:val="center"/>
      <w:spacing w:line="360" w:lineRule="auto"/>
    </w:pPr>
    <w:rPr>
      <w:sz w:val="48"/>
    </w:rPr>
  </w:style>
  <w:style w:type="paragraph" w:styleId="721" w:customStyle="1">
    <w:name w:val="标题 11"/>
    <w:basedOn w:val="708"/>
    <w:next w:val="708"/>
    <w:link w:val="904"/>
    <w:uiPriority w:val="9"/>
    <w:qFormat/>
    <w:pPr>
      <w:keepLines/>
      <w:keepNext/>
      <w:spacing w:before="340" w:after="330" w:line="578" w:lineRule="auto"/>
      <w:outlineLvl w:val="0"/>
    </w:pPr>
    <w:rPr>
      <w:rFonts w:ascii="Times New Roman" w:hAnsi="Times New Roman"/>
      <w:b/>
      <w:bCs/>
      <w:sz w:val="44"/>
      <w:szCs w:val="44"/>
    </w:rPr>
  </w:style>
  <w:style w:type="paragraph" w:styleId="722">
    <w:name w:val="toc 7"/>
    <w:basedOn w:val="708"/>
    <w:next w:val="708"/>
    <w:uiPriority w:val="39"/>
    <w:unhideWhenUsed/>
    <w:qFormat/>
    <w:pPr>
      <w:ind w:left="1701" w:right="0" w:firstLine="0"/>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toc 5"/>
    <w:basedOn w:val="708"/>
    <w:next w:val="708"/>
    <w:uiPriority w:val="39"/>
    <w:unhideWhenUsed/>
    <w:qFormat/>
    <w:pPr>
      <w:ind w:left="1134" w:right="0" w:firstLine="0"/>
      <w:spacing w:after="57"/>
    </w:pPr>
  </w:style>
  <w:style w:type="paragraph" w:styleId="725">
    <w:name w:val="toc 3"/>
    <w:basedOn w:val="708"/>
    <w:next w:val="708"/>
    <w:uiPriority w:val="39"/>
    <w:unhideWhenUsed/>
    <w:qFormat/>
    <w:pPr>
      <w:ind w:left="567" w:right="0" w:firstLine="0"/>
      <w:spacing w:after="57"/>
    </w:pPr>
  </w:style>
  <w:style w:type="paragraph" w:styleId="726">
    <w:name w:val="toc 8"/>
    <w:basedOn w:val="708"/>
    <w:next w:val="708"/>
    <w:uiPriority w:val="39"/>
    <w:unhideWhenUsed/>
    <w:qFormat/>
    <w:pPr>
      <w:ind w:left="1984" w:right="0" w:firstLine="0"/>
      <w:spacing w:after="57"/>
    </w:pPr>
  </w:style>
  <w:style w:type="paragraph" w:styleId="727">
    <w:name w:val="endnote text"/>
    <w:basedOn w:val="708"/>
    <w:link w:val="891"/>
    <w:uiPriority w:val="99"/>
    <w:semiHidden/>
    <w:unhideWhenUsed/>
    <w:qFormat/>
    <w:pPr>
      <w:spacing w:after="0" w:line="240" w:lineRule="auto"/>
    </w:pPr>
    <w:rPr>
      <w:sz w:val="20"/>
    </w:rPr>
  </w:style>
  <w:style w:type="paragraph" w:styleId="728">
    <w:name w:val="Footer"/>
    <w:basedOn w:val="708"/>
    <w:link w:val="764"/>
    <w:uiPriority w:val="99"/>
    <w:unhideWhenUsed/>
    <w:qFormat/>
    <w:pPr>
      <w:spacing w:after="0" w:line="240" w:lineRule="auto"/>
      <w:tabs>
        <w:tab w:val="center" w:pos="7143" w:leader="none"/>
        <w:tab w:val="right" w:pos="14287" w:leader="none"/>
      </w:tabs>
    </w:pPr>
  </w:style>
  <w:style w:type="paragraph" w:styleId="729">
    <w:name w:val="Header"/>
    <w:basedOn w:val="708"/>
    <w:link w:val="762"/>
    <w:uiPriority w:val="99"/>
    <w:unhideWhenUsed/>
    <w:qFormat/>
    <w:pPr>
      <w:spacing w:after="0" w:line="240" w:lineRule="auto"/>
      <w:tabs>
        <w:tab w:val="center" w:pos="7143" w:leader="none"/>
        <w:tab w:val="right" w:pos="14287" w:leader="none"/>
      </w:tabs>
    </w:pPr>
  </w:style>
  <w:style w:type="paragraph" w:styleId="730">
    <w:name w:val="toc 1"/>
    <w:basedOn w:val="708"/>
    <w:next w:val="708"/>
    <w:uiPriority w:val="39"/>
    <w:unhideWhenUsed/>
    <w:qFormat/>
    <w:pPr>
      <w:ind w:left="0" w:right="0" w:firstLine="0"/>
      <w:spacing w:after="57"/>
    </w:pPr>
  </w:style>
  <w:style w:type="paragraph" w:styleId="731">
    <w:name w:val="toc 4"/>
    <w:basedOn w:val="708"/>
    <w:next w:val="708"/>
    <w:uiPriority w:val="39"/>
    <w:unhideWhenUsed/>
    <w:qFormat/>
    <w:pPr>
      <w:ind w:left="850" w:right="0" w:firstLine="0"/>
      <w:spacing w:after="57"/>
    </w:pPr>
  </w:style>
  <w:style w:type="paragraph" w:styleId="732">
    <w:name w:val="Subtitle"/>
    <w:basedOn w:val="708"/>
    <w:next w:val="708"/>
    <w:link w:val="757"/>
    <w:uiPriority w:val="11"/>
    <w:qFormat/>
    <w:pPr>
      <w:spacing w:before="200" w:after="200"/>
    </w:pPr>
    <w:rPr>
      <w:sz w:val="24"/>
      <w:szCs w:val="24"/>
    </w:rPr>
  </w:style>
  <w:style w:type="paragraph" w:styleId="733">
    <w:name w:val="footnote text"/>
    <w:basedOn w:val="708"/>
    <w:link w:val="890"/>
    <w:uiPriority w:val="99"/>
    <w:semiHidden/>
    <w:unhideWhenUsed/>
    <w:qFormat/>
    <w:pPr>
      <w:spacing w:after="40" w:line="240" w:lineRule="auto"/>
    </w:pPr>
    <w:rPr>
      <w:sz w:val="18"/>
    </w:rPr>
  </w:style>
  <w:style w:type="paragraph" w:styleId="734">
    <w:name w:val="toc 6"/>
    <w:basedOn w:val="708"/>
    <w:next w:val="708"/>
    <w:uiPriority w:val="39"/>
    <w:unhideWhenUsed/>
    <w:qFormat/>
    <w:pPr>
      <w:ind w:left="1417" w:right="0" w:firstLine="0"/>
      <w:spacing w:after="57"/>
    </w:pPr>
  </w:style>
  <w:style w:type="paragraph" w:styleId="735">
    <w:name w:val="table of figures"/>
    <w:basedOn w:val="708"/>
    <w:next w:val="708"/>
    <w:uiPriority w:val="99"/>
    <w:unhideWhenUsed/>
    <w:qFormat/>
    <w:pPr>
      <w:spacing w:after="0" w:afterAutospacing="0"/>
    </w:pPr>
  </w:style>
  <w:style w:type="paragraph" w:styleId="736">
    <w:name w:val="toc 2"/>
    <w:basedOn w:val="708"/>
    <w:next w:val="708"/>
    <w:uiPriority w:val="39"/>
    <w:unhideWhenUsed/>
    <w:qFormat/>
    <w:pPr>
      <w:ind w:left="283" w:right="0" w:firstLine="0"/>
      <w:spacing w:after="57"/>
    </w:pPr>
  </w:style>
  <w:style w:type="paragraph" w:styleId="737">
    <w:name w:val="toc 9"/>
    <w:basedOn w:val="708"/>
    <w:next w:val="708"/>
    <w:uiPriority w:val="39"/>
    <w:unhideWhenUsed/>
    <w:qFormat/>
    <w:pPr>
      <w:ind w:left="2268" w:right="0" w:firstLine="0"/>
      <w:spacing w:after="57"/>
    </w:pPr>
  </w:style>
  <w:style w:type="paragraph" w:styleId="738">
    <w:name w:val="Title"/>
    <w:basedOn w:val="708"/>
    <w:next w:val="708"/>
    <w:link w:val="756"/>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Default"/>
    <w:next w:val="708"/>
    <w:uiPriority w:val="0"/>
    <w:qFormat/>
    <w:pPr>
      <w:widowControl w:val="off"/>
    </w:pPr>
    <w:rPr>
      <w:rFonts w:hint="default" w:ascii="宋体" w:hAnsi="Times New Roman" w:eastAsia="宋体" w:cs="宋体"/>
      <w:color w:val="000000"/>
      <w:sz w:val="24"/>
      <w:szCs w:val="24"/>
      <w:lang w:val="en-US" w:eastAsia="zh-CN" w:bidi="ar-SA"/>
    </w:rPr>
  </w:style>
  <w:style w:type="paragraph" w:styleId="744" w:customStyle="1">
    <w:name w:val="信息标题1"/>
    <w:next w:val="708"/>
    <w:uiPriority w:val="99"/>
    <w:unhideWhenUsed/>
    <w:qFormat/>
    <w:pPr>
      <w:ind w:left="1080" w:hanging="1080"/>
      <w:jc w:val="both"/>
      <w:spacing w:before="100" w:beforeAutospacing="1" w:after="100" w:afterAutospacing="1" w:line="120" w:lineRule="auto"/>
      <w:shd w:val="clear" w:color="auto" w:fill="7f7f7f"/>
      <w:widowControl w:val="off"/>
      <w:pBdr>
        <w:top w:val="single" w:color="000000" w:sz="6" w:space="1"/>
        <w:left w:val="single" w:color="000000" w:sz="6" w:space="1"/>
        <w:bottom w:val="single" w:color="000000" w:sz="6" w:space="1"/>
        <w:right w:val="single" w:color="000000" w:sz="6" w:space="1"/>
      </w:pBdr>
    </w:pPr>
    <w:rPr>
      <w:rFonts w:hint="default" w:ascii="Arial" w:hAnsi="Arial" w:eastAsia="宋体" w:cs="Arial"/>
      <w:sz w:val="21"/>
      <w:szCs w:val="22"/>
      <w:lang w:val="en-US" w:eastAsia="zh-CN" w:bidi="ar-SA"/>
    </w:rPr>
  </w:style>
  <w:style w:type="character" w:styleId="745" w:customStyle="1">
    <w:name w:val="Heading 1 Char"/>
    <w:link w:val="709"/>
    <w:uiPriority w:val="9"/>
    <w:qFormat/>
    <w:rPr>
      <w:rFonts w:ascii="Times New Roman" w:hAnsi="Times New Roman" w:eastAsia="宋体" w:cs="Times New Roman"/>
      <w:b/>
      <w:bCs/>
      <w:color w:val="000000"/>
      <w:sz w:val="36"/>
      <w:szCs w:val="40"/>
      <w:lang w:val="en-US" w:eastAsia="zh-CN" w:bidi="ar-SA"/>
    </w:rPr>
  </w:style>
  <w:style w:type="character" w:styleId="746" w:customStyle="1">
    <w:name w:val="Heading 2 Char"/>
    <w:link w:val="710"/>
    <w:uiPriority w:val="9"/>
    <w:qFormat/>
    <w:rPr>
      <w:rFonts w:ascii="Arial" w:hAnsi="Arial" w:eastAsia="Arial" w:cs="Arial"/>
      <w:sz w:val="34"/>
    </w:rPr>
  </w:style>
  <w:style w:type="character" w:styleId="747" w:customStyle="1">
    <w:name w:val="Heading 3 Char"/>
    <w:link w:val="711"/>
    <w:uiPriority w:val="9"/>
    <w:qFormat/>
    <w:rPr>
      <w:rFonts w:ascii="Arial" w:hAnsi="Arial" w:eastAsia="Arial" w:cs="Arial"/>
      <w:sz w:val="30"/>
      <w:szCs w:val="30"/>
    </w:rPr>
  </w:style>
  <w:style w:type="character" w:styleId="748" w:customStyle="1">
    <w:name w:val="Heading 4 Char"/>
    <w:link w:val="712"/>
    <w:uiPriority w:val="9"/>
    <w:qFormat/>
    <w:rPr>
      <w:rFonts w:ascii="Arial" w:hAnsi="Arial" w:eastAsia="Arial" w:cs="Arial"/>
      <w:b/>
      <w:bCs/>
      <w:sz w:val="26"/>
      <w:szCs w:val="26"/>
    </w:rPr>
  </w:style>
  <w:style w:type="character" w:styleId="749" w:customStyle="1">
    <w:name w:val="Heading 5 Char"/>
    <w:link w:val="713"/>
    <w:uiPriority w:val="9"/>
    <w:qFormat/>
    <w:rPr>
      <w:rFonts w:ascii="Arial" w:hAnsi="Arial" w:eastAsia="Arial" w:cs="Arial"/>
      <w:b/>
      <w:bCs/>
      <w:sz w:val="24"/>
      <w:szCs w:val="24"/>
    </w:rPr>
  </w:style>
  <w:style w:type="character" w:styleId="750" w:customStyle="1">
    <w:name w:val="Heading 6 Char"/>
    <w:link w:val="714"/>
    <w:uiPriority w:val="9"/>
    <w:qFormat/>
    <w:rPr>
      <w:rFonts w:ascii="Arial" w:hAnsi="Arial" w:eastAsia="Arial" w:cs="Arial"/>
      <w:b/>
      <w:bCs/>
      <w:sz w:val="22"/>
      <w:szCs w:val="22"/>
    </w:rPr>
  </w:style>
  <w:style w:type="character" w:styleId="751" w:customStyle="1">
    <w:name w:val="Heading 7 Char"/>
    <w:link w:val="715"/>
    <w:uiPriority w:val="9"/>
    <w:qFormat/>
    <w:rPr>
      <w:rFonts w:ascii="Arial" w:hAnsi="Arial" w:eastAsia="Arial" w:cs="Arial"/>
      <w:b/>
      <w:bCs/>
      <w:i/>
      <w:iCs/>
      <w:sz w:val="22"/>
      <w:szCs w:val="22"/>
    </w:rPr>
  </w:style>
  <w:style w:type="character" w:styleId="752" w:customStyle="1">
    <w:name w:val="Heading 8 Char"/>
    <w:link w:val="716"/>
    <w:uiPriority w:val="9"/>
    <w:qFormat/>
    <w:rPr>
      <w:rFonts w:ascii="Arial" w:hAnsi="Arial" w:eastAsia="Arial" w:cs="Arial"/>
      <w:i/>
      <w:iCs/>
      <w:sz w:val="22"/>
      <w:szCs w:val="22"/>
    </w:rPr>
  </w:style>
  <w:style w:type="character" w:styleId="753" w:customStyle="1">
    <w:name w:val="Heading 9 Char"/>
    <w:link w:val="717"/>
    <w:uiPriority w:val="9"/>
    <w:qFormat/>
    <w:rPr>
      <w:rFonts w:ascii="Arial" w:hAnsi="Arial" w:eastAsia="Arial" w:cs="Arial"/>
      <w:i/>
      <w:iCs/>
      <w:sz w:val="21"/>
      <w:szCs w:val="21"/>
    </w:rPr>
  </w:style>
  <w:style w:type="paragraph" w:styleId="754">
    <w:name w:val="List Paragraph"/>
    <w:basedOn w:val="708"/>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8"/>
    <w:uiPriority w:val="10"/>
    <w:qFormat/>
    <w:rPr>
      <w:sz w:val="48"/>
      <w:szCs w:val="48"/>
    </w:rPr>
  </w:style>
  <w:style w:type="character" w:styleId="757" w:customStyle="1">
    <w:name w:val="Subtitle Char"/>
    <w:link w:val="732"/>
    <w:uiPriority w:val="11"/>
    <w:qFormat/>
    <w:rPr>
      <w:sz w:val="24"/>
      <w:szCs w:val="24"/>
    </w:rPr>
  </w:style>
  <w:style w:type="paragraph" w:styleId="758">
    <w:name w:val="Quote"/>
    <w:basedOn w:val="708"/>
    <w:next w:val="708"/>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08"/>
    <w:next w:val="70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29"/>
    <w:uiPriority w:val="99"/>
    <w:qFormat/>
  </w:style>
  <w:style w:type="character" w:styleId="763" w:customStyle="1">
    <w:name w:val="Footer Char"/>
    <w:link w:val="728"/>
    <w:uiPriority w:val="99"/>
    <w:qFormat/>
  </w:style>
  <w:style w:type="character" w:styleId="764" w:customStyle="1">
    <w:name w:val="Caption Char"/>
    <w:link w:val="728"/>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3"/>
    <w:uiPriority w:val="99"/>
    <w:qFormat/>
    <w:rPr>
      <w:sz w:val="18"/>
    </w:rPr>
  </w:style>
  <w:style w:type="character" w:styleId="891" w:customStyle="1">
    <w:name w:val="Endnote Text Char"/>
    <w:link w:val="727"/>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21"/>
    <w:basedOn w:val="708"/>
    <w:next w:val="708"/>
    <w:link w:val="905"/>
    <w:uiPriority w:val="9"/>
    <w:qFormat/>
    <w:pPr>
      <w:keepLines/>
      <w:keepNext/>
      <w:spacing w:before="260" w:after="260" w:line="416" w:lineRule="auto"/>
      <w:outlineLvl w:val="1"/>
    </w:pPr>
    <w:rPr>
      <w:rFonts w:ascii="Cambria" w:hAnsi="Cambria"/>
      <w:b/>
      <w:bCs/>
      <w:sz w:val="32"/>
      <w:szCs w:val="32"/>
    </w:rPr>
  </w:style>
  <w:style w:type="paragraph" w:styleId="894" w:customStyle="1">
    <w:name w:val="标题 31"/>
    <w:basedOn w:val="708"/>
    <w:next w:val="708"/>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895" w:customStyle="1">
    <w:name w:val="标题 41"/>
    <w:basedOn w:val="708"/>
    <w:next w:val="896"/>
    <w:uiPriority w:val="0"/>
    <w:qFormat/>
    <w:pPr>
      <w:spacing w:before="280" w:after="290" w:line="377" w:lineRule="auto"/>
      <w:outlineLvl w:val="3"/>
    </w:pPr>
    <w:rPr>
      <w:rFonts w:ascii="Arial" w:hAnsi="Arial" w:eastAsia="黑体" w:cs="Times New Roman"/>
      <w:b/>
      <w:bCs/>
      <w:sz w:val="28"/>
      <w:szCs w:val="28"/>
    </w:rPr>
  </w:style>
  <w:style w:type="paragraph" w:styleId="896" w:customStyle="1">
    <w:name w:val="正文缩进1"/>
    <w:basedOn w:val="708"/>
    <w:uiPriority w:val="0"/>
    <w:unhideWhenUsed/>
    <w:qFormat/>
    <w:pPr>
      <w:ind w:firstLine="420"/>
    </w:pPr>
  </w:style>
  <w:style w:type="character" w:styleId="897" w:customStyle="1">
    <w:name w:val="默认段落字体1"/>
    <w:link w:val="708"/>
    <w:uiPriority w:val="0"/>
    <w:semiHidden/>
    <w:qFormat/>
  </w:style>
  <w:style w:type="table" w:styleId="898" w:customStyle="1">
    <w:name w:val="普通表格1"/>
    <w:uiPriority w:val="0"/>
    <w:semiHidden/>
    <w:qFormat/>
    <w:tblPr/>
  </w:style>
  <w:style w:type="paragraph" w:styleId="899" w:customStyle="1">
    <w:name w:val="正文1"/>
    <w:basedOn w:val="708"/>
    <w:next w:val="900"/>
    <w:uiPriority w:val="99"/>
    <w:qFormat/>
    <w:pPr>
      <w:jc w:val="left"/>
      <w:spacing w:line="360" w:lineRule="atLeast"/>
    </w:pPr>
    <w:rPr>
      <w:rFonts w:ascii="宋体" w:hAnsi="Calibri" w:eastAsia="宋体" w:cs="Times New Roman"/>
      <w:sz w:val="24"/>
      <w:szCs w:val="20"/>
    </w:rPr>
  </w:style>
  <w:style w:type="paragraph" w:styleId="900" w:customStyle="1">
    <w:name w:val="正文文本1"/>
    <w:basedOn w:val="899"/>
    <w:next w:val="901"/>
    <w:uiPriority w:val="0"/>
    <w:qFormat/>
    <w:pPr>
      <w:spacing w:after="120"/>
    </w:pPr>
    <w:rPr>
      <w:lang w:val="en-US" w:eastAsia="en-US"/>
    </w:rPr>
  </w:style>
  <w:style w:type="paragraph" w:styleId="901" w:customStyle="1">
    <w:name w:val="一级条标题"/>
    <w:basedOn w:val="902"/>
    <w:next w:val="9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2"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3" w:customStyle="1">
    <w:name w:val="段"/>
    <w:basedOn w:val="899"/>
    <w:next w:val="708"/>
    <w:uiPriority w:val="0"/>
    <w:qFormat/>
    <w:pPr>
      <w:ind w:firstLine="200"/>
      <w:widowControl/>
    </w:pPr>
    <w:rPr>
      <w:rFonts w:ascii="宋体"/>
      <w:sz w:val="20"/>
      <w:szCs w:val="20"/>
    </w:rPr>
  </w:style>
  <w:style w:type="character" w:styleId="904" w:customStyle="1">
    <w:name w:val="标题 1 字符"/>
    <w:link w:val="721"/>
    <w:uiPriority w:val="9"/>
    <w:qFormat/>
    <w:rPr>
      <w:b/>
      <w:bCs/>
      <w:sz w:val="44"/>
      <w:szCs w:val="44"/>
    </w:rPr>
  </w:style>
  <w:style w:type="character" w:styleId="905" w:customStyle="1">
    <w:name w:val="标题 2 字符"/>
    <w:link w:val="893"/>
    <w:uiPriority w:val="9"/>
    <w:qFormat/>
    <w:rPr>
      <w:rFonts w:ascii="Cambria" w:hAnsi="Cambria"/>
      <w:b/>
      <w:bCs/>
      <w:sz w:val="32"/>
      <w:szCs w:val="32"/>
    </w:rPr>
  </w:style>
  <w:style w:type="paragraph" w:styleId="906" w:customStyle="1">
    <w:name w:val="批注文字1"/>
    <w:basedOn w:val="708"/>
    <w:uiPriority w:val="99"/>
    <w:unhideWhenUsed/>
    <w:qFormat/>
    <w:pPr>
      <w:jc w:val="left"/>
    </w:pPr>
  </w:style>
  <w:style w:type="paragraph" w:styleId="907" w:customStyle="1">
    <w:name w:val="正文文本2"/>
    <w:basedOn w:val="708"/>
    <w:uiPriority w:val="0"/>
    <w:qFormat/>
    <w:rPr>
      <w:rFonts w:ascii="楷体_GB2312" w:hAnsi="Arial" w:eastAsia="楷体_GB2312"/>
      <w:sz w:val="28"/>
      <w:szCs w:val="28"/>
    </w:rPr>
  </w:style>
  <w:style w:type="paragraph" w:styleId="908" w:customStyle="1">
    <w:name w:val="正文文本缩进1"/>
    <w:basedOn w:val="708"/>
    <w:next w:val="708"/>
    <w:uiPriority w:val="99"/>
    <w:unhideWhenUsed/>
    <w:qFormat/>
    <w:pPr>
      <w:ind w:left="420"/>
      <w:spacing w:after="120"/>
    </w:pPr>
  </w:style>
  <w:style w:type="paragraph" w:styleId="909" w:customStyle="1">
    <w:name w:val="列表项目符号 21"/>
    <w:basedOn w:val="708"/>
    <w:uiPriority w:val="0"/>
    <w:qFormat/>
    <w:pPr>
      <w:ind w:left="780" w:hanging="360"/>
      <w:tabs>
        <w:tab w:val="left" w:pos="780" w:leader="none"/>
      </w:tabs>
    </w:pPr>
  </w:style>
  <w:style w:type="paragraph" w:styleId="910" w:customStyle="1">
    <w:name w:val="目录 31"/>
    <w:basedOn w:val="708"/>
    <w:next w:val="708"/>
    <w:uiPriority w:val="0"/>
    <w:qFormat/>
    <w:pPr>
      <w:ind w:left="840"/>
    </w:pPr>
  </w:style>
  <w:style w:type="paragraph" w:styleId="911" w:customStyle="1">
    <w:name w:val="纯文本1"/>
    <w:basedOn w:val="708"/>
    <w:link w:val="912"/>
    <w:uiPriority w:val="0"/>
    <w:unhideWhenUsed/>
    <w:qFormat/>
    <w:rPr>
      <w:rFonts w:ascii="宋体" w:hAnsi="Courier New"/>
    </w:rPr>
  </w:style>
  <w:style w:type="character" w:styleId="912" w:customStyle="1">
    <w:name w:val="纯文本 字符"/>
    <w:link w:val="911"/>
    <w:uiPriority w:val="0"/>
    <w:qFormat/>
    <w:rPr>
      <w:rFonts w:ascii="宋体" w:hAnsi="Courier New"/>
      <w:sz w:val="21"/>
      <w:szCs w:val="22"/>
    </w:rPr>
  </w:style>
  <w:style w:type="paragraph" w:styleId="913" w:customStyle="1">
    <w:name w:val="日期1"/>
    <w:basedOn w:val="708"/>
    <w:next w:val="708"/>
    <w:uiPriority w:val="0"/>
    <w:qFormat/>
    <w:rPr>
      <w:rFonts w:ascii="Times New Roman" w:hAnsi="Times New Roman"/>
      <w:sz w:val="24"/>
      <w:szCs w:val="20"/>
    </w:rPr>
  </w:style>
  <w:style w:type="paragraph" w:styleId="914" w:customStyle="1">
    <w:name w:val="批注框文本1"/>
    <w:basedOn w:val="708"/>
    <w:link w:val="915"/>
    <w:uiPriority w:val="0"/>
    <w:qFormat/>
    <w:rPr>
      <w:sz w:val="18"/>
      <w:szCs w:val="18"/>
    </w:rPr>
  </w:style>
  <w:style w:type="character" w:styleId="915" w:customStyle="1">
    <w:name w:val="批注框文本 字符"/>
    <w:link w:val="914"/>
    <w:uiPriority w:val="0"/>
    <w:qFormat/>
    <w:rPr>
      <w:rFonts w:ascii="Calibri" w:hAnsi="Calibri"/>
      <w:sz w:val="18"/>
      <w:szCs w:val="18"/>
    </w:rPr>
  </w:style>
  <w:style w:type="paragraph" w:styleId="916" w:customStyle="1">
    <w:name w:val="页脚1"/>
    <w:basedOn w:val="708"/>
    <w:uiPriority w:val="99"/>
    <w:unhideWhenUsed/>
    <w:qFormat/>
    <w:pPr>
      <w:jc w:val="left"/>
      <w:tabs>
        <w:tab w:val="center" w:pos="4153" w:leader="none"/>
        <w:tab w:val="right" w:pos="8306" w:leader="none"/>
      </w:tabs>
    </w:pPr>
    <w:rPr>
      <w:sz w:val="18"/>
      <w:szCs w:val="18"/>
    </w:rPr>
  </w:style>
  <w:style w:type="paragraph" w:styleId="917" w:customStyle="1">
    <w:name w:val="页眉1"/>
    <w:basedOn w:val="70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8" w:customStyle="1">
    <w:name w:val="目录 111"/>
    <w:basedOn w:val="708"/>
    <w:next w:val="708"/>
    <w:uiPriority w:val="39"/>
    <w:unhideWhenUsed/>
    <w:qFormat/>
  </w:style>
  <w:style w:type="paragraph" w:styleId="919" w:customStyle="1">
    <w:name w:val="目录 21"/>
    <w:basedOn w:val="708"/>
    <w:next w:val="708"/>
    <w:uiPriority w:val="0"/>
    <w:qFormat/>
    <w:pPr>
      <w:ind w:left="420"/>
    </w:pPr>
  </w:style>
  <w:style w:type="paragraph" w:styleId="920" w:customStyle="1">
    <w:name w:val="普通(网站)1"/>
    <w:basedOn w:val="708"/>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21" w:customStyle="1">
    <w:name w:val="网格型11"/>
    <w:basedOn w:val="898"/>
    <w:uiPriority w:val="59"/>
    <w:qFormat/>
    <w:rPr>
      <w:rFonts w:ascii="Calibri" w:hAnsi="Calibri" w:eastAsia="宋体" w:cs="Times New Roman"/>
      <w:sz w:val="21"/>
      <w:szCs w:val="22"/>
    </w:rPr>
    <w:tblPr/>
  </w:style>
  <w:style w:type="character" w:styleId="922" w:customStyle="1">
    <w:name w:val="要点1"/>
    <w:link w:val="708"/>
    <w:uiPriority w:val="0"/>
    <w:qFormat/>
    <w:rPr>
      <w:b/>
      <w:bCs/>
    </w:rPr>
  </w:style>
  <w:style w:type="character" w:styleId="923" w:customStyle="1">
    <w:name w:val="已访问的超链接1"/>
    <w:link w:val="708"/>
    <w:uiPriority w:val="0"/>
    <w:qFormat/>
    <w:rPr>
      <w:color w:val="444444"/>
      <w:u w:val="none"/>
    </w:rPr>
  </w:style>
  <w:style w:type="character" w:styleId="924" w:customStyle="1">
    <w:name w:val="强调1"/>
    <w:link w:val="708"/>
    <w:uiPriority w:val="0"/>
    <w:qFormat/>
  </w:style>
  <w:style w:type="character" w:styleId="925" w:customStyle="1">
    <w:name w:val="HTML 定义1"/>
    <w:link w:val="708"/>
    <w:uiPriority w:val="0"/>
    <w:qFormat/>
  </w:style>
  <w:style w:type="character" w:styleId="926" w:customStyle="1">
    <w:name w:val="HTML 缩写1"/>
    <w:link w:val="708"/>
    <w:uiPriority w:val="0"/>
    <w:qFormat/>
  </w:style>
  <w:style w:type="character" w:styleId="927" w:customStyle="1">
    <w:name w:val="HTML 变量1"/>
    <w:link w:val="708"/>
    <w:uiPriority w:val="0"/>
    <w:qFormat/>
  </w:style>
  <w:style w:type="character" w:styleId="928" w:customStyle="1">
    <w:name w:val="超链接1"/>
    <w:link w:val="708"/>
    <w:uiPriority w:val="0"/>
    <w:qFormat/>
    <w:rPr>
      <w:color w:val="444444"/>
      <w:u w:val="none"/>
    </w:rPr>
  </w:style>
  <w:style w:type="character" w:styleId="929" w:customStyle="1">
    <w:name w:val="HTML 代码1"/>
    <w:link w:val="708"/>
    <w:uiPriority w:val="0"/>
    <w:qFormat/>
    <w:rPr>
      <w:rFonts w:ascii="Courier New" w:hAnsi="Courier New"/>
      <w:sz w:val="20"/>
    </w:rPr>
  </w:style>
  <w:style w:type="character" w:styleId="930" w:customStyle="1">
    <w:name w:val="HTML 引文1"/>
    <w:link w:val="708"/>
    <w:uiPriority w:val="0"/>
    <w:qFormat/>
  </w:style>
  <w:style w:type="paragraph" w:styleId="931" w:customStyle="1">
    <w:name w:val="标题 411"/>
    <w:next w:val="708"/>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932" w:customStyle="1">
    <w:name w:val="文本块11"/>
    <w:basedOn w:val="708"/>
    <w:uiPriority w:val="99"/>
    <w:unhideWhenUsed/>
    <w:qFormat/>
    <w:pPr>
      <w:ind w:left="567" w:right="454" w:firstLine="498"/>
      <w:jc w:val="left"/>
    </w:pPr>
    <w:rPr>
      <w:rFonts w:ascii="仿宋_GB2312" w:eastAsia="仿宋_GB2312"/>
      <w:sz w:val="30"/>
      <w:szCs w:val="20"/>
    </w:rPr>
  </w:style>
  <w:style w:type="paragraph" w:styleId="933" w:customStyle="1">
    <w:name w:val="正文（缩进）"/>
    <w:basedOn w:val="934"/>
    <w:next w:val="935"/>
    <w:uiPriority w:val="0"/>
    <w:qFormat/>
    <w:pPr>
      <w:ind w:firstLine="480"/>
    </w:pPr>
  </w:style>
  <w:style w:type="paragraph" w:styleId="934" w:customStyle="1">
    <w:name w:val="正文11"/>
    <w:next w:val="900"/>
    <w:uiPriority w:val="0"/>
    <w:qFormat/>
    <w:pPr>
      <w:jc w:val="both"/>
      <w:widowControl w:val="off"/>
    </w:pPr>
    <w:rPr>
      <w:rFonts w:hint="default" w:ascii="Calibri" w:hAnsi="Calibri" w:eastAsia="宋体" w:cs="Times New Roman"/>
      <w:sz w:val="21"/>
      <w:szCs w:val="24"/>
      <w:lang w:val="en-US" w:eastAsia="zh-CN" w:bidi="ar-SA"/>
    </w:rPr>
  </w:style>
  <w:style w:type="paragraph" w:styleId="935" w:customStyle="1">
    <w:name w:val="Char Char Char Char Char Char Char Char Char"/>
    <w:next w:val="936"/>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936" w:customStyle="1">
    <w:name w:val="正文文本 21"/>
    <w:next w:val="937"/>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937" w:customStyle="1">
    <w:name w:val="默认段落字体 Para Char Char Char Char Char Char Char"/>
    <w:next w:val="938"/>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938" w:customStyle="1">
    <w:name w:val="样式 首行缩进:  2 字符"/>
    <w:next w:val="939"/>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939" w:customStyle="1">
    <w:name w:val="样式 段后: 0.25 行"/>
    <w:next w:val="940"/>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940" w:customStyle="1">
    <w:name w:val="正文 New New New New New New New New New New New New New New"/>
    <w:next w:val="737"/>
    <w:uiPriority w:val="0"/>
    <w:qFormat/>
    <w:pPr>
      <w:ind w:firstLine="2048"/>
      <w:jc w:val="both"/>
      <w:widowControl w:val="off"/>
    </w:pPr>
    <w:rPr>
      <w:rFonts w:hint="default" w:ascii="Times New Roman" w:hAnsi="Times New Roman" w:eastAsia="宋体" w:cs="Times New Roman"/>
    </w:rPr>
  </w:style>
  <w:style w:type="character" w:styleId="941" w:customStyle="1">
    <w:name w:val="hover4"/>
    <w:link w:val="708"/>
    <w:uiPriority w:val="0"/>
    <w:qFormat/>
    <w:rPr>
      <w:color w:val="0063ba"/>
    </w:rPr>
  </w:style>
  <w:style w:type="character" w:styleId="942" w:customStyle="1">
    <w:name w:val="active5"/>
    <w:link w:val="708"/>
    <w:uiPriority w:val="0"/>
    <w:qFormat/>
    <w:rPr>
      <w:color w:val="ffffff"/>
      <w:shd w:val="clear" w:color="auto" w:fill="e22323"/>
    </w:rPr>
  </w:style>
  <w:style w:type="character" w:styleId="943" w:customStyle="1">
    <w:name w:val="margin_right202"/>
    <w:link w:val="708"/>
    <w:uiPriority w:val="0"/>
    <w:qFormat/>
  </w:style>
  <w:style w:type="character" w:styleId="944" w:customStyle="1">
    <w:name w:val="before"/>
    <w:link w:val="708"/>
    <w:uiPriority w:val="0"/>
    <w:qFormat/>
    <w:rPr>
      <w:shd w:val="clear" w:color="auto" w:fill="e22323"/>
    </w:rPr>
  </w:style>
  <w:style w:type="paragraph" w:styleId="94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6" w:customStyle="1">
    <w:name w:val="列出段落1"/>
    <w:basedOn w:val="708"/>
    <w:uiPriority w:val="0"/>
    <w:qFormat/>
    <w:pPr>
      <w:contextualSpacing/>
      <w:ind w:left="720"/>
      <w:jc w:val="left"/>
      <w:widowControl/>
    </w:pPr>
    <w:rPr>
      <w:sz w:val="24"/>
      <w:szCs w:val="24"/>
      <w:lang w:eastAsia="en-US" w:bidi="en-US"/>
    </w:rPr>
  </w:style>
  <w:style w:type="paragraph" w:styleId="947"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48" w:customStyle="1">
    <w:name w:val="列表段落"/>
    <w:basedOn w:val="708"/>
    <w:uiPriority w:val="99"/>
    <w:qFormat/>
    <w:pPr>
      <w:ind w:firstLine="420"/>
    </w:pPr>
  </w:style>
  <w:style w:type="paragraph" w:styleId="949" w:customStyle="1">
    <w:name w:val="Char"/>
    <w:basedOn w:val="708"/>
    <w:uiPriority w:val="0"/>
    <w:qFormat/>
    <w:pPr>
      <w:ind w:firstLine="200"/>
      <w:tabs>
        <w:tab w:val="left" w:pos="360" w:leader="none"/>
      </w:tabs>
    </w:pPr>
    <w:rPr>
      <w:rFonts w:ascii="Times New Roman" w:hAnsi="Times New Roman"/>
      <w:sz w:val="28"/>
      <w:szCs w:val="30"/>
    </w:rPr>
  </w:style>
  <w:style w:type="paragraph" w:styleId="950" w:customStyle="1">
    <w:name w:val="Footer1"/>
    <w:basedOn w:val="708"/>
    <w:link w:val="951"/>
    <w:uiPriority w:val="99"/>
    <w:unhideWhenUsed/>
    <w:qFormat/>
    <w:pPr>
      <w:jc w:val="left"/>
      <w:tabs>
        <w:tab w:val="center" w:pos="4153" w:leader="none"/>
        <w:tab w:val="right" w:pos="8306" w:leader="none"/>
      </w:tabs>
    </w:pPr>
    <w:rPr>
      <w:rFonts w:ascii="Times New Roman" w:hAnsi="Times New Roman"/>
      <w:sz w:val="18"/>
      <w:szCs w:val="18"/>
    </w:rPr>
  </w:style>
  <w:style w:type="character" w:styleId="951" w:customStyle="1">
    <w:name w:val="页脚 字符"/>
    <w:link w:val="950"/>
    <w:uiPriority w:val="99"/>
    <w:qFormat/>
    <w:rPr>
      <w:sz w:val="18"/>
      <w:szCs w:val="18"/>
    </w:rPr>
  </w:style>
  <w:style w:type="paragraph" w:styleId="952" w:customStyle="1">
    <w:name w:val="Header1"/>
    <w:basedOn w:val="708"/>
    <w:link w:val="95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3" w:customStyle="1">
    <w:name w:val="页眉 字符"/>
    <w:link w:val="952"/>
    <w:uiPriority w:val="99"/>
    <w:qFormat/>
    <w:rPr>
      <w:sz w:val="18"/>
      <w:szCs w:val="18"/>
    </w:rPr>
  </w:style>
  <w:style w:type="table" w:styleId="954" w:customStyle="1">
    <w:name w:val="网格型1"/>
    <w:basedOn w:val="898"/>
    <w:uiPriority w:val="99"/>
    <w:qFormat/>
    <w:pPr>
      <w:jc w:val="both"/>
      <w:widowControl w:val="off"/>
    </w:pPr>
    <w:rPr>
      <w:rFonts w:ascii="Calibri" w:hAnsi="Calibri"/>
    </w:rPr>
    <w:tblPr/>
  </w:style>
  <w:style w:type="character" w:styleId="955" w:customStyle="1">
    <w:name w:val="font21"/>
    <w:link w:val="708"/>
    <w:uiPriority w:val="0"/>
    <w:qFormat/>
    <w:rPr>
      <w:rFonts w:hint="eastAsia" w:ascii="宋体" w:hAnsi="宋体" w:eastAsia="宋体" w:cs="宋体"/>
      <w:b/>
      <w:bCs/>
      <w:color w:val="000000"/>
      <w:sz w:val="34"/>
      <w:szCs w:val="34"/>
      <w:u w:val="none"/>
    </w:rPr>
  </w:style>
  <w:style w:type="character" w:styleId="956" w:customStyle="1">
    <w:name w:val="font31"/>
    <w:link w:val="708"/>
    <w:uiPriority w:val="0"/>
    <w:qFormat/>
    <w:rPr>
      <w:rFonts w:hint="eastAsia" w:ascii="宋体" w:hAnsi="宋体" w:eastAsia="宋体" w:cs="宋体"/>
      <w:b/>
      <w:bCs/>
      <w:color w:val="000000"/>
      <w:sz w:val="42"/>
      <w:szCs w:val="42"/>
      <w:u w:val="none"/>
    </w:rPr>
  </w:style>
  <w:style w:type="character" w:styleId="957" w:customStyle="1">
    <w:name w:val="font91"/>
    <w:link w:val="708"/>
    <w:uiPriority w:val="0"/>
    <w:qFormat/>
    <w:rPr>
      <w:rFonts w:hint="eastAsia" w:ascii="宋体" w:hAnsi="宋体" w:eastAsia="宋体" w:cs="宋体"/>
      <w:color w:val="000000"/>
      <w:sz w:val="24"/>
      <w:szCs w:val="24"/>
      <w:u w:val="none"/>
    </w:rPr>
  </w:style>
  <w:style w:type="character" w:styleId="958" w:customStyle="1">
    <w:name w:val="font81"/>
    <w:link w:val="708"/>
    <w:uiPriority w:val="0"/>
    <w:qFormat/>
    <w:rPr>
      <w:rFonts w:ascii="宋体" w:hAnsi="宋体" w:eastAsia="宋体" w:cs="宋体"/>
      <w:b/>
      <w:bCs/>
      <w:color w:val="000000"/>
      <w:sz w:val="20"/>
      <w:szCs w:val="20"/>
      <w:u w:val="none"/>
    </w:rPr>
  </w:style>
  <w:style w:type="character" w:styleId="959" w:customStyle="1">
    <w:name w:val="font101"/>
    <w:link w:val="708"/>
    <w:uiPriority w:val="0"/>
    <w:qFormat/>
    <w:rPr>
      <w:rFonts w:ascii="宋体" w:hAnsi="宋体" w:eastAsia="宋体" w:cs="宋体"/>
      <w:b/>
      <w:bCs/>
      <w:color w:val="000000"/>
      <w:sz w:val="20"/>
      <w:szCs w:val="20"/>
      <w:u w:val="single"/>
    </w:rPr>
  </w:style>
  <w:style w:type="paragraph" w:styleId="960" w:customStyle="1">
    <w:name w:val="Table Paragraph"/>
    <w:basedOn w:val="708"/>
    <w:uiPriority w:val="1"/>
    <w:qFormat/>
    <w:pPr>
      <w:jc w:val="left"/>
    </w:pPr>
    <w:rPr>
      <w:rFonts w:ascii="Calibri" w:hAnsi="Calibri"/>
      <w:sz w:val="22"/>
      <w:szCs w:val="22"/>
      <w:lang w:eastAsia="en-US"/>
    </w:rPr>
  </w:style>
  <w:style w:type="paragraph" w:styleId="961" w:customStyle="1">
    <w:name w:val="目录 11"/>
    <w:basedOn w:val="708"/>
    <w:next w:val="708"/>
    <w:uiPriority w:val="0"/>
    <w:semiHidden/>
    <w:qFormat/>
    <w:pPr>
      <w:jc w:val="both"/>
      <w:widowControl w:val="off"/>
    </w:pPr>
    <w:rPr>
      <w:rFonts w:ascii="Times New Roman" w:hAnsi="Times New Roman" w:eastAsia="宋体" w:cs="Calibri"/>
      <w:color w:val="000000"/>
    </w:rPr>
  </w:style>
  <w:style w:type="table" w:styleId="962" w:customStyle="1">
    <w:name w:val="Table Normal"/>
    <w:uiPriority w:val="0"/>
    <w:qFormat/>
    <w:tblPr>
      <w:tblCellMar>
        <w:left w:w="0" w:type="dxa"/>
        <w:top w:w="0" w:type="dxa"/>
        <w:right w:w="0" w:type="dxa"/>
        <w:bottom w:w="0" w:type="dxa"/>
      </w:tblCellMar>
    </w:tblPr>
  </w:style>
  <w:style w:type="paragraph" w:styleId="963" w:customStyle="1">
    <w:name w:val="Table Text"/>
    <w:uiPriority w:val="0"/>
    <w:semiHidden/>
    <w:qFormat/>
    <w:pPr>
      <w:jc w:val="left"/>
      <w:widowControl/>
    </w:pPr>
    <w:rPr>
      <w:rFonts w:hint="default" w:ascii="宋体" w:hAnsi="宋体" w:eastAsia="宋体" w:cs="宋体"/>
      <w:color w:val="000000"/>
      <w:sz w:val="16"/>
      <w:szCs w:val="16"/>
      <w:lang w:val="en-US" w:eastAsia="en-US" w:bidi="ar-SA"/>
    </w:rPr>
  </w:style>
  <w:style w:type="paragraph" w:styleId="964"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numbering" w:styleId="12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陶青</cp:lastModifiedBy>
  <cp:revision>7</cp:revision>
  <dcterms:created xsi:type="dcterms:W3CDTF">2025-09-11T06:51:00Z</dcterms:created>
  <dcterms:modified xsi:type="dcterms:W3CDTF">2026-07-10T09:23:53Z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eyJoZGlkIjoiMDVhN2MwZGU3Yzg4YzU2NmE5MThiOWJkMmUyZTJhYmIiLCJ1c2VySWQiOiIxNzk0NzQ0NzQzIn0=</vt:lpwstr>
  </property>
  <property fmtid="{D5CDD505-2E9C-101B-9397-08002B2CF9AE}" pid="3" name="KSOProductBuildVer">
    <vt:lpwstr>2052-12.1.0.26895</vt:lpwstr>
  </property>
  <property fmtid="{D5CDD505-2E9C-101B-9397-08002B2CF9AE}" pid="4" name="ICV">
    <vt:lpwstr>58D3CE2D7F0B49168FB55022BAB756DF_13</vt:lpwstr>
  </property>
</Properties>
</file>