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83"/>
        <w:ind w:firstLine="0"/>
        <w:rPr>
          <w:rFonts w:hint="eastAsia" w:asciiTheme="minorEastAsia" w:hAnsiTheme="minorEastAsia" w:eastAsiaTheme="minorEastAsia" w:cstheme="minorEastAsia"/>
          <w:b/>
          <w:bCs/>
          <w:sz w:val="84"/>
        </w:rPr>
      </w:pPr>
      <w:r>
        <w:rPr>
          <w:rFonts w:hint="eastAsia" w:asciiTheme="minorEastAsia" w:hAnsiTheme="minorEastAsia" w:eastAsiaTheme="minorEastAsia" w:cstheme="minorEastAsia"/>
          <w:b/>
          <w:bCs/>
          <w:sz w:val="84"/>
        </w:rPr>
        <w:t xml:space="preserve"> </w:t>
      </w:r>
      <w:r/>
    </w:p>
    <w:p>
      <w:pPr>
        <w:pStyle w:val="1083"/>
        <w:ind w:firstLine="0"/>
        <w:jc w:val="center"/>
        <w:rPr>
          <w:rFonts w:hint="eastAsia" w:asciiTheme="minorEastAsia" w:hAnsiTheme="minorEastAsia" w:eastAsiaTheme="minorEastAsia" w:cstheme="minorEastAsia"/>
          <w:b/>
          <w:bCs/>
          <w:sz w:val="84"/>
        </w:rPr>
      </w:pPr>
      <w:r>
        <w:rPr>
          <w:rFonts w:hint="eastAsia" w:asciiTheme="minorEastAsia" w:hAnsiTheme="minorEastAsia" w:eastAsiaTheme="minorEastAsia" w:cstheme="minorEastAsia"/>
          <w:b/>
          <w:bCs/>
          <w:sz w:val="84"/>
        </w:rPr>
        <w:t xml:space="preserve">公开招标采购文件</w:t>
      </w:r>
      <w:r/>
    </w:p>
    <w:p>
      <w:pPr>
        <w:pStyle w:val="1083"/>
        <w:ind w:firstLine="0"/>
        <w:rPr>
          <w:rFonts w:hint="eastAsia" w:asciiTheme="minorEastAsia" w:hAnsiTheme="minorEastAsia" w:eastAsiaTheme="minorEastAsia" w:cstheme="minorEastAsia"/>
          <w:b/>
          <w:bCs/>
          <w:sz w:val="32"/>
        </w:rPr>
        <w:outlineLvl w:val="0"/>
      </w:pPr>
      <w:r/>
      <w:bookmarkStart w:id="0" w:name="_Toc20483"/>
      <w:r/>
      <w:r/>
    </w:p>
    <w:p>
      <w:pPr>
        <w:pStyle w:val="1083"/>
        <w:ind w:firstLine="0"/>
        <w:rPr>
          <w:rFonts w:hint="eastAsia" w:asciiTheme="minorEastAsia" w:hAnsiTheme="minorEastAsia" w:eastAsiaTheme="minorEastAsia" w:cstheme="minorEastAsia"/>
          <w:b/>
          <w:bCs/>
          <w:sz w:val="32"/>
        </w:rPr>
        <w:outlineLvl w:val="0"/>
      </w:pPr>
      <w:r>
        <w:rPr>
          <w:rFonts w:hint="eastAsia" w:asciiTheme="minorEastAsia" w:hAnsiTheme="minorEastAsia" w:eastAsiaTheme="minorEastAsia" w:cstheme="minorEastAsia"/>
          <w:b/>
          <w:bCs/>
          <w:sz w:val="32"/>
        </w:rPr>
      </w:r>
      <w:r/>
    </w:p>
    <w:p>
      <w:pPr>
        <w:pStyle w:val="1083"/>
        <w:ind w:firstLine="0"/>
        <w:rPr>
          <w:rFonts w:hint="eastAsia" w:asciiTheme="minorEastAsia" w:hAnsiTheme="minorEastAsia" w:cstheme="minorEastAsia"/>
          <w:b/>
          <w:bCs/>
          <w:color w:val="auto"/>
          <w:sz w:val="32"/>
          <w:highlight w:val="none"/>
        </w:rPr>
        <w:outlineLvl w:val="0"/>
      </w:pPr>
      <w:r>
        <w:rPr>
          <w:rFonts w:hint="eastAsia" w:asciiTheme="minorEastAsia" w:hAnsiTheme="minorEastAsia" w:eastAsiaTheme="minorEastAsia" w:cstheme="minorEastAsia"/>
          <w:b/>
          <w:bCs/>
          <w:color w:val="auto"/>
          <w:sz w:val="32"/>
          <w:highlight w:val="none"/>
        </w:rPr>
        <w:t xml:space="preserve">项目名称：</w:t>
      </w:r>
      <w:bookmarkEnd w:id="0"/>
      <w:r>
        <w:rPr>
          <w:rFonts w:hint="eastAsia"/>
          <w:b/>
          <w:bCs/>
          <w:color w:val="auto"/>
          <w:sz w:val="32"/>
          <w:highlight w:val="none"/>
        </w:rPr>
        <w:t xml:space="preserve">常州市教育局直属单位智慧安防建设设备及安装采购项目</w:t>
      </w:r>
      <w:r/>
    </w:p>
    <w:p>
      <w:pPr>
        <w:rPr>
          <w:rFonts w:hint="eastAsia" w:asciiTheme="minorEastAsia" w:hAnsiTheme="minorEastAsia" w:eastAsiaTheme="minorEastAsia" w:cstheme="minorEastAsia"/>
          <w:b/>
          <w:bCs/>
          <w:sz w:val="32"/>
          <w:szCs w:val="30"/>
        </w:rPr>
      </w:pPr>
      <w:r>
        <w:rPr>
          <w:rFonts w:hint="eastAsia" w:asciiTheme="minorEastAsia" w:hAnsiTheme="minorEastAsia" w:eastAsiaTheme="minorEastAsia" w:cstheme="minorEastAsia"/>
          <w:b/>
          <w:bCs/>
          <w:sz w:val="32"/>
        </w:rPr>
        <w:t xml:space="preserve">项目编号：JSZC-320400-JZCG-G2026-0</w:t>
      </w:r>
      <w:r>
        <w:rPr>
          <w:rFonts w:hint="eastAsia" w:asciiTheme="minorEastAsia" w:hAnsiTheme="minorEastAsia" w:eastAsiaTheme="minorEastAsia" w:cstheme="minorEastAsia"/>
          <w:b/>
          <w:bCs/>
          <w:sz w:val="32"/>
          <w:lang w:val="en-US" w:eastAsia="zh-CN"/>
        </w:rPr>
        <w:t xml:space="preserve">194</w:t>
      </w:r>
      <w:r>
        <w:rPr>
          <w:rFonts w:hint="eastAsia" w:asciiTheme="minorEastAsia" w:hAnsiTheme="minorEastAsia" w:eastAsiaTheme="minorEastAsia" w:cstheme="minorEastAsia"/>
          <w:b/>
          <w:bCs/>
          <w:sz w:val="32"/>
        </w:rPr>
        <w:tab/>
      </w:r>
      <w:r/>
    </w:p>
    <w:p>
      <w:pPr>
        <w:ind w:left="2100"/>
        <w:rPr>
          <w:rFonts w:hint="eastAsia" w:asciiTheme="minorEastAsia" w:hAnsiTheme="minorEastAsia" w:eastAsiaTheme="minorEastAsia" w:cstheme="minorEastAsia"/>
          <w:b/>
          <w:sz w:val="30"/>
          <w:szCs w:val="30"/>
        </w:rPr>
      </w:pPr>
      <w:r>
        <w:rPr>
          <w:rFonts w:hint="eastAsia" w:asciiTheme="minorEastAsia" w:hAnsiTheme="minorEastAsia" w:eastAsiaTheme="minorEastAsia" w:cstheme="minorEastAsia"/>
          <w:b/>
          <w:sz w:val="30"/>
          <w:szCs w:val="30"/>
        </w:rPr>
      </w:r>
      <w:r/>
    </w:p>
    <w:p>
      <w:pPr>
        <w:jc w:val="center"/>
        <w:spacing w:line="360" w:lineRule="auto"/>
        <w:rPr>
          <w:rFonts w:hint="eastAsia" w:asciiTheme="minorEastAsia" w:hAnsiTheme="minorEastAsia" w:eastAsiaTheme="minorEastAsia" w:cstheme="minorEastAsia"/>
          <w:b/>
          <w:sz w:val="30"/>
          <w:szCs w:val="30"/>
        </w:rPr>
      </w:pPr>
      <w:r>
        <w:rPr>
          <w:rFonts w:hint="eastAsia" w:asciiTheme="minorEastAsia" w:hAnsiTheme="minorEastAsia" w:eastAsiaTheme="minorEastAsia" w:cstheme="minorEastAsia"/>
          <w:b/>
          <w:sz w:val="30"/>
          <w:szCs w:val="30"/>
        </w:rPr>
        <w:t xml:space="preserve">（全流程电子化-货物类项目，适用苏采云系统，不专门面向中小企业）</w:t>
      </w:r>
      <w:r/>
    </w:p>
    <w:p>
      <w:pPr>
        <w:pStyle w:val="1083"/>
        <w:ind w:firstLine="0"/>
        <w:spacing w:before="0" w:after="0"/>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1083"/>
        <w:ind w:firstLine="0"/>
        <w:spacing w:before="0" w:after="0"/>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1083"/>
        <w:ind w:firstLine="0"/>
        <w:spacing w:before="0" w:after="0"/>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1083"/>
        <w:ind w:firstLine="0"/>
        <w:spacing w:before="0" w:after="0"/>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1083"/>
        <w:ind w:firstLine="0"/>
        <w:spacing w:before="0" w:after="0"/>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1083"/>
        <w:ind w:firstLine="0"/>
        <w:spacing w:before="0" w:after="0"/>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1083"/>
        <w:ind w:firstLine="0"/>
        <w:jc w:val="center"/>
        <w:rPr>
          <w:rFonts w:hint="eastAsia" w:asciiTheme="minorEastAsia" w:hAnsiTheme="minorEastAsia" w:eastAsiaTheme="minorEastAsia" w:cstheme="minorEastAsia"/>
          <w:b/>
          <w:bCs/>
          <w:sz w:val="32"/>
        </w:rPr>
      </w:pPr>
      <w:r>
        <w:rPr>
          <w:rFonts w:hint="eastAsia" w:asciiTheme="minorEastAsia" w:hAnsiTheme="minorEastAsia" w:eastAsiaTheme="minorEastAsia" w:cstheme="minorEastAsia"/>
          <w:b/>
          <w:bCs/>
          <w:sz w:val="32"/>
        </w:rPr>
        <w:t xml:space="preserve">常州市教育基本建设与装备管理中心</w:t>
      </w:r>
      <w:r/>
    </w:p>
    <w:p>
      <w:pPr>
        <w:pStyle w:val="1083"/>
        <w:ind w:firstLine="0"/>
        <w:jc w:val="center"/>
        <w:rPr>
          <w:rFonts w:hint="eastAsia" w:asciiTheme="minorEastAsia" w:hAnsiTheme="minorEastAsia" w:eastAsiaTheme="minorEastAsia" w:cstheme="minorEastAsia"/>
          <w:b/>
          <w:bCs/>
          <w:sz w:val="32"/>
        </w:rPr>
      </w:pPr>
      <w:r>
        <w:rPr>
          <w:rFonts w:hint="eastAsia" w:asciiTheme="minorEastAsia" w:hAnsiTheme="minorEastAsia" w:eastAsiaTheme="minorEastAsia" w:cstheme="minorEastAsia"/>
          <w:b/>
          <w:bCs/>
          <w:sz w:val="32"/>
        </w:rPr>
        <w:t xml:space="preserve">2026年</w:t>
      </w:r>
      <w:r>
        <w:rPr>
          <w:rFonts w:hint="eastAsia" w:asciiTheme="minorEastAsia" w:hAnsiTheme="minorEastAsia" w:eastAsiaTheme="minorEastAsia" w:cstheme="minorEastAsia"/>
          <w:b/>
          <w:bCs/>
          <w:sz w:val="32"/>
          <w:lang w:val="en-US" w:eastAsia="zh-CN"/>
        </w:rPr>
        <w:t xml:space="preserve">6</w:t>
      </w:r>
      <w:r>
        <w:rPr>
          <w:rFonts w:hint="eastAsia" w:asciiTheme="minorEastAsia" w:hAnsiTheme="minorEastAsia" w:eastAsiaTheme="minorEastAsia" w:cstheme="minorEastAsia"/>
          <w:b/>
          <w:bCs/>
          <w:sz w:val="32"/>
        </w:rPr>
        <w:t xml:space="preserve">月</w:t>
      </w:r>
      <w:r/>
    </w:p>
    <w:p>
      <w:pPr>
        <w:pStyle w:val="1083"/>
        <w:ind w:firstLine="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rPr>
        <w:t xml:space="preserve">                        </w:t>
      </w:r>
      <w:r/>
    </w:p>
    <w:p>
      <w:pPr>
        <w:pStyle w:val="1083"/>
        <w:ind w:firstLine="0"/>
        <w:rPr>
          <w:rFonts w:hint="eastAsia" w:asciiTheme="minorEastAsia" w:hAnsiTheme="minorEastAsia" w:eastAsiaTheme="minorEastAsia" w:cstheme="minorEastAsia"/>
          <w:u w:val="single"/>
        </w:rPr>
      </w:pPr>
      <w:r>
        <w:rPr>
          <w:rFonts w:hint="eastAsia" w:asciiTheme="minorEastAsia" w:hAnsiTheme="minorEastAsia" w:eastAsiaTheme="minorEastAsia" w:cstheme="minorEastAsia"/>
          <w:u w:val="single"/>
        </w:rPr>
      </w:r>
      <w:r>
        <w:rPr>
          <w:rFonts w:hint="eastAsia" w:asciiTheme="minorEastAsia" w:hAnsiTheme="minorEastAsia" w:eastAsiaTheme="minorEastAsia" w:cstheme="minorEastAsia"/>
          <w:u w:val="single"/>
        </w:rPr>
      </w:r>
      <w:r/>
    </w:p>
    <w:p>
      <w:pPr>
        <w:pStyle w:val="1083"/>
        <w:ind w:firstLine="0"/>
        <w:rPr>
          <w:rFonts w:hint="eastAsia" w:asciiTheme="minorEastAsia" w:hAnsiTheme="minorEastAsia" w:eastAsiaTheme="minorEastAsia" w:cstheme="minorEastAsia"/>
          <w:u w:val="single"/>
        </w:rPr>
      </w:pPr>
      <w:r>
        <w:rPr>
          <w:rFonts w:hint="eastAsia" w:asciiTheme="minorEastAsia" w:hAnsiTheme="minorEastAsia" w:eastAsiaTheme="minorEastAsia" w:cstheme="minorEastAsia"/>
          <w:highlight w:val="none"/>
        </w:rPr>
      </w:r>
      <w:r>
        <w:rPr>
          <w:rFonts w:hint="eastAsia" w:asciiTheme="minorEastAsia" w:hAnsiTheme="minorEastAsia" w:eastAsiaTheme="minorEastAsia" w:cstheme="minorEastAsia"/>
          <w:highlight w:val="none"/>
        </w:rPr>
      </w:r>
      <w:r/>
    </w:p>
    <w:p>
      <w:pPr>
        <w:jc w:val="center"/>
        <w:spacing w:line="480" w:lineRule="auto"/>
        <w:rPr>
          <w:rFonts w:hint="eastAsia" w:asciiTheme="minorEastAsia" w:hAnsiTheme="minorEastAsia" w:eastAsiaTheme="minorEastAsia" w:cstheme="minorEastAsia"/>
          <w:b/>
          <w:sz w:val="44"/>
        </w:rPr>
        <w:outlineLvl w:val="0"/>
      </w:pPr>
      <w:r/>
      <w:bookmarkStart w:id="1" w:name="_Toc120614210"/>
      <w:r/>
      <w:bookmarkStart w:id="2" w:name="_Toc479757206"/>
      <w:r/>
      <w:bookmarkStart w:id="3" w:name="_Toc20823272"/>
      <w:r/>
      <w:bookmarkStart w:id="4" w:name="_Toc16938516"/>
      <w:r/>
      <w:bookmarkStart w:id="5" w:name="_Toc513029200"/>
      <w:r/>
      <w:bookmarkStart w:id="6" w:name="_Toc523127445"/>
      <w:r>
        <w:rPr>
          <w:rFonts w:hint="eastAsia" w:asciiTheme="minorEastAsia" w:hAnsiTheme="minorEastAsia" w:eastAsiaTheme="minorEastAsia" w:cstheme="minorEastAsia"/>
        </w:rPr>
        <w:t xml:space="preserve"> </w:t>
      </w:r>
      <w:bookmarkStart w:id="7" w:name="_Toc6626"/>
      <w:r>
        <w:rPr>
          <w:rFonts w:hint="eastAsia" w:asciiTheme="minorEastAsia" w:hAnsiTheme="minorEastAsia" w:eastAsiaTheme="minorEastAsia" w:cstheme="minorEastAsia"/>
          <w:b/>
          <w:sz w:val="44"/>
        </w:rPr>
        <w:t xml:space="preserve">总  目  录</w:t>
      </w:r>
      <w:bookmarkEnd w:id="7"/>
      <w:r/>
      <w:r/>
    </w:p>
    <w:p>
      <w:pPr>
        <w:pStyle w:val="1112"/>
        <w:spacing w:line="360" w:lineRule="auto"/>
        <w:tabs>
          <w:tab w:val="right" w:pos="8306" w:leader="dot"/>
        </w:tabs>
        <w:rPr>
          <w:rFonts w:hint="eastAsia" w:asciiTheme="minorEastAsia" w:hAnsiTheme="minorEastAsia" w:eastAsiaTheme="minorEastAsia" w:cstheme="minorEastAsia"/>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TOC \o "1-1" \h \u </w:instrText>
      </w:r>
      <w:r>
        <w:rPr>
          <w:rFonts w:hint="eastAsia" w:asciiTheme="minorEastAsia" w:hAnsiTheme="minorEastAsia" w:eastAsiaTheme="minorEastAsia" w:cstheme="minorEastAsia"/>
        </w:rPr>
        <w:fldChar w:fldCharType="separate"/>
      </w:r>
      <w:r/>
    </w:p>
    <w:p>
      <w:pPr>
        <w:pStyle w:val="1112"/>
        <w:spacing w:line="360" w:lineRule="auto"/>
        <w:tabs>
          <w:tab w:val="right" w:pos="8306" w:leader="dot"/>
        </w:tabs>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1112"/>
        <w:spacing w:line="360" w:lineRule="auto"/>
        <w:tabs>
          <w:tab w:val="right" w:pos="8306" w:leader="dot"/>
        </w:tabs>
        <w:rPr>
          <w:rFonts w:hint="eastAsia" w:asciiTheme="minorEastAsia" w:hAnsiTheme="minorEastAsia" w:eastAsiaTheme="minorEastAsia" w:cstheme="minorEastAsia"/>
          <w:sz w:val="36"/>
          <w:szCs w:val="36"/>
        </w:rPr>
      </w:pPr>
      <w:r>
        <w:fldChar w:fldCharType="begin"/>
      </w:r>
      <w:r>
        <w:instrText xml:space="preserve"> HYPERLINK \l "_Toc12340" </w:instrText>
      </w:r>
      <w:r>
        <w:fldChar w:fldCharType="separate"/>
      </w:r>
      <w:r>
        <w:rPr>
          <w:rFonts w:hint="eastAsia" w:asciiTheme="minorEastAsia" w:hAnsiTheme="minorEastAsia" w:eastAsiaTheme="minorEastAsia" w:cstheme="minorEastAsia"/>
          <w:sz w:val="36"/>
          <w:szCs w:val="36"/>
        </w:rPr>
        <w:t xml:space="preserve">第一章  投标邀请</w:t>
      </w:r>
      <w:r>
        <w:rPr>
          <w:rFonts w:hint="eastAsia" w:asciiTheme="minorEastAsia" w:hAnsiTheme="minorEastAsia" w:eastAsiaTheme="minorEastAsia" w:cstheme="minorEastAsia"/>
          <w:sz w:val="36"/>
          <w:szCs w:val="36"/>
        </w:rPr>
        <w:tab/>
      </w:r>
      <w:r>
        <w:rPr>
          <w:rFonts w:hint="eastAsia" w:asciiTheme="minorEastAsia" w:hAnsiTheme="minorEastAsia" w:eastAsiaTheme="minorEastAsia" w:cstheme="minorEastAsia"/>
          <w:sz w:val="36"/>
          <w:szCs w:val="36"/>
        </w:rPr>
        <w:fldChar w:fldCharType="begin"/>
      </w:r>
      <w:r>
        <w:rPr>
          <w:rFonts w:hint="eastAsia" w:asciiTheme="minorEastAsia" w:hAnsiTheme="minorEastAsia" w:eastAsiaTheme="minorEastAsia" w:cstheme="minorEastAsia"/>
          <w:sz w:val="36"/>
          <w:szCs w:val="36"/>
        </w:rPr>
        <w:instrText xml:space="preserve"> PAGEREF _Toc12340 \h </w:instrText>
      </w:r>
      <w:r>
        <w:rPr>
          <w:rFonts w:hint="eastAsia" w:asciiTheme="minorEastAsia" w:hAnsiTheme="minorEastAsia" w:eastAsiaTheme="minorEastAsia" w:cstheme="minorEastAsia"/>
          <w:sz w:val="36"/>
          <w:szCs w:val="36"/>
        </w:rPr>
        <w:fldChar w:fldCharType="separate"/>
      </w:r>
      <w:r>
        <w:rPr>
          <w:rFonts w:hint="eastAsia" w:asciiTheme="minorEastAsia" w:hAnsiTheme="minorEastAsia" w:eastAsiaTheme="minorEastAsia" w:cstheme="minorEastAsia"/>
          <w:sz w:val="36"/>
          <w:szCs w:val="36"/>
        </w:rPr>
        <w:t xml:space="preserve">3</w:t>
      </w:r>
      <w:r>
        <w:rPr>
          <w:rFonts w:hint="eastAsia" w:asciiTheme="minorEastAsia" w:hAnsiTheme="minorEastAsia" w:eastAsiaTheme="minorEastAsia" w:cstheme="minorEastAsia"/>
          <w:sz w:val="36"/>
          <w:szCs w:val="36"/>
        </w:rPr>
        <w:fldChar w:fldCharType="end"/>
      </w:r>
      <w:r>
        <w:rPr>
          <w:rFonts w:hint="eastAsia" w:asciiTheme="minorEastAsia" w:hAnsiTheme="minorEastAsia" w:eastAsiaTheme="minorEastAsia" w:cstheme="minorEastAsia"/>
          <w:sz w:val="36"/>
          <w:szCs w:val="36"/>
        </w:rPr>
        <w:fldChar w:fldCharType="end"/>
      </w:r>
      <w:r/>
    </w:p>
    <w:p>
      <w:pPr>
        <w:pStyle w:val="1112"/>
        <w:spacing w:line="360" w:lineRule="auto"/>
        <w:tabs>
          <w:tab w:val="right" w:pos="8306" w:leader="dot"/>
        </w:tabs>
        <w:rPr>
          <w:rFonts w:hint="eastAsia" w:asciiTheme="minorEastAsia" w:hAnsiTheme="minorEastAsia" w:eastAsiaTheme="minorEastAsia" w:cstheme="minorEastAsia"/>
          <w:sz w:val="36"/>
          <w:szCs w:val="36"/>
        </w:rPr>
      </w:pPr>
      <w:r>
        <w:fldChar w:fldCharType="begin"/>
      </w:r>
      <w:r>
        <w:instrText xml:space="preserve"> HYPERLINK \l "_Toc6429" </w:instrText>
      </w:r>
      <w:r>
        <w:fldChar w:fldCharType="separate"/>
      </w:r>
      <w:r>
        <w:rPr>
          <w:rFonts w:hint="eastAsia" w:asciiTheme="minorEastAsia" w:hAnsiTheme="minorEastAsia" w:eastAsiaTheme="minorEastAsia" w:cstheme="minorEastAsia"/>
          <w:sz w:val="36"/>
          <w:szCs w:val="36"/>
        </w:rPr>
        <w:t xml:space="preserve">第二章  投标人须知</w:t>
      </w:r>
      <w:r>
        <w:rPr>
          <w:rFonts w:hint="eastAsia" w:asciiTheme="minorEastAsia" w:hAnsiTheme="minorEastAsia" w:eastAsiaTheme="minorEastAsia" w:cstheme="minorEastAsia"/>
          <w:sz w:val="36"/>
          <w:szCs w:val="36"/>
        </w:rPr>
        <w:tab/>
      </w:r>
      <w:r>
        <w:rPr>
          <w:rFonts w:hint="eastAsia" w:asciiTheme="minorEastAsia" w:hAnsiTheme="minorEastAsia" w:eastAsiaTheme="minorEastAsia" w:cstheme="minorEastAsia"/>
          <w:sz w:val="36"/>
          <w:szCs w:val="36"/>
        </w:rPr>
        <w:fldChar w:fldCharType="begin"/>
      </w:r>
      <w:r>
        <w:rPr>
          <w:rFonts w:hint="eastAsia" w:asciiTheme="minorEastAsia" w:hAnsiTheme="minorEastAsia" w:eastAsiaTheme="minorEastAsia" w:cstheme="minorEastAsia"/>
          <w:sz w:val="36"/>
          <w:szCs w:val="36"/>
        </w:rPr>
        <w:instrText xml:space="preserve"> PAGEREF _Toc6429 \h </w:instrText>
      </w:r>
      <w:r>
        <w:rPr>
          <w:rFonts w:hint="eastAsia" w:asciiTheme="minorEastAsia" w:hAnsiTheme="minorEastAsia" w:eastAsiaTheme="minorEastAsia" w:cstheme="minorEastAsia"/>
          <w:sz w:val="36"/>
          <w:szCs w:val="36"/>
        </w:rPr>
        <w:fldChar w:fldCharType="separate"/>
      </w:r>
      <w:r>
        <w:rPr>
          <w:rFonts w:hint="eastAsia" w:asciiTheme="minorEastAsia" w:hAnsiTheme="minorEastAsia" w:eastAsiaTheme="minorEastAsia" w:cstheme="minorEastAsia"/>
          <w:sz w:val="36"/>
          <w:szCs w:val="36"/>
        </w:rPr>
        <w:t xml:space="preserve">6</w:t>
      </w:r>
      <w:r>
        <w:rPr>
          <w:rFonts w:hint="eastAsia" w:asciiTheme="minorEastAsia" w:hAnsiTheme="minorEastAsia" w:eastAsiaTheme="minorEastAsia" w:cstheme="minorEastAsia"/>
          <w:sz w:val="36"/>
          <w:szCs w:val="36"/>
        </w:rPr>
        <w:fldChar w:fldCharType="end"/>
      </w:r>
      <w:r>
        <w:rPr>
          <w:rFonts w:hint="eastAsia" w:asciiTheme="minorEastAsia" w:hAnsiTheme="minorEastAsia" w:eastAsiaTheme="minorEastAsia" w:cstheme="minorEastAsia"/>
          <w:sz w:val="36"/>
          <w:szCs w:val="36"/>
        </w:rPr>
        <w:fldChar w:fldCharType="end"/>
      </w:r>
      <w:r/>
    </w:p>
    <w:p>
      <w:pPr>
        <w:pStyle w:val="1112"/>
        <w:spacing w:line="360" w:lineRule="auto"/>
        <w:tabs>
          <w:tab w:val="right" w:pos="8306" w:leader="dot"/>
        </w:tabs>
        <w:rPr>
          <w:rFonts w:hint="eastAsia" w:asciiTheme="minorEastAsia" w:hAnsiTheme="minorEastAsia" w:eastAsiaTheme="minorEastAsia" w:cstheme="minorEastAsia"/>
          <w:sz w:val="36"/>
          <w:szCs w:val="36"/>
        </w:rPr>
      </w:pPr>
      <w:r>
        <w:fldChar w:fldCharType="begin"/>
      </w:r>
      <w:r>
        <w:instrText xml:space="preserve"> HYPERLINK \l "_Toc6505" </w:instrText>
      </w:r>
      <w:r>
        <w:fldChar w:fldCharType="separate"/>
      </w:r>
      <w:r>
        <w:rPr>
          <w:rFonts w:hint="eastAsia" w:asciiTheme="minorEastAsia" w:hAnsiTheme="minorEastAsia" w:eastAsiaTheme="minorEastAsia" w:cstheme="minorEastAsia"/>
          <w:bCs/>
          <w:sz w:val="36"/>
          <w:szCs w:val="36"/>
        </w:rPr>
        <w:t xml:space="preserve">第三章  合同文本</w:t>
      </w:r>
      <w:r>
        <w:rPr>
          <w:rFonts w:hint="eastAsia" w:asciiTheme="minorEastAsia" w:hAnsiTheme="minorEastAsia" w:eastAsiaTheme="minorEastAsia" w:cstheme="minorEastAsia"/>
          <w:sz w:val="36"/>
          <w:szCs w:val="36"/>
        </w:rPr>
        <w:tab/>
      </w:r>
      <w:r>
        <w:rPr>
          <w:rFonts w:hint="eastAsia" w:asciiTheme="minorEastAsia" w:hAnsiTheme="minorEastAsia" w:eastAsiaTheme="minorEastAsia" w:cstheme="minorEastAsia"/>
          <w:sz w:val="36"/>
          <w:szCs w:val="36"/>
        </w:rPr>
        <w:fldChar w:fldCharType="begin"/>
      </w:r>
      <w:r>
        <w:rPr>
          <w:rFonts w:hint="eastAsia" w:asciiTheme="minorEastAsia" w:hAnsiTheme="minorEastAsia" w:eastAsiaTheme="minorEastAsia" w:cstheme="minorEastAsia"/>
          <w:sz w:val="36"/>
          <w:szCs w:val="36"/>
        </w:rPr>
        <w:instrText xml:space="preserve"> PAGEREF _Toc6505 \h </w:instrText>
      </w:r>
      <w:r>
        <w:rPr>
          <w:rFonts w:hint="eastAsia" w:asciiTheme="minorEastAsia" w:hAnsiTheme="minorEastAsia" w:eastAsiaTheme="minorEastAsia" w:cstheme="minorEastAsia"/>
          <w:sz w:val="36"/>
          <w:szCs w:val="36"/>
        </w:rPr>
        <w:fldChar w:fldCharType="separate"/>
      </w:r>
      <w:r>
        <w:rPr>
          <w:rFonts w:hint="eastAsia" w:asciiTheme="minorEastAsia" w:hAnsiTheme="minorEastAsia" w:eastAsiaTheme="minorEastAsia" w:cstheme="minorEastAsia"/>
          <w:sz w:val="36"/>
          <w:szCs w:val="36"/>
        </w:rPr>
        <w:t xml:space="preserve">23</w:t>
      </w:r>
      <w:r>
        <w:rPr>
          <w:rFonts w:hint="eastAsia" w:asciiTheme="minorEastAsia" w:hAnsiTheme="minorEastAsia" w:eastAsiaTheme="minorEastAsia" w:cstheme="minorEastAsia"/>
          <w:sz w:val="36"/>
          <w:szCs w:val="36"/>
        </w:rPr>
        <w:fldChar w:fldCharType="end"/>
      </w:r>
      <w:r>
        <w:rPr>
          <w:rFonts w:hint="eastAsia" w:asciiTheme="minorEastAsia" w:hAnsiTheme="minorEastAsia" w:eastAsiaTheme="minorEastAsia" w:cstheme="minorEastAsia"/>
          <w:sz w:val="36"/>
          <w:szCs w:val="36"/>
        </w:rPr>
        <w:fldChar w:fldCharType="end"/>
      </w:r>
      <w:r/>
    </w:p>
    <w:p>
      <w:pPr>
        <w:pStyle w:val="1112"/>
        <w:spacing w:line="360" w:lineRule="auto"/>
        <w:tabs>
          <w:tab w:val="right" w:pos="8306" w:leader="dot"/>
        </w:tabs>
        <w:rPr>
          <w:rFonts w:hint="eastAsia" w:asciiTheme="minorEastAsia" w:hAnsiTheme="minorEastAsia" w:eastAsiaTheme="minorEastAsia" w:cstheme="minorEastAsia"/>
          <w:sz w:val="36"/>
          <w:szCs w:val="36"/>
        </w:rPr>
      </w:pPr>
      <w:r>
        <w:fldChar w:fldCharType="begin"/>
      </w:r>
      <w:r>
        <w:instrText xml:space="preserve"> HYPERLINK \l "_Toc17950" </w:instrText>
      </w:r>
      <w:r>
        <w:fldChar w:fldCharType="separate"/>
      </w:r>
      <w:r>
        <w:rPr>
          <w:rFonts w:hint="eastAsia" w:asciiTheme="minorEastAsia" w:hAnsiTheme="minorEastAsia" w:eastAsiaTheme="minorEastAsia" w:cstheme="minorEastAsia"/>
          <w:bCs/>
          <w:sz w:val="36"/>
          <w:szCs w:val="36"/>
        </w:rPr>
        <w:t xml:space="preserve">第四章  采购需求</w:t>
      </w:r>
      <w:r>
        <w:rPr>
          <w:rFonts w:hint="eastAsia" w:asciiTheme="minorEastAsia" w:hAnsiTheme="minorEastAsia" w:eastAsiaTheme="minorEastAsia" w:cstheme="minorEastAsia"/>
          <w:sz w:val="36"/>
          <w:szCs w:val="36"/>
        </w:rPr>
        <w:tab/>
      </w:r>
      <w:r>
        <w:rPr>
          <w:rFonts w:hint="eastAsia" w:asciiTheme="minorEastAsia" w:hAnsiTheme="minorEastAsia" w:eastAsiaTheme="minorEastAsia" w:cstheme="minorEastAsia"/>
          <w:sz w:val="36"/>
          <w:szCs w:val="36"/>
        </w:rPr>
        <w:fldChar w:fldCharType="end"/>
      </w:r>
      <w:r>
        <w:rPr>
          <w:rFonts w:hint="eastAsia" w:asciiTheme="minorEastAsia" w:hAnsiTheme="minorEastAsia" w:eastAsiaTheme="minorEastAsia" w:cstheme="minorEastAsia"/>
          <w:sz w:val="36"/>
          <w:szCs w:val="36"/>
        </w:rPr>
        <w:t xml:space="preserve">39</w:t>
      </w:r>
      <w:r/>
    </w:p>
    <w:p>
      <w:pPr>
        <w:pStyle w:val="1112"/>
        <w:spacing w:line="360" w:lineRule="auto"/>
        <w:tabs>
          <w:tab w:val="right" w:pos="8306" w:leader="dot"/>
        </w:tabs>
        <w:rPr>
          <w:rFonts w:hint="eastAsia" w:asciiTheme="minorEastAsia" w:hAnsiTheme="minorEastAsia" w:eastAsiaTheme="minorEastAsia" w:cstheme="minorEastAsia"/>
          <w:sz w:val="36"/>
          <w:szCs w:val="36"/>
        </w:rPr>
      </w:pPr>
      <w:r>
        <w:fldChar w:fldCharType="begin"/>
      </w:r>
      <w:r>
        <w:instrText xml:space="preserve"> HYPERLINK \l "_Toc7880" </w:instrText>
      </w:r>
      <w:r>
        <w:fldChar w:fldCharType="separate"/>
      </w:r>
      <w:r>
        <w:rPr>
          <w:rFonts w:hint="eastAsia" w:asciiTheme="minorEastAsia" w:hAnsiTheme="minorEastAsia" w:eastAsiaTheme="minorEastAsia" w:cstheme="minorEastAsia"/>
          <w:bCs/>
          <w:sz w:val="36"/>
          <w:szCs w:val="36"/>
        </w:rPr>
        <w:t xml:space="preserve">第五章  评标方法与评标标准</w:t>
      </w:r>
      <w:r>
        <w:rPr>
          <w:rFonts w:hint="eastAsia" w:asciiTheme="minorEastAsia" w:hAnsiTheme="minorEastAsia" w:eastAsiaTheme="minorEastAsia" w:cstheme="minorEastAsia"/>
          <w:sz w:val="36"/>
          <w:szCs w:val="36"/>
        </w:rPr>
        <w:tab/>
      </w:r>
      <w:r>
        <w:rPr>
          <w:rFonts w:hint="eastAsia" w:asciiTheme="minorEastAsia" w:hAnsiTheme="minorEastAsia" w:eastAsiaTheme="minorEastAsia" w:cstheme="minorEastAsia"/>
          <w:sz w:val="36"/>
          <w:szCs w:val="36"/>
        </w:rPr>
        <w:fldChar w:fldCharType="end"/>
      </w:r>
      <w:r>
        <w:rPr>
          <w:rFonts w:hint="eastAsia" w:asciiTheme="minorEastAsia" w:hAnsiTheme="minorEastAsia" w:eastAsiaTheme="minorEastAsia" w:cstheme="minorEastAsia"/>
          <w:sz w:val="36"/>
          <w:szCs w:val="36"/>
        </w:rPr>
        <w:t xml:space="preserve">49</w:t>
      </w:r>
      <w:r/>
    </w:p>
    <w:p>
      <w:pPr>
        <w:pStyle w:val="1112"/>
        <w:spacing w:line="360" w:lineRule="auto"/>
        <w:tabs>
          <w:tab w:val="right" w:pos="8306" w:leader="dot"/>
        </w:tabs>
        <w:rPr>
          <w:rFonts w:hint="eastAsia" w:asciiTheme="minorEastAsia" w:hAnsiTheme="minorEastAsia" w:eastAsiaTheme="minorEastAsia" w:cstheme="minorEastAsia"/>
        </w:rPr>
      </w:pPr>
      <w:r>
        <w:fldChar w:fldCharType="begin"/>
      </w:r>
      <w:r>
        <w:instrText xml:space="preserve"> HYPERLINK \l "_Toc3874" </w:instrText>
      </w:r>
      <w:r>
        <w:fldChar w:fldCharType="separate"/>
      </w:r>
      <w:r>
        <w:rPr>
          <w:rFonts w:hint="eastAsia" w:asciiTheme="minorEastAsia" w:hAnsiTheme="minorEastAsia" w:eastAsiaTheme="minorEastAsia" w:cstheme="minorEastAsia"/>
          <w:bCs/>
          <w:sz w:val="36"/>
          <w:szCs w:val="36"/>
        </w:rPr>
        <w:t xml:space="preserve">第六章  投标文件格式</w:t>
      </w:r>
      <w:r>
        <w:rPr>
          <w:rFonts w:hint="eastAsia" w:asciiTheme="minorEastAsia" w:hAnsiTheme="minorEastAsia" w:eastAsiaTheme="minorEastAsia" w:cstheme="minorEastAsia"/>
          <w:sz w:val="36"/>
          <w:szCs w:val="36"/>
        </w:rPr>
        <w:tab/>
      </w:r>
      <w:r>
        <w:rPr>
          <w:rFonts w:hint="eastAsia" w:asciiTheme="minorEastAsia" w:hAnsiTheme="minorEastAsia" w:eastAsiaTheme="minorEastAsia" w:cstheme="minorEastAsia"/>
          <w:sz w:val="36"/>
          <w:szCs w:val="36"/>
        </w:rPr>
        <w:fldChar w:fldCharType="end"/>
      </w:r>
      <w:r>
        <w:rPr>
          <w:rFonts w:hint="eastAsia" w:asciiTheme="minorEastAsia" w:hAnsiTheme="minorEastAsia" w:eastAsiaTheme="minorEastAsia" w:cstheme="minorEastAsia"/>
          <w:sz w:val="36"/>
          <w:szCs w:val="36"/>
        </w:rPr>
        <w:t xml:space="preserve">53</w:t>
      </w:r>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fldChar w:fldCharType="end"/>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998"/>
        <w:rPr>
          <w:rFonts w:hint="eastAsia" w:asciiTheme="minorEastAsia" w:hAnsiTheme="minorEastAsia" w:eastAsiaTheme="minorEastAsia" w:cstheme="minorEastAsia"/>
          <w:bCs/>
          <w:sz w:val="44"/>
          <w:szCs w:val="44"/>
        </w:rPr>
      </w:pPr>
      <w:r/>
      <w:bookmarkStart w:id="8" w:name="_Toc12340"/>
      <w:r>
        <w:rPr>
          <w:rFonts w:hint="eastAsia" w:asciiTheme="minorEastAsia" w:hAnsiTheme="minorEastAsia" w:eastAsiaTheme="minorEastAsia" w:cstheme="minorEastAsia"/>
          <w:sz w:val="44"/>
          <w:szCs w:val="44"/>
        </w:rPr>
        <w:t xml:space="preserve">第一章  </w:t>
      </w:r>
      <w:bookmarkEnd w:id="1"/>
      <w:r>
        <w:rPr>
          <w:rFonts w:hint="eastAsia" w:asciiTheme="minorEastAsia" w:hAnsiTheme="minorEastAsia" w:eastAsiaTheme="minorEastAsia" w:cstheme="minorEastAsia"/>
          <w:sz w:val="44"/>
          <w:szCs w:val="44"/>
        </w:rPr>
        <w:t xml:space="preserve">投标邀请</w:t>
      </w:r>
      <w:bookmarkEnd w:id="8"/>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480"/>
        <w:spacing w:line="360" w:lineRule="auto"/>
        <w:rPr>
          <w:rFonts w:hint="eastAsia" w:asciiTheme="minorEastAsia" w:hAnsiTheme="minorEastAsia" w:eastAsiaTheme="minorEastAsia" w:cstheme="minorEastAsia"/>
          <w:sz w:val="24"/>
          <w:szCs w:val="24"/>
        </w:rPr>
      </w:pPr>
      <w:r>
        <w:rPr>
          <w:rFonts w:hint="eastAsia" w:ascii="宋体" w:hAnsi="宋体"/>
          <w:sz w:val="24"/>
          <w:szCs w:val="24"/>
        </w:rPr>
        <w:t xml:space="preserve">受［常州刘国钧高等职业技术学校</w:t>
      </w:r>
      <w:r>
        <w:rPr>
          <w:rFonts w:hint="eastAsia" w:ascii="宋体" w:hAnsi="宋体"/>
          <w:sz w:val="24"/>
          <w:szCs w:val="24"/>
          <w:lang w:val="en-US" w:eastAsia="zh-CN"/>
        </w:rPr>
        <w:t xml:space="preserve">等</w:t>
      </w:r>
      <w:r>
        <w:rPr>
          <w:rFonts w:hint="eastAsia" w:ascii="宋体" w:hAnsi="宋体"/>
          <w:sz w:val="24"/>
          <w:szCs w:val="24"/>
        </w:rPr>
        <w:t xml:space="preserve">常州</w:t>
      </w:r>
      <w:r>
        <w:rPr>
          <w:rFonts w:hint="eastAsia" w:ascii="宋体" w:hAnsi="宋体"/>
          <w:sz w:val="24"/>
          <w:szCs w:val="24"/>
          <w:lang w:val="en-US" w:eastAsia="zh-CN"/>
        </w:rPr>
        <w:t xml:space="preserve">市教育局直属35个单位</w:t>
      </w:r>
      <w:r>
        <w:rPr>
          <w:rFonts w:hint="eastAsia" w:ascii="宋体" w:hAnsi="宋体"/>
          <w:sz w:val="24"/>
          <w:szCs w:val="24"/>
        </w:rPr>
        <w:t xml:space="preserve">］的</w:t>
      </w:r>
      <w:r>
        <w:rPr>
          <w:rFonts w:hint="eastAsia" w:ascii="宋体" w:hAnsi="宋体"/>
          <w:sz w:val="24"/>
          <w:szCs w:val="24"/>
          <w:lang w:val="en-US" w:eastAsia="zh-CN"/>
        </w:rPr>
        <w:t xml:space="preserve">共同</w:t>
      </w:r>
      <w:r>
        <w:rPr>
          <w:rFonts w:hint="eastAsia" w:ascii="宋体" w:hAnsi="宋体"/>
          <w:sz w:val="24"/>
          <w:szCs w:val="24"/>
        </w:rPr>
        <w:t xml:space="preserve">委托，常州市教育基本建设与装备管理中心（采购代理机构）就［常州市教育局直属单位智慧安防建设设备及安装采购项目］(项目编号：JSZC-320400-JZCG-G2026-0</w:t>
      </w:r>
      <w:r>
        <w:rPr>
          <w:rFonts w:hint="eastAsia" w:ascii="宋体" w:hAnsi="宋体"/>
          <w:sz w:val="24"/>
          <w:szCs w:val="24"/>
          <w:lang w:val="en-US" w:eastAsia="zh-CN"/>
        </w:rPr>
        <w:t xml:space="preserve">194</w:t>
      </w:r>
      <w:r>
        <w:rPr>
          <w:rFonts w:hint="eastAsia" w:ascii="宋体" w:hAnsi="宋体"/>
          <w:sz w:val="24"/>
          <w:szCs w:val="24"/>
        </w:rPr>
        <w:t xml:space="preserve">)项目进行公开招标采购，欢迎符合条件的供应商投标</w:t>
      </w:r>
      <w:r>
        <w:rPr>
          <w:rFonts w:hint="eastAsia" w:asciiTheme="minorEastAsia" w:hAnsiTheme="minorEastAsia" w:eastAsiaTheme="minorEastAsia" w:cstheme="minorEastAsia"/>
          <w:sz w:val="24"/>
          <w:szCs w:val="24"/>
        </w:rPr>
        <w:t xml:space="preserve">。</w:t>
      </w:r>
      <w:r/>
    </w:p>
    <w:p>
      <w:pPr>
        <w:ind w:firstLine="480"/>
        <w:spacing w:line="360" w:lineRule="auto"/>
        <w:rPr>
          <w:rFonts w:hint="eastAsia" w:asciiTheme="minorEastAsia" w:hAnsiTheme="minorEastAsia" w:eastAsiaTheme="minorEastAsia" w:cstheme="minorEastAsia"/>
          <w:sz w:val="24"/>
          <w:szCs w:val="24"/>
        </w:rPr>
        <w:pBdr>
          <w:top w:val="single" w:color="auto" w:sz="4" w:space="1"/>
          <w:left w:val="single" w:color="auto" w:sz="4" w:space="4"/>
          <w:bottom w:val="single" w:color="auto" w:sz="4" w:space="1"/>
          <w:right w:val="single" w:color="auto" w:sz="4" w:space="4"/>
        </w:pBdr>
      </w:pPr>
      <w:r>
        <w:rPr>
          <w:rFonts w:hint="eastAsia" w:asciiTheme="minorEastAsia" w:hAnsiTheme="minorEastAsia" w:eastAsiaTheme="minorEastAsia" w:cstheme="minorEastAsia"/>
          <w:sz w:val="24"/>
          <w:szCs w:val="24"/>
        </w:rPr>
        <w:t xml:space="preserve">项目概况</w:t>
      </w:r>
      <w:r/>
    </w:p>
    <w:p>
      <w:pPr>
        <w:ind w:firstLine="480"/>
        <w:spacing w:line="360" w:lineRule="auto"/>
        <w:rPr>
          <w:rFonts w:hint="eastAsia" w:asciiTheme="minorEastAsia" w:hAnsiTheme="minorEastAsia" w:eastAsiaTheme="minorEastAsia" w:cstheme="minorEastAsia"/>
          <w:sz w:val="24"/>
          <w:szCs w:val="24"/>
          <w:highlight w:val="none"/>
        </w:rPr>
        <w:pBdr>
          <w:top w:val="single" w:color="auto" w:sz="4" w:space="1"/>
          <w:left w:val="single" w:color="auto" w:sz="4" w:space="4"/>
          <w:bottom w:val="single" w:color="auto" w:sz="4" w:space="1"/>
          <w:right w:val="single" w:color="auto" w:sz="4" w:space="4"/>
        </w:pBdr>
      </w:pPr>
      <w:r>
        <w:rPr>
          <w:rFonts w:hint="eastAsia" w:asciiTheme="minorEastAsia" w:hAnsiTheme="minorEastAsia" w:eastAsiaTheme="minorEastAsia" w:cstheme="minorEastAsia"/>
          <w:sz w:val="24"/>
          <w:szCs w:val="24"/>
          <w:highlight w:val="none"/>
          <w:u w:val="single"/>
        </w:rPr>
        <w:t xml:space="preserve"> 常州市教育局直属单位智慧安防建设设备及安装采购项目</w:t>
      </w:r>
      <w:r>
        <w:rPr>
          <w:rFonts w:hint="eastAsia" w:asciiTheme="minorEastAsia" w:hAnsiTheme="minorEastAsia" w:eastAsiaTheme="minorEastAsia" w:cstheme="minorEastAsia"/>
          <w:sz w:val="24"/>
          <w:szCs w:val="24"/>
          <w:highlight w:val="none"/>
        </w:rPr>
        <w:t xml:space="preserve">公开招标项目的潜在供应商可在</w:t>
      </w:r>
      <w:r>
        <w:rPr>
          <w:rFonts w:hint="eastAsia" w:asciiTheme="minorEastAsia" w:hAnsiTheme="minorEastAsia" w:eastAsiaTheme="minorEastAsia" w:cstheme="minorEastAsia"/>
          <w:sz w:val="24"/>
          <w:szCs w:val="24"/>
          <w:highlight w:val="none"/>
          <w:u w:val="single"/>
        </w:rPr>
        <w:t xml:space="preserve">“江苏政府采购网、常州市政府采购网”自行免费下载采购</w:t>
      </w:r>
      <w:r>
        <w:rPr>
          <w:rFonts w:hint="eastAsia" w:asciiTheme="minorEastAsia" w:hAnsiTheme="minorEastAsia" w:eastAsiaTheme="minorEastAsia" w:cstheme="minorEastAsia"/>
          <w:sz w:val="24"/>
          <w:szCs w:val="24"/>
          <w:highlight w:val="none"/>
        </w:rPr>
        <w:t xml:space="preserve">文件，并于</w:t>
      </w:r>
      <w:r>
        <w:rPr>
          <w:rFonts w:hint="eastAsia" w:asciiTheme="minorEastAsia" w:hAnsiTheme="minorEastAsia" w:eastAsiaTheme="minorEastAsia" w:cstheme="minorEastAsia"/>
          <w:sz w:val="24"/>
          <w:szCs w:val="24"/>
          <w:highlight w:val="none"/>
          <w:u w:val="single"/>
        </w:rPr>
        <w:t xml:space="preserve">  2026  </w:t>
      </w:r>
      <w:r>
        <w:rPr>
          <w:rFonts w:hint="eastAsia" w:asciiTheme="minorEastAsia" w:hAnsiTheme="minorEastAsia" w:eastAsiaTheme="minorEastAsia" w:cstheme="minorEastAsia"/>
          <w:bCs/>
          <w:sz w:val="24"/>
          <w:szCs w:val="24"/>
          <w:highlight w:val="none"/>
          <w:u w:val="single"/>
        </w:rPr>
        <w:t xml:space="preserve">年 </w:t>
      </w:r>
      <w:r>
        <w:rPr>
          <w:rFonts w:hint="eastAsia" w:asciiTheme="minorEastAsia" w:hAnsiTheme="minorEastAsia" w:eastAsiaTheme="minorEastAsia" w:cstheme="minorEastAsia"/>
          <w:bCs/>
          <w:sz w:val="24"/>
          <w:szCs w:val="24"/>
          <w:highlight w:val="none"/>
          <w:u w:val="single"/>
          <w:lang w:val="en-US" w:eastAsia="zh-CN"/>
        </w:rPr>
        <w:t xml:space="preserve">7</w:t>
      </w:r>
      <w:r>
        <w:rPr>
          <w:rFonts w:hint="eastAsia" w:asciiTheme="minorEastAsia" w:hAnsiTheme="minorEastAsia" w:eastAsiaTheme="minorEastAsia" w:cstheme="minorEastAsia"/>
          <w:bCs/>
          <w:sz w:val="24"/>
          <w:szCs w:val="24"/>
          <w:highlight w:val="none"/>
          <w:u w:val="single"/>
        </w:rPr>
        <w:t xml:space="preserve">月</w:t>
      </w:r>
      <w:r>
        <w:rPr>
          <w:rFonts w:hint="eastAsia" w:asciiTheme="minorEastAsia" w:hAnsiTheme="minorEastAsia" w:eastAsiaTheme="minorEastAsia" w:cstheme="minorEastAsia"/>
          <w:bCs/>
          <w:sz w:val="24"/>
          <w:szCs w:val="24"/>
          <w:highlight w:val="none"/>
          <w:u w:val="single"/>
          <w:lang w:val="en-US" w:eastAsia="zh-CN"/>
        </w:rPr>
        <w:t xml:space="preserve">29</w:t>
      </w:r>
      <w:r>
        <w:rPr>
          <w:rFonts w:hint="eastAsia" w:asciiTheme="minorEastAsia" w:hAnsiTheme="minorEastAsia" w:eastAsiaTheme="minorEastAsia" w:cstheme="minorEastAsia"/>
          <w:bCs/>
          <w:sz w:val="24"/>
          <w:szCs w:val="24"/>
          <w:highlight w:val="none"/>
          <w:u w:val="single"/>
        </w:rPr>
        <w:t xml:space="preserve">日 </w:t>
      </w:r>
      <w:r>
        <w:rPr>
          <w:rFonts w:hint="eastAsia" w:asciiTheme="minorEastAsia" w:hAnsiTheme="minorEastAsia" w:eastAsiaTheme="minorEastAsia" w:cstheme="minorEastAsia"/>
          <w:bCs/>
          <w:sz w:val="24"/>
          <w:szCs w:val="24"/>
          <w:highlight w:val="none"/>
          <w:u w:val="single"/>
          <w:lang w:val="en-US" w:eastAsia="zh-CN"/>
        </w:rPr>
        <w:t xml:space="preserve">9</w:t>
      </w:r>
      <w:r>
        <w:rPr>
          <w:rFonts w:hint="eastAsia" w:asciiTheme="minorEastAsia" w:hAnsiTheme="minorEastAsia" w:eastAsiaTheme="minorEastAsia" w:cstheme="minorEastAsia"/>
          <w:bCs/>
          <w:sz w:val="24"/>
          <w:szCs w:val="24"/>
          <w:highlight w:val="none"/>
          <w:u w:val="single"/>
        </w:rPr>
        <w:t xml:space="preserve">  点 </w:t>
      </w:r>
      <w:r>
        <w:rPr>
          <w:rFonts w:hint="eastAsia" w:asciiTheme="minorEastAsia" w:hAnsiTheme="minorEastAsia" w:eastAsiaTheme="minorEastAsia" w:cstheme="minorEastAsia"/>
          <w:bCs/>
          <w:sz w:val="24"/>
          <w:szCs w:val="24"/>
          <w:highlight w:val="none"/>
          <w:u w:val="single"/>
          <w:lang w:val="en-US" w:eastAsia="zh-CN"/>
        </w:rPr>
        <w:t xml:space="preserve">3</w:t>
      </w:r>
      <w:r>
        <w:rPr>
          <w:rFonts w:hint="eastAsia" w:asciiTheme="minorEastAsia" w:hAnsiTheme="minorEastAsia" w:eastAsiaTheme="minorEastAsia" w:cstheme="minorEastAsia"/>
          <w:bCs/>
          <w:sz w:val="24"/>
          <w:szCs w:val="24"/>
          <w:highlight w:val="none"/>
          <w:u w:val="single"/>
        </w:rPr>
        <w:t xml:space="preserve">0 分（</w:t>
      </w:r>
      <w:r>
        <w:rPr>
          <w:rFonts w:hint="eastAsia" w:asciiTheme="minorEastAsia" w:hAnsiTheme="minorEastAsia" w:eastAsiaTheme="minorEastAsia" w:cstheme="minorEastAsia"/>
          <w:bCs/>
          <w:sz w:val="24"/>
          <w:szCs w:val="24"/>
          <w:highlight w:val="none"/>
        </w:rPr>
        <w:t xml:space="preserve">北京时间）前递交投标文件</w:t>
      </w:r>
      <w:r>
        <w:rPr>
          <w:rFonts w:hint="eastAsia" w:asciiTheme="minorEastAsia" w:hAnsiTheme="minorEastAsia" w:eastAsiaTheme="minorEastAsia" w:cstheme="minorEastAsia"/>
          <w:sz w:val="24"/>
          <w:szCs w:val="24"/>
          <w:highlight w:val="none"/>
        </w:rPr>
        <w:t xml:space="preserve">。</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004"/>
        <w:ind w:firstLine="498"/>
        <w:spacing w:before="156" w:after="156" w:line="360" w:lineRule="auto"/>
        <w:rPr>
          <w:rFonts w:hint="eastAsia" w:asciiTheme="minorEastAsia" w:hAnsiTheme="minorEastAsia" w:eastAsiaTheme="minorEastAsia" w:cstheme="minorEastAsia"/>
        </w:rPr>
      </w:pPr>
      <w:r/>
      <w:bookmarkStart w:id="9" w:name="_Toc35393621"/>
      <w:r/>
      <w:bookmarkStart w:id="10" w:name="_Toc38985263"/>
      <w:r/>
      <w:bookmarkStart w:id="11" w:name="_Toc35393790"/>
      <w:r/>
      <w:bookmarkStart w:id="12" w:name="_Toc28359002"/>
      <w:r/>
      <w:bookmarkStart w:id="13" w:name="_Toc28359079"/>
      <w:r/>
      <w:bookmarkStart w:id="14" w:name="_Hlk24379207"/>
      <w:r>
        <w:rPr>
          <w:rFonts w:hint="eastAsia" w:asciiTheme="minorEastAsia" w:hAnsiTheme="minorEastAsia" w:eastAsiaTheme="minorEastAsia" w:cstheme="minorEastAsia"/>
        </w:rPr>
        <w:t xml:space="preserve">一、项目基本情况</w:t>
      </w:r>
      <w:bookmarkEnd w:id="9"/>
      <w:r/>
      <w:bookmarkEnd w:id="10"/>
      <w:r/>
      <w:bookmarkEnd w:id="11"/>
      <w:r/>
      <w:bookmarkEnd w:id="12"/>
      <w:r/>
      <w:bookmarkEnd w:id="13"/>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1.项目编号：JSZC-320400-JZCG-G2026-0</w:t>
      </w:r>
      <w:r>
        <w:rPr>
          <w:rFonts w:hint="eastAsia" w:asciiTheme="minorEastAsia" w:hAnsiTheme="minorEastAsia" w:eastAsiaTheme="minorEastAsia" w:cstheme="minorEastAsia"/>
          <w:sz w:val="24"/>
          <w:szCs w:val="24"/>
          <w:lang w:val="en-US" w:eastAsia="zh-CN"/>
        </w:rPr>
        <w:t xml:space="preserve">194</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tab/>
      </w:r>
      <w:r/>
    </w:p>
    <w:p>
      <w:pPr>
        <w:ind w:firstLine="480"/>
        <w:spacing w:line="360" w:lineRule="auto"/>
        <w:rPr>
          <w:rFonts w:hint="eastAsia" w:ascii="宋体" w:hAnsi="宋体"/>
          <w:sz w:val="24"/>
          <w:szCs w:val="24"/>
        </w:rPr>
      </w:pPr>
      <w:r>
        <w:rPr>
          <w:rFonts w:hint="eastAsia" w:asciiTheme="minorEastAsia" w:hAnsiTheme="minorEastAsia" w:eastAsiaTheme="minorEastAsia" w:cstheme="minorEastAsia"/>
          <w:sz w:val="24"/>
          <w:szCs w:val="24"/>
        </w:rPr>
        <w:t xml:space="preserve">2.项目名称：</w:t>
      </w:r>
      <w:bookmarkEnd w:id="14"/>
      <w:r/>
      <w:bookmarkStart w:id="15" w:name="_Toc35393791"/>
      <w:r/>
      <w:bookmarkStart w:id="16" w:name="_Toc38985264"/>
      <w:r/>
      <w:bookmarkStart w:id="17" w:name="_Toc28359080"/>
      <w:r/>
      <w:bookmarkStart w:id="18" w:name="_Toc28359003"/>
      <w:r/>
      <w:bookmarkStart w:id="19" w:name="_Toc35393622"/>
      <w:r>
        <w:rPr>
          <w:rFonts w:hint="eastAsia" w:ascii="宋体" w:hAnsi="宋体"/>
          <w:sz w:val="24"/>
          <w:szCs w:val="24"/>
        </w:rPr>
        <w:t xml:space="preserve">常州市教育局直属单位智慧安防建设设备及安装采购项目</w:t>
      </w:r>
      <w:r/>
    </w:p>
    <w:p>
      <w:pPr>
        <w:ind w:firstLine="480"/>
        <w:spacing w:line="360" w:lineRule="auto"/>
        <w:rPr>
          <w:rFonts w:hint="eastAsia" w:ascii="宋体" w:hAnsi="宋体"/>
          <w:sz w:val="24"/>
          <w:szCs w:val="24"/>
        </w:rPr>
      </w:pPr>
      <w:r>
        <w:rPr>
          <w:rFonts w:hint="eastAsia" w:ascii="宋体" w:hAnsi="宋体"/>
          <w:sz w:val="24"/>
          <w:szCs w:val="24"/>
        </w:rPr>
        <w:t xml:space="preserve">3.预算金额：</w:t>
      </w:r>
      <w:r>
        <w:rPr>
          <w:rFonts w:hint="eastAsia" w:ascii="宋体" w:hAnsi="宋体"/>
          <w:sz w:val="24"/>
          <w:szCs w:val="24"/>
          <w:lang w:val="en-US" w:eastAsia="zh-CN"/>
        </w:rPr>
        <w:t xml:space="preserve">745.76</w:t>
      </w:r>
      <w:r>
        <w:rPr>
          <w:rFonts w:hint="eastAsia" w:ascii="宋体" w:hAnsi="宋体"/>
          <w:sz w:val="24"/>
          <w:szCs w:val="24"/>
        </w:rPr>
        <w:t xml:space="preserve">万元</w:t>
      </w:r>
      <w:r/>
    </w:p>
    <w:p>
      <w:pPr>
        <w:ind w:firstLine="480"/>
        <w:spacing w:line="360" w:lineRule="auto"/>
        <w:rPr>
          <w:rFonts w:hint="eastAsia" w:ascii="宋体" w:hAnsi="宋体"/>
          <w:sz w:val="24"/>
          <w:szCs w:val="24"/>
        </w:rPr>
      </w:pPr>
      <w:r>
        <w:rPr>
          <w:rFonts w:hint="eastAsia" w:ascii="宋体" w:hAnsi="宋体"/>
          <w:sz w:val="24"/>
          <w:szCs w:val="24"/>
        </w:rPr>
        <w:t xml:space="preserve">4.本项目设定最高限价，最高限价为</w:t>
      </w:r>
      <w:r>
        <w:rPr>
          <w:rFonts w:hint="eastAsia" w:ascii="宋体" w:hAnsi="宋体"/>
          <w:sz w:val="24"/>
          <w:szCs w:val="24"/>
          <w:u w:val="single"/>
        </w:rPr>
        <w:t xml:space="preserve"> </w:t>
      </w:r>
      <w:r>
        <w:rPr>
          <w:rFonts w:hint="eastAsia" w:ascii="宋体" w:hAnsi="宋体"/>
          <w:sz w:val="24"/>
          <w:szCs w:val="24"/>
          <w:u w:val="single"/>
          <w:lang w:val="en-US" w:eastAsia="zh-CN"/>
        </w:rPr>
        <w:t xml:space="preserve">745.76</w:t>
      </w:r>
      <w:r>
        <w:rPr>
          <w:rFonts w:hint="eastAsia" w:ascii="宋体" w:hAnsi="宋体"/>
          <w:sz w:val="24"/>
          <w:szCs w:val="24"/>
          <w:u w:val="single"/>
        </w:rPr>
        <w:t xml:space="preserve"> </w:t>
      </w:r>
      <w:r>
        <w:rPr>
          <w:rFonts w:hint="eastAsia" w:ascii="宋体" w:hAnsi="宋体"/>
          <w:sz w:val="24"/>
          <w:szCs w:val="24"/>
        </w:rPr>
        <w:t xml:space="preserve">万元。</w:t>
      </w:r>
      <w:r/>
    </w:p>
    <w:tbl>
      <w:tblPr>
        <w:tblStyle w:val="806"/>
        <w:tblW w:w="528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2"/>
        <w:gridCol w:w="3324"/>
        <w:gridCol w:w="1263"/>
        <w:gridCol w:w="1070"/>
        <w:gridCol w:w="1241"/>
        <w:gridCol w:w="1500"/>
      </w:tblGrid>
      <w:tr>
        <w:trPr>
          <w:jc w:val="center"/>
          <w:trHeight w:val="600"/>
        </w:trPr>
        <w:tc>
          <w:tcPr>
            <w:tcW w:w="339" w:type="pct"/>
            <w:vAlign w:val="center"/>
            <w:textDirection w:val="lrTb"/>
            <w:noWrap w:val="false"/>
          </w:tcPr>
          <w:p>
            <w:pPr>
              <w:jc w:val="center"/>
              <w:spacing w:line="240" w:lineRule="auto"/>
              <w:widowControl/>
              <w:rPr>
                <w:rFonts w:hint="eastAsia" w:ascii="宋体" w:hAnsi="宋体" w:cs="宋体"/>
                <w:lang w:bidi="ar"/>
              </w:rPr>
            </w:pPr>
            <w:r>
              <w:rPr>
                <w:rFonts w:hint="eastAsia" w:ascii="宋体" w:hAnsi="宋体" w:cs="宋体"/>
                <w:lang w:bidi="ar"/>
              </w:rPr>
              <w:t xml:space="preserve">包号</w:t>
            </w:r>
            <w:r/>
          </w:p>
        </w:tc>
        <w:tc>
          <w:tcPr>
            <w:tcW w:w="1844" w:type="pct"/>
            <w:vAlign w:val="center"/>
            <w:textDirection w:val="lrTb"/>
            <w:noWrap w:val="false"/>
          </w:tcPr>
          <w:p>
            <w:pPr>
              <w:jc w:val="center"/>
              <w:spacing w:line="240" w:lineRule="auto"/>
              <w:widowControl/>
              <w:rPr>
                <w:rFonts w:hint="eastAsia" w:ascii="宋体" w:hAnsi="宋体" w:cs="宋体"/>
                <w:lang w:bidi="ar"/>
              </w:rPr>
            </w:pPr>
            <w:r>
              <w:rPr>
                <w:bCs/>
              </w:rPr>
              <w:t xml:space="preserve">标的名称</w:t>
            </w:r>
            <w:r/>
          </w:p>
        </w:tc>
        <w:tc>
          <w:tcPr>
            <w:shd w:val="clear" w:color="auto" w:fill="auto"/>
            <w:tcW w:w="700" w:type="pct"/>
            <w:vAlign w:val="center"/>
            <w:textDirection w:val="lrTb"/>
            <w:noWrap/>
          </w:tcPr>
          <w:p>
            <w:pPr>
              <w:jc w:val="center"/>
              <w:spacing w:line="240" w:lineRule="auto"/>
              <w:rPr>
                <w:rFonts w:hint="eastAsia" w:eastAsia="宋体"/>
                <w:bCs/>
                <w:lang w:val="en-US" w:eastAsia="zh-CN"/>
              </w:rPr>
            </w:pPr>
            <w:r>
              <w:rPr>
                <w:bCs/>
              </w:rPr>
              <w:t xml:space="preserve">采购包</w:t>
            </w:r>
            <w:r>
              <w:rPr>
                <w:rFonts w:hint="eastAsia"/>
                <w:bCs/>
                <w:lang w:val="en-US" w:eastAsia="zh-CN"/>
              </w:rPr>
              <w:t xml:space="preserve">总</w:t>
            </w:r>
            <w:r/>
          </w:p>
          <w:p>
            <w:pPr>
              <w:jc w:val="center"/>
              <w:spacing w:line="240" w:lineRule="auto"/>
              <w:rPr>
                <w:bCs/>
              </w:rPr>
            </w:pPr>
            <w:r>
              <w:rPr>
                <w:bCs/>
              </w:rPr>
              <w:t xml:space="preserve">预算金额</w:t>
            </w:r>
            <w:r/>
          </w:p>
          <w:p>
            <w:pPr>
              <w:jc w:val="center"/>
              <w:spacing w:line="240" w:lineRule="auto"/>
              <w:widowControl/>
              <w:rPr>
                <w:rFonts w:hint="eastAsia" w:ascii="宋体" w:hAnsi="宋体" w:eastAsia="宋体" w:cs="宋体"/>
                <w:sz w:val="21"/>
                <w:szCs w:val="21"/>
                <w:lang w:val="en-US" w:eastAsia="zh-CN" w:bidi="ar"/>
              </w:rPr>
            </w:pPr>
            <w:r>
              <w:rPr>
                <w:bCs/>
              </w:rPr>
              <w:t xml:space="preserve">（万元）</w:t>
            </w:r>
            <w:r/>
          </w:p>
        </w:tc>
        <w:tc>
          <w:tcPr>
            <w:shd w:val="clear" w:color="auto" w:fill="auto"/>
            <w:tcW w:w="593" w:type="pct"/>
            <w:vAlign w:val="center"/>
            <w:textDirection w:val="lrTb"/>
            <w:noWrap/>
          </w:tcPr>
          <w:p>
            <w:pPr>
              <w:jc w:val="center"/>
              <w:spacing w:line="240" w:lineRule="auto"/>
              <w:widowControl/>
              <w:rPr>
                <w:rFonts w:hint="eastAsia" w:eastAsia="宋体"/>
                <w:bCs/>
                <w:lang w:val="en-US" w:eastAsia="zh-CN"/>
              </w:rPr>
            </w:pPr>
            <w:r>
              <w:rPr>
                <w:bCs/>
              </w:rPr>
              <w:t xml:space="preserve">采购包</w:t>
            </w:r>
            <w:r>
              <w:rPr>
                <w:rFonts w:hint="eastAsia"/>
                <w:bCs/>
                <w:lang w:val="en-US" w:eastAsia="zh-CN"/>
              </w:rPr>
              <w:t xml:space="preserve">总</w:t>
            </w:r>
            <w:r/>
          </w:p>
          <w:p>
            <w:pPr>
              <w:jc w:val="center"/>
              <w:spacing w:line="240" w:lineRule="auto"/>
              <w:widowControl/>
              <w:rPr>
                <w:rFonts w:hint="eastAsia" w:ascii="宋体" w:hAnsi="宋体" w:cs="宋体"/>
                <w:lang w:bidi="ar"/>
              </w:rPr>
            </w:pPr>
            <w:r>
              <w:rPr>
                <w:rFonts w:hint="eastAsia" w:ascii="宋体" w:hAnsi="宋体" w:cs="宋体"/>
                <w:lang w:bidi="ar"/>
              </w:rPr>
              <w:t xml:space="preserve">最高限额</w:t>
            </w:r>
            <w:r/>
          </w:p>
          <w:p>
            <w:pPr>
              <w:jc w:val="center"/>
              <w:spacing w:line="240" w:lineRule="auto"/>
              <w:widowControl/>
              <w:rPr>
                <w:rFonts w:hint="eastAsia" w:ascii="宋体" w:hAnsi="宋体" w:eastAsia="宋体" w:cs="宋体"/>
                <w:sz w:val="21"/>
                <w:szCs w:val="21"/>
                <w:lang w:val="en-US" w:eastAsia="zh-CN" w:bidi="ar"/>
              </w:rPr>
            </w:pPr>
            <w:r>
              <w:rPr>
                <w:rFonts w:hint="eastAsia" w:ascii="宋体" w:hAnsi="宋体" w:cs="宋体"/>
                <w:lang w:bidi="ar"/>
              </w:rPr>
              <w:t xml:space="preserve">（万元）</w:t>
            </w:r>
            <w:r/>
          </w:p>
        </w:tc>
        <w:tc>
          <w:tcPr>
            <w:tcW w:w="688" w:type="pct"/>
            <w:vAlign w:val="center"/>
            <w:textDirection w:val="lrTb"/>
            <w:noWrap/>
          </w:tcPr>
          <w:p>
            <w:pPr>
              <w:jc w:val="center"/>
              <w:spacing w:line="240" w:lineRule="auto"/>
              <w:widowControl/>
              <w:rPr>
                <w:rFonts w:hint="eastAsia" w:ascii="宋体" w:hAnsi="宋体" w:cs="宋体"/>
                <w:lang w:val="en-US" w:eastAsia="zh-CN" w:bidi="ar"/>
              </w:rPr>
            </w:pPr>
            <w:r>
              <w:rPr>
                <w:rFonts w:hint="eastAsia" w:ascii="宋体" w:hAnsi="宋体" w:cs="宋体"/>
                <w:lang w:val="en-US" w:eastAsia="zh-CN" w:bidi="ar"/>
              </w:rPr>
              <w:t xml:space="preserve">采购单位</w:t>
            </w:r>
            <w:r/>
          </w:p>
          <w:p>
            <w:pPr>
              <w:jc w:val="center"/>
              <w:spacing w:line="240" w:lineRule="auto"/>
              <w:widowControl/>
              <w:rPr>
                <w:rFonts w:hint="eastAsia" w:ascii="宋体" w:hAnsi="宋体" w:cs="宋体"/>
                <w:lang w:bidi="ar"/>
              </w:rPr>
            </w:pPr>
            <w:r>
              <w:rPr>
                <w:rFonts w:hint="eastAsia" w:ascii="宋体" w:hAnsi="宋体" w:cs="宋体"/>
                <w:lang w:val="en-US" w:eastAsia="zh-CN" w:bidi="ar"/>
              </w:rPr>
              <w:t xml:space="preserve">预算金额</w:t>
            </w:r>
            <w:r>
              <w:rPr>
                <w:rFonts w:hint="eastAsia" w:ascii="宋体" w:hAnsi="宋体" w:cs="宋体"/>
                <w:lang w:bidi="ar"/>
              </w:rPr>
              <w:t xml:space="preserve">（万元）</w:t>
            </w:r>
            <w:r/>
          </w:p>
        </w:tc>
        <w:tc>
          <w:tcPr>
            <w:tcW w:w="832" w:type="pct"/>
            <w:vAlign w:val="center"/>
            <w:textDirection w:val="lrTb"/>
            <w:noWrap/>
          </w:tcPr>
          <w:p>
            <w:pPr>
              <w:jc w:val="center"/>
              <w:spacing w:line="240" w:lineRule="auto"/>
              <w:widowControl/>
              <w:rPr>
                <w:rFonts w:hint="eastAsia" w:ascii="宋体" w:hAnsi="宋体" w:cs="宋体"/>
                <w:lang w:bidi="ar"/>
              </w:rPr>
            </w:pPr>
            <w:r>
              <w:rPr>
                <w:rFonts w:hint="eastAsia" w:ascii="宋体" w:hAnsi="宋体" w:cs="宋体"/>
                <w:lang w:bidi="ar"/>
              </w:rPr>
              <w:t xml:space="preserve">简要技术需求或服务要求</w:t>
            </w:r>
            <w:r/>
          </w:p>
        </w:tc>
      </w:tr>
      <w:tr>
        <w:trPr>
          <w:jc w:val="center"/>
          <w:trHeight w:val="600"/>
        </w:trPr>
        <w:tc>
          <w:tcPr>
            <w:tcW w:w="339" w:type="pct"/>
            <w:vAlign w:val="center"/>
            <w:vMerge w:val="restart"/>
            <w:textDirection w:val="lrTb"/>
            <w:noWrap w:val="false"/>
          </w:tcPr>
          <w:p>
            <w:pPr>
              <w:jc w:val="center"/>
              <w:keepLines w:val="0"/>
              <w:keepNext w:val="0"/>
              <w:widowControl/>
              <w:rPr>
                <w:rFonts w:hint="eastAsia" w:ascii="宋体" w:hAnsi="宋体" w:cs="宋体"/>
                <w:sz w:val="21"/>
                <w:szCs w:val="21"/>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3324"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ff"/>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江苏省常州高级中学</w:t>
            </w:r>
            <w:r/>
          </w:p>
        </w:tc>
        <w:tc>
          <w:tcPr>
            <w:shd w:val="clear" w:color="auto" w:fill="auto"/>
            <w:tcW w:w="700" w:type="pct"/>
            <w:vAlign w:val="center"/>
            <w:vMerge w:val="restart"/>
            <w:textDirection w:val="lrTb"/>
            <w:noWrap/>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default" w:ascii="宋体" w:hAnsi="宋体" w:eastAsia="宋体" w:cs="宋体"/>
                <w:i w:val="0"/>
                <w:iCs w:val="0"/>
                <w:color w:val="000000"/>
                <w:sz w:val="21"/>
                <w:szCs w:val="21"/>
                <w:u w:val="none"/>
                <w:lang w:val="en-US" w:eastAsia="zh-CN" w:bidi="ar"/>
              </w:rPr>
              <w:t xml:space="preserve">745.76</w:t>
            </w:r>
            <w:r/>
          </w:p>
        </w:tc>
        <w:tc>
          <w:tcPr>
            <w:shd w:val="clear" w:color="auto" w:fill="auto"/>
            <w:tcW w:w="593" w:type="pct"/>
            <w:vAlign w:val="center"/>
            <w:vMerge w:val="restart"/>
            <w:textDirection w:val="lrTb"/>
            <w:noWrap/>
          </w:tcPr>
          <w:p>
            <w:pPr>
              <w:jc w:val="center"/>
              <w:keepLines w:val="0"/>
              <w:keepNext w:val="0"/>
              <w:widowControl/>
              <w:rPr>
                <w:rFonts w:hint="eastAsia" w:asciiTheme="minorEastAsia" w:hAnsiTheme="minorEastAsia" w:eastAsiaTheme="minorEastAsia" w:cstheme="minorEastAsia"/>
                <w:sz w:val="21"/>
                <w:szCs w:val="21"/>
                <w:lang w:val="en-US" w:eastAsia="zh-CN" w:bidi="ar-SA"/>
              </w:rPr>
              <w:suppressLineNumbers w:val="0"/>
            </w:pPr>
            <w:r>
              <w:rPr>
                <w:rFonts w:hint="eastAsia" w:asciiTheme="minorEastAsia" w:hAnsiTheme="minorEastAsia" w:eastAsiaTheme="minorEastAsia" w:cstheme="minorEastAsia"/>
                <w:sz w:val="21"/>
                <w:szCs w:val="21"/>
                <w:lang w:val="en-US" w:eastAsia="zh-CN" w:bidi="ar-SA"/>
              </w:rPr>
              <w:t xml:space="preserve">745.76</w:t>
            </w:r>
            <w:r/>
          </w:p>
        </w:tc>
        <w:tc>
          <w:tcPr>
            <w:shd w:val="clear" w:color="auto" w:fill="auto"/>
            <w:tcW w:w="688" w:type="pct"/>
            <w:vAlign w:val="center"/>
            <w:textDirection w:val="lrTb"/>
            <w:noWrap/>
          </w:tcPr>
          <w:p>
            <w:pPr>
              <w:jc w:val="center"/>
              <w:keepLines w:val="0"/>
              <w:keepNext w:val="0"/>
              <w:widowControl/>
              <w:rPr>
                <w:rFonts w:hint="eastAsia" w:asciiTheme="minorEastAsia" w:hAnsiTheme="minorEastAsia" w:eastAsiaTheme="minorEastAsia" w:cstheme="minorEastAsia"/>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29.28</w:t>
            </w:r>
            <w:r/>
          </w:p>
        </w:tc>
        <w:tc>
          <w:tcPr>
            <w:tcW w:w="832" w:type="pct"/>
            <w:vAlign w:val="center"/>
            <w:vMerge w:val="restart"/>
            <w:textDirection w:val="lrTb"/>
            <w:noWrap/>
          </w:tcPr>
          <w:p>
            <w:pPr>
              <w:jc w:val="center"/>
              <w:spacing w:line="360" w:lineRule="auto"/>
              <w:widowControl/>
              <w:rPr>
                <w:rFonts w:hint="eastAsia" w:ascii="宋体" w:hAnsi="宋体" w:cs="宋体"/>
                <w:lang w:bidi="ar"/>
              </w:rPr>
            </w:pPr>
            <w:r>
              <w:rPr>
                <w:rFonts w:hint="eastAsia"/>
              </w:rPr>
              <w:t xml:space="preserve">详见“第四章 采购需求”</w:t>
            </w:r>
            <w:r/>
          </w:p>
        </w:tc>
      </w:tr>
      <w:tr>
        <w:trPr>
          <w:jc w:val="center"/>
          <w:trHeight w:val="600"/>
        </w:trPr>
        <w:tc>
          <w:tcPr>
            <w:tcW w:w="339" w:type="pct"/>
            <w:vAlign w:val="center"/>
            <w:vMerge w:val="continue"/>
            <w:textDirection w:val="lrTb"/>
            <w:noWrap w:val="false"/>
          </w:tcPr>
          <w:p>
            <w:pPr>
              <w:jc w:val="center"/>
              <w:keepLines w:val="0"/>
              <w:keepNext w:val="0"/>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常州市第一中学</w:t>
            </w:r>
            <w:r/>
          </w:p>
        </w:tc>
        <w:tc>
          <w:tcPr>
            <w:shd w:val="clear" w:color="auto" w:fill="auto"/>
            <w:tcW w:w="700" w:type="pct"/>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593" w:type="pct"/>
            <w:vAlign w:val="center"/>
            <w:vMerge w:val="continue"/>
            <w:textDirection w:val="lrTb"/>
            <w:noWrap/>
          </w:tcPr>
          <w:p>
            <w:pPr>
              <w:jc w:val="center"/>
              <w:keepLines w:val="0"/>
              <w:keepNext w:val="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688" w:type="pct"/>
            <w:vAlign w:val="center"/>
            <w:textDirection w:val="lrTb"/>
            <w:noWrap/>
          </w:tcPr>
          <w:p>
            <w:pPr>
              <w:jc w:val="center"/>
              <w:keepLines w:val="0"/>
              <w:keepNext w:val="0"/>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40.11</w:t>
            </w:r>
            <w:r/>
          </w:p>
        </w:tc>
        <w:tc>
          <w:tcPr>
            <w:tcW w:w="832" w:type="pct"/>
            <w:vAlign w:val="center"/>
            <w:vMerge w:val="continue"/>
            <w:textDirection w:val="lrTb"/>
            <w:noWrap/>
          </w:tcPr>
          <w:p>
            <w:pPr>
              <w:jc w:val="center"/>
              <w:spacing w:line="360" w:lineRule="auto"/>
              <w:widowControl/>
              <w:rPr>
                <w:rFonts w:hint="eastAsia"/>
              </w:rPr>
            </w:pPr>
            <w:r>
              <w:rPr>
                <w:rFonts w:hint="eastAsia"/>
              </w:rPr>
            </w:r>
            <w:r/>
          </w:p>
        </w:tc>
      </w:tr>
      <w:tr>
        <w:trPr>
          <w:jc w:val="center"/>
          <w:trHeight w:val="600"/>
        </w:trPr>
        <w:tc>
          <w:tcPr>
            <w:tcW w:w="339" w:type="pct"/>
            <w:vAlign w:val="center"/>
            <w:vMerge w:val="continue"/>
            <w:textDirection w:val="lrTb"/>
            <w:noWrap w:val="false"/>
          </w:tcPr>
          <w:p>
            <w:pPr>
              <w:jc w:val="center"/>
              <w:keepLines w:val="0"/>
              <w:keepNext w:val="0"/>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常州市北郊高级中学</w:t>
            </w:r>
            <w:r/>
          </w:p>
        </w:tc>
        <w:tc>
          <w:tcPr>
            <w:shd w:val="clear" w:color="auto" w:fill="auto"/>
            <w:tcW w:w="700" w:type="pct"/>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593" w:type="pct"/>
            <w:vAlign w:val="center"/>
            <w:vMerge w:val="continue"/>
            <w:textDirection w:val="lrTb"/>
            <w:noWrap/>
          </w:tcPr>
          <w:p>
            <w:pPr>
              <w:jc w:val="center"/>
              <w:keepLines w:val="0"/>
              <w:keepNext w:val="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688" w:type="pct"/>
            <w:vAlign w:val="center"/>
            <w:textDirection w:val="lrTb"/>
            <w:noWrap/>
          </w:tcPr>
          <w:p>
            <w:pPr>
              <w:jc w:val="center"/>
              <w:keepLines w:val="0"/>
              <w:keepNext w:val="0"/>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39.59</w:t>
            </w:r>
            <w:r/>
          </w:p>
        </w:tc>
        <w:tc>
          <w:tcPr>
            <w:tcW w:w="832" w:type="pct"/>
            <w:vAlign w:val="center"/>
            <w:vMerge w:val="continue"/>
            <w:textDirection w:val="lrTb"/>
            <w:noWrap/>
          </w:tcPr>
          <w:p>
            <w:pPr>
              <w:jc w:val="center"/>
              <w:spacing w:line="360" w:lineRule="auto"/>
              <w:widowControl/>
              <w:rPr>
                <w:rFonts w:hint="eastAsia"/>
              </w:rPr>
            </w:pPr>
            <w:r>
              <w:rPr>
                <w:rFonts w:hint="eastAsia"/>
              </w:rPr>
            </w:r>
            <w:r/>
          </w:p>
        </w:tc>
      </w:tr>
      <w:tr>
        <w:trPr>
          <w:jc w:val="center"/>
          <w:trHeight w:val="600"/>
        </w:trPr>
        <w:tc>
          <w:tcPr>
            <w:tcW w:w="339" w:type="pct"/>
            <w:vAlign w:val="center"/>
            <w:vMerge w:val="continue"/>
            <w:textDirection w:val="lrTb"/>
            <w:noWrap w:val="false"/>
          </w:tcPr>
          <w:p>
            <w:pPr>
              <w:jc w:val="center"/>
              <w:keepLines w:val="0"/>
              <w:keepNext w:val="0"/>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常州市第二中学</w:t>
            </w:r>
            <w:r/>
          </w:p>
        </w:tc>
        <w:tc>
          <w:tcPr>
            <w:shd w:val="clear" w:color="auto" w:fill="auto"/>
            <w:tcW w:w="700" w:type="pct"/>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593" w:type="pct"/>
            <w:vAlign w:val="center"/>
            <w:vMerge w:val="continue"/>
            <w:textDirection w:val="lrTb"/>
            <w:noWrap/>
          </w:tcPr>
          <w:p>
            <w:pPr>
              <w:jc w:val="center"/>
              <w:keepLines w:val="0"/>
              <w:keepNext w:val="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688" w:type="pct"/>
            <w:vAlign w:val="center"/>
            <w:textDirection w:val="lrTb"/>
            <w:noWrap/>
          </w:tcPr>
          <w:p>
            <w:pPr>
              <w:jc w:val="center"/>
              <w:keepLines w:val="0"/>
              <w:keepNext w:val="0"/>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21.43</w:t>
            </w:r>
            <w:r/>
          </w:p>
        </w:tc>
        <w:tc>
          <w:tcPr>
            <w:tcW w:w="832" w:type="pct"/>
            <w:vAlign w:val="center"/>
            <w:vMerge w:val="continue"/>
            <w:textDirection w:val="lrTb"/>
            <w:noWrap/>
          </w:tcPr>
          <w:p>
            <w:pPr>
              <w:jc w:val="center"/>
              <w:spacing w:line="360" w:lineRule="auto"/>
              <w:widowControl/>
              <w:rPr>
                <w:rFonts w:hint="eastAsia"/>
              </w:rPr>
            </w:pPr>
            <w:r>
              <w:rPr>
                <w:rFonts w:hint="eastAsia"/>
              </w:rPr>
            </w:r>
            <w:r/>
          </w:p>
        </w:tc>
      </w:tr>
      <w:tr>
        <w:trPr>
          <w:jc w:val="center"/>
          <w:trHeight w:val="600"/>
        </w:trPr>
        <w:tc>
          <w:tcPr>
            <w:tcW w:w="339" w:type="pct"/>
            <w:vAlign w:val="center"/>
            <w:vMerge w:val="continue"/>
            <w:textDirection w:val="lrTb"/>
            <w:noWrap w:val="false"/>
          </w:tcPr>
          <w:p>
            <w:pPr>
              <w:jc w:val="center"/>
              <w:keepLines w:val="0"/>
              <w:keepNext w:val="0"/>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常州市第三中学</w:t>
            </w:r>
            <w:r/>
          </w:p>
        </w:tc>
        <w:tc>
          <w:tcPr>
            <w:shd w:val="clear" w:color="auto" w:fill="auto"/>
            <w:tcW w:w="700" w:type="pct"/>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593" w:type="pct"/>
            <w:vAlign w:val="center"/>
            <w:vMerge w:val="continue"/>
            <w:textDirection w:val="lrTb"/>
            <w:noWrap/>
          </w:tcPr>
          <w:p>
            <w:pPr>
              <w:jc w:val="center"/>
              <w:keepLines w:val="0"/>
              <w:keepNext w:val="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688" w:type="pct"/>
            <w:vAlign w:val="center"/>
            <w:textDirection w:val="lrTb"/>
            <w:noWrap/>
          </w:tcPr>
          <w:p>
            <w:pPr>
              <w:jc w:val="center"/>
              <w:keepLines w:val="0"/>
              <w:keepNext w:val="0"/>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25.65</w:t>
            </w:r>
            <w:r/>
          </w:p>
        </w:tc>
        <w:tc>
          <w:tcPr>
            <w:tcW w:w="832" w:type="pct"/>
            <w:vAlign w:val="center"/>
            <w:vMerge w:val="continue"/>
            <w:textDirection w:val="lrTb"/>
            <w:noWrap/>
          </w:tcPr>
          <w:p>
            <w:pPr>
              <w:jc w:val="center"/>
              <w:spacing w:line="360" w:lineRule="auto"/>
              <w:widowControl/>
              <w:rPr>
                <w:rFonts w:hint="eastAsia"/>
              </w:rPr>
            </w:pPr>
            <w:r>
              <w:rPr>
                <w:rFonts w:hint="eastAsia"/>
              </w:rPr>
            </w:r>
            <w:r/>
          </w:p>
        </w:tc>
      </w:tr>
      <w:tr>
        <w:trPr>
          <w:jc w:val="center"/>
          <w:trHeight w:val="600"/>
        </w:trPr>
        <w:tc>
          <w:tcPr>
            <w:tcW w:w="339" w:type="pct"/>
            <w:vAlign w:val="center"/>
            <w:vMerge w:val="continue"/>
            <w:textDirection w:val="lrTb"/>
            <w:noWrap w:val="false"/>
          </w:tcPr>
          <w:p>
            <w:pPr>
              <w:jc w:val="center"/>
              <w:keepLines w:val="0"/>
              <w:keepNext w:val="0"/>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常州市田家炳高级中学</w:t>
            </w:r>
            <w:r/>
          </w:p>
        </w:tc>
        <w:tc>
          <w:tcPr>
            <w:shd w:val="clear" w:color="auto" w:fill="auto"/>
            <w:tcW w:w="700" w:type="pct"/>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593" w:type="pct"/>
            <w:vAlign w:val="center"/>
            <w:vMerge w:val="continue"/>
            <w:textDirection w:val="lrTb"/>
            <w:noWrap/>
          </w:tcPr>
          <w:p>
            <w:pPr>
              <w:jc w:val="center"/>
              <w:keepLines w:val="0"/>
              <w:keepNext w:val="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688" w:type="pct"/>
            <w:vAlign w:val="center"/>
            <w:textDirection w:val="lrTb"/>
            <w:noWrap/>
          </w:tcPr>
          <w:p>
            <w:pPr>
              <w:jc w:val="center"/>
              <w:keepLines w:val="0"/>
              <w:keepNext w:val="0"/>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31.11</w:t>
            </w:r>
            <w:r/>
          </w:p>
        </w:tc>
        <w:tc>
          <w:tcPr>
            <w:tcW w:w="832" w:type="pct"/>
            <w:vAlign w:val="center"/>
            <w:vMerge w:val="continue"/>
            <w:textDirection w:val="lrTb"/>
            <w:noWrap/>
          </w:tcPr>
          <w:p>
            <w:pPr>
              <w:jc w:val="center"/>
              <w:spacing w:line="360" w:lineRule="auto"/>
              <w:widowControl/>
              <w:rPr>
                <w:rFonts w:hint="eastAsia"/>
              </w:rPr>
            </w:pPr>
            <w:r>
              <w:rPr>
                <w:rFonts w:hint="eastAsia"/>
              </w:rPr>
            </w:r>
            <w:r/>
          </w:p>
        </w:tc>
      </w:tr>
      <w:tr>
        <w:trPr>
          <w:jc w:val="center"/>
          <w:trHeight w:val="600"/>
        </w:trPr>
        <w:tc>
          <w:tcPr>
            <w:tcW w:w="339" w:type="pct"/>
            <w:vAlign w:val="center"/>
            <w:vMerge w:val="continue"/>
            <w:textDirection w:val="lrTb"/>
            <w:noWrap w:val="false"/>
          </w:tcPr>
          <w:p>
            <w:pPr>
              <w:jc w:val="center"/>
              <w:keepLines w:val="0"/>
              <w:keepNext w:val="0"/>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常州市第五中学</w:t>
            </w:r>
            <w:r/>
          </w:p>
        </w:tc>
        <w:tc>
          <w:tcPr>
            <w:shd w:val="clear" w:color="auto" w:fill="auto"/>
            <w:tcW w:w="700" w:type="pct"/>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593" w:type="pct"/>
            <w:vAlign w:val="center"/>
            <w:vMerge w:val="continue"/>
            <w:textDirection w:val="lrTb"/>
            <w:noWrap/>
          </w:tcPr>
          <w:p>
            <w:pPr>
              <w:jc w:val="center"/>
              <w:keepLines w:val="0"/>
              <w:keepNext w:val="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688" w:type="pct"/>
            <w:vAlign w:val="center"/>
            <w:textDirection w:val="lrTb"/>
            <w:noWrap/>
          </w:tcPr>
          <w:p>
            <w:pPr>
              <w:jc w:val="center"/>
              <w:keepLines w:val="0"/>
              <w:keepNext w:val="0"/>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27.25</w:t>
            </w:r>
            <w:r/>
          </w:p>
        </w:tc>
        <w:tc>
          <w:tcPr>
            <w:tcW w:w="832" w:type="pct"/>
            <w:vAlign w:val="center"/>
            <w:vMerge w:val="continue"/>
            <w:textDirection w:val="lrTb"/>
            <w:noWrap/>
          </w:tcPr>
          <w:p>
            <w:pPr>
              <w:jc w:val="center"/>
              <w:spacing w:line="360" w:lineRule="auto"/>
              <w:widowControl/>
              <w:rPr>
                <w:rFonts w:hint="eastAsia"/>
              </w:rPr>
            </w:pPr>
            <w:r>
              <w:rPr>
                <w:rFonts w:hint="eastAsia"/>
              </w:rPr>
            </w:r>
            <w:r/>
          </w:p>
        </w:tc>
      </w:tr>
      <w:tr>
        <w:trPr>
          <w:jc w:val="center"/>
          <w:trHeight w:val="600"/>
        </w:trPr>
        <w:tc>
          <w:tcPr>
            <w:tcW w:w="339" w:type="pct"/>
            <w:vAlign w:val="center"/>
            <w:vMerge w:val="continue"/>
            <w:textDirection w:val="lrTb"/>
            <w:noWrap w:val="false"/>
          </w:tcPr>
          <w:p>
            <w:pPr>
              <w:jc w:val="center"/>
              <w:keepLines w:val="0"/>
              <w:keepNext w:val="0"/>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常州市戚墅堰高级中学</w:t>
            </w:r>
            <w:r/>
          </w:p>
        </w:tc>
        <w:tc>
          <w:tcPr>
            <w:shd w:val="clear" w:color="auto" w:fill="auto"/>
            <w:tcW w:w="700" w:type="pct"/>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593" w:type="pct"/>
            <w:vAlign w:val="center"/>
            <w:vMerge w:val="continue"/>
            <w:textDirection w:val="lrTb"/>
            <w:noWrap/>
          </w:tcPr>
          <w:p>
            <w:pPr>
              <w:jc w:val="center"/>
              <w:keepLines w:val="0"/>
              <w:keepNext w:val="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688" w:type="pct"/>
            <w:vAlign w:val="center"/>
            <w:textDirection w:val="lrTb"/>
            <w:noWrap/>
          </w:tcPr>
          <w:p>
            <w:pPr>
              <w:jc w:val="center"/>
              <w:keepLines w:val="0"/>
              <w:keepNext w:val="0"/>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33.39</w:t>
            </w:r>
            <w:r/>
          </w:p>
        </w:tc>
        <w:tc>
          <w:tcPr>
            <w:tcW w:w="832" w:type="pct"/>
            <w:vAlign w:val="center"/>
            <w:vMerge w:val="continue"/>
            <w:textDirection w:val="lrTb"/>
            <w:noWrap/>
          </w:tcPr>
          <w:p>
            <w:pPr>
              <w:jc w:val="center"/>
              <w:spacing w:line="360" w:lineRule="auto"/>
              <w:widowControl/>
              <w:rPr>
                <w:rFonts w:hint="eastAsia"/>
              </w:rPr>
            </w:pPr>
            <w:r>
              <w:rPr>
                <w:rFonts w:hint="eastAsia"/>
              </w:rPr>
            </w:r>
            <w:r/>
          </w:p>
        </w:tc>
      </w:tr>
      <w:tr>
        <w:trPr>
          <w:jc w:val="center"/>
          <w:trHeight w:val="600"/>
        </w:trPr>
        <w:tc>
          <w:tcPr>
            <w:tcW w:w="339" w:type="pct"/>
            <w:vAlign w:val="center"/>
            <w:vMerge w:val="continue"/>
            <w:textDirection w:val="lrTb"/>
            <w:noWrap w:val="false"/>
          </w:tcPr>
          <w:p>
            <w:pPr>
              <w:jc w:val="center"/>
              <w:keepLines w:val="0"/>
              <w:keepNext w:val="0"/>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常州市正行中学</w:t>
            </w:r>
            <w:r/>
          </w:p>
        </w:tc>
        <w:tc>
          <w:tcPr>
            <w:shd w:val="clear" w:color="auto" w:fill="auto"/>
            <w:tcW w:w="700" w:type="pct"/>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593" w:type="pct"/>
            <w:vAlign w:val="center"/>
            <w:vMerge w:val="continue"/>
            <w:textDirection w:val="lrTb"/>
            <w:noWrap/>
          </w:tcPr>
          <w:p>
            <w:pPr>
              <w:jc w:val="center"/>
              <w:keepLines w:val="0"/>
              <w:keepNext w:val="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688" w:type="pct"/>
            <w:vAlign w:val="center"/>
            <w:textDirection w:val="lrTb"/>
            <w:noWrap/>
          </w:tcPr>
          <w:p>
            <w:pPr>
              <w:jc w:val="center"/>
              <w:keepLines w:val="0"/>
              <w:keepNext w:val="0"/>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27.59 </w:t>
            </w:r>
            <w:r/>
          </w:p>
        </w:tc>
        <w:tc>
          <w:tcPr>
            <w:tcW w:w="832" w:type="pct"/>
            <w:vAlign w:val="center"/>
            <w:vMerge w:val="continue"/>
            <w:textDirection w:val="lrTb"/>
            <w:noWrap/>
          </w:tcPr>
          <w:p>
            <w:pPr>
              <w:jc w:val="center"/>
              <w:spacing w:line="360" w:lineRule="auto"/>
              <w:widowControl/>
              <w:rPr>
                <w:rFonts w:hint="eastAsia"/>
              </w:rPr>
            </w:pPr>
            <w:r>
              <w:rPr>
                <w:rFonts w:hint="eastAsia"/>
              </w:rPr>
            </w:r>
            <w:r/>
          </w:p>
        </w:tc>
      </w:tr>
      <w:tr>
        <w:trPr>
          <w:jc w:val="center"/>
          <w:trHeight w:val="600"/>
        </w:trPr>
        <w:tc>
          <w:tcPr>
            <w:tcW w:w="339" w:type="pct"/>
            <w:vAlign w:val="center"/>
            <w:vMerge w:val="continue"/>
            <w:textDirection w:val="lrTb"/>
            <w:noWrap w:val="false"/>
          </w:tcPr>
          <w:p>
            <w:pPr>
              <w:jc w:val="center"/>
              <w:keepLines w:val="0"/>
              <w:keepNext w:val="0"/>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常州市教科院附属高级中学</w:t>
            </w:r>
            <w:r/>
          </w:p>
        </w:tc>
        <w:tc>
          <w:tcPr>
            <w:shd w:val="clear" w:color="auto" w:fill="auto"/>
            <w:tcW w:w="700" w:type="pct"/>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593" w:type="pct"/>
            <w:vAlign w:val="center"/>
            <w:vMerge w:val="continue"/>
            <w:textDirection w:val="lrTb"/>
            <w:noWrap/>
          </w:tcPr>
          <w:p>
            <w:pPr>
              <w:jc w:val="center"/>
              <w:keepLines w:val="0"/>
              <w:keepNext w:val="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688" w:type="pct"/>
            <w:vAlign w:val="center"/>
            <w:textDirection w:val="lrTb"/>
            <w:noWrap/>
          </w:tcPr>
          <w:p>
            <w:pPr>
              <w:jc w:val="center"/>
              <w:keepLines w:val="0"/>
              <w:keepNext w:val="0"/>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21.68</w:t>
            </w:r>
            <w:r/>
          </w:p>
        </w:tc>
        <w:tc>
          <w:tcPr>
            <w:tcW w:w="832" w:type="pct"/>
            <w:vAlign w:val="center"/>
            <w:vMerge w:val="continue"/>
            <w:textDirection w:val="lrTb"/>
            <w:noWrap/>
          </w:tcPr>
          <w:p>
            <w:pPr>
              <w:jc w:val="center"/>
              <w:spacing w:line="360" w:lineRule="auto"/>
              <w:widowControl/>
              <w:rPr>
                <w:rFonts w:hint="eastAsia"/>
              </w:rPr>
            </w:pPr>
            <w:r>
              <w:rPr>
                <w:rFonts w:hint="eastAsia"/>
              </w:rPr>
            </w:r>
            <w:r/>
          </w:p>
        </w:tc>
      </w:tr>
      <w:tr>
        <w:trPr>
          <w:jc w:val="center"/>
          <w:trHeight w:val="600"/>
        </w:trPr>
        <w:tc>
          <w:tcPr>
            <w:tcW w:w="339" w:type="pct"/>
            <w:vAlign w:val="center"/>
            <w:vMerge w:val="continue"/>
            <w:textDirection w:val="lrTb"/>
            <w:noWrap w:val="false"/>
          </w:tcPr>
          <w:p>
            <w:pPr>
              <w:jc w:val="center"/>
              <w:keepLines w:val="0"/>
              <w:keepNext w:val="0"/>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常州市龙城高级中学</w:t>
            </w:r>
            <w:r/>
          </w:p>
        </w:tc>
        <w:tc>
          <w:tcPr>
            <w:shd w:val="clear" w:color="auto" w:fill="auto"/>
            <w:tcW w:w="700" w:type="pct"/>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593" w:type="pct"/>
            <w:vAlign w:val="center"/>
            <w:vMerge w:val="continue"/>
            <w:textDirection w:val="lrTb"/>
            <w:noWrap/>
          </w:tcPr>
          <w:p>
            <w:pPr>
              <w:jc w:val="center"/>
              <w:keepLines w:val="0"/>
              <w:keepNext w:val="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688" w:type="pct"/>
            <w:vAlign w:val="center"/>
            <w:textDirection w:val="lrTb"/>
            <w:noWrap/>
          </w:tcPr>
          <w:p>
            <w:pPr>
              <w:jc w:val="center"/>
              <w:keepLines w:val="0"/>
              <w:keepNext w:val="0"/>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28.37</w:t>
            </w:r>
            <w:r/>
          </w:p>
        </w:tc>
        <w:tc>
          <w:tcPr>
            <w:tcW w:w="832" w:type="pct"/>
            <w:vAlign w:val="center"/>
            <w:vMerge w:val="continue"/>
            <w:textDirection w:val="lrTb"/>
            <w:noWrap/>
          </w:tcPr>
          <w:p>
            <w:pPr>
              <w:jc w:val="center"/>
              <w:spacing w:line="360" w:lineRule="auto"/>
              <w:widowControl/>
              <w:rPr>
                <w:rFonts w:hint="eastAsia"/>
              </w:rPr>
            </w:pPr>
            <w:r>
              <w:rPr>
                <w:rFonts w:hint="eastAsia"/>
              </w:rPr>
            </w:r>
            <w:r/>
          </w:p>
        </w:tc>
      </w:tr>
      <w:tr>
        <w:trPr>
          <w:jc w:val="center"/>
          <w:trHeight w:val="600"/>
        </w:trPr>
        <w:tc>
          <w:tcPr>
            <w:tcW w:w="339" w:type="pct"/>
            <w:vAlign w:val="center"/>
            <w:vMerge w:val="continue"/>
            <w:textDirection w:val="lrTb"/>
            <w:noWrap w:val="false"/>
          </w:tcPr>
          <w:p>
            <w:pPr>
              <w:jc w:val="center"/>
              <w:keepLines w:val="0"/>
              <w:keepNext w:val="0"/>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常州市三河口高级中学</w:t>
            </w:r>
            <w:r/>
          </w:p>
        </w:tc>
        <w:tc>
          <w:tcPr>
            <w:shd w:val="clear" w:color="auto" w:fill="auto"/>
            <w:tcW w:w="700" w:type="pct"/>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593" w:type="pct"/>
            <w:vAlign w:val="center"/>
            <w:vMerge w:val="continue"/>
            <w:textDirection w:val="lrTb"/>
            <w:noWrap/>
          </w:tcPr>
          <w:p>
            <w:pPr>
              <w:jc w:val="center"/>
              <w:keepLines w:val="0"/>
              <w:keepNext w:val="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688" w:type="pct"/>
            <w:vAlign w:val="center"/>
            <w:textDirection w:val="lrTb"/>
            <w:noWrap/>
          </w:tcPr>
          <w:p>
            <w:pPr>
              <w:jc w:val="center"/>
              <w:keepLines w:val="0"/>
              <w:keepNext w:val="0"/>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6.07</w:t>
            </w:r>
            <w:r/>
          </w:p>
        </w:tc>
        <w:tc>
          <w:tcPr>
            <w:tcW w:w="832" w:type="pct"/>
            <w:vAlign w:val="center"/>
            <w:vMerge w:val="continue"/>
            <w:textDirection w:val="lrTb"/>
            <w:noWrap/>
          </w:tcPr>
          <w:p>
            <w:pPr>
              <w:jc w:val="center"/>
              <w:spacing w:line="360" w:lineRule="auto"/>
              <w:widowControl/>
              <w:rPr>
                <w:rFonts w:hint="eastAsia"/>
              </w:rPr>
            </w:pPr>
            <w:r>
              <w:rPr>
                <w:rFonts w:hint="eastAsia"/>
              </w:rPr>
            </w:r>
            <w:r/>
          </w:p>
        </w:tc>
      </w:tr>
      <w:tr>
        <w:trPr>
          <w:jc w:val="center"/>
          <w:trHeight w:val="600"/>
        </w:trPr>
        <w:tc>
          <w:tcPr>
            <w:tcW w:w="339" w:type="pct"/>
            <w:vAlign w:val="center"/>
            <w:vMerge w:val="continue"/>
            <w:textDirection w:val="lrTb"/>
            <w:noWrap w:val="false"/>
          </w:tcPr>
          <w:p>
            <w:pPr>
              <w:jc w:val="center"/>
              <w:keepLines w:val="0"/>
              <w:keepNext w:val="0"/>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常州刘国钧高等职业技术学校</w:t>
            </w:r>
            <w:r/>
          </w:p>
        </w:tc>
        <w:tc>
          <w:tcPr>
            <w:shd w:val="clear" w:color="auto" w:fill="auto"/>
            <w:tcW w:w="700" w:type="pct"/>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593" w:type="pct"/>
            <w:vAlign w:val="center"/>
            <w:vMerge w:val="continue"/>
            <w:textDirection w:val="lrTb"/>
            <w:noWrap/>
          </w:tcPr>
          <w:p>
            <w:pPr>
              <w:jc w:val="center"/>
              <w:keepLines w:val="0"/>
              <w:keepNext w:val="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688" w:type="pct"/>
            <w:vAlign w:val="center"/>
            <w:textDirection w:val="lrTb"/>
            <w:noWrap/>
          </w:tcPr>
          <w:p>
            <w:pPr>
              <w:jc w:val="center"/>
              <w:keepLines w:val="0"/>
              <w:keepNext w:val="0"/>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53.92</w:t>
            </w:r>
            <w:r/>
          </w:p>
        </w:tc>
        <w:tc>
          <w:tcPr>
            <w:tcW w:w="832" w:type="pct"/>
            <w:vAlign w:val="center"/>
            <w:vMerge w:val="continue"/>
            <w:textDirection w:val="lrTb"/>
            <w:noWrap/>
          </w:tcPr>
          <w:p>
            <w:pPr>
              <w:jc w:val="center"/>
              <w:spacing w:line="360" w:lineRule="auto"/>
              <w:widowControl/>
              <w:rPr>
                <w:rFonts w:hint="eastAsia"/>
              </w:rPr>
            </w:pPr>
            <w:r>
              <w:rPr>
                <w:rFonts w:hint="eastAsia"/>
              </w:rPr>
            </w:r>
            <w:r/>
          </w:p>
        </w:tc>
      </w:tr>
      <w:tr>
        <w:trPr>
          <w:jc w:val="center"/>
          <w:trHeight w:val="600"/>
        </w:trPr>
        <w:tc>
          <w:tcPr>
            <w:tcW w:w="339" w:type="pct"/>
            <w:vAlign w:val="center"/>
            <w:vMerge w:val="continue"/>
            <w:textDirection w:val="lrTb"/>
            <w:noWrap w:val="false"/>
          </w:tcPr>
          <w:p>
            <w:pPr>
              <w:jc w:val="center"/>
              <w:keepLines w:val="0"/>
              <w:keepNext w:val="0"/>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常州开放大学</w:t>
            </w:r>
            <w:r/>
          </w:p>
        </w:tc>
        <w:tc>
          <w:tcPr>
            <w:shd w:val="clear" w:color="auto" w:fill="auto"/>
            <w:tcW w:w="700" w:type="pct"/>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593" w:type="pct"/>
            <w:vAlign w:val="center"/>
            <w:vMerge w:val="continue"/>
            <w:textDirection w:val="lrTb"/>
            <w:noWrap/>
          </w:tcPr>
          <w:p>
            <w:pPr>
              <w:jc w:val="center"/>
              <w:rPr>
                <w:rFonts w:hint="default"/>
                <w:lang w:val="en-US" w:eastAsia="zh-CN"/>
              </w:rPr>
            </w:pPr>
            <w:r>
              <w:rPr>
                <w:rFonts w:hint="default"/>
                <w:lang w:val="en-US" w:eastAsia="zh-CN"/>
              </w:rPr>
            </w:r>
            <w:r/>
          </w:p>
        </w:tc>
        <w:tc>
          <w:tcPr>
            <w:shd w:val="clear" w:color="auto" w:fill="auto"/>
            <w:tcW w:w="688" w:type="pct"/>
            <w:vAlign w:val="center"/>
            <w:textDirection w:val="lrTb"/>
            <w:noWrap/>
          </w:tcPr>
          <w:p>
            <w:pPr>
              <w:jc w:val="center"/>
              <w:keepLines w:val="0"/>
              <w:keepNext w:val="0"/>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19.4</w:t>
            </w:r>
            <w:r/>
          </w:p>
        </w:tc>
        <w:tc>
          <w:tcPr>
            <w:tcW w:w="832" w:type="pct"/>
            <w:vAlign w:val="center"/>
            <w:vMerge w:val="continue"/>
            <w:textDirection w:val="lrTb"/>
            <w:noWrap/>
          </w:tcPr>
          <w:p>
            <w:pPr>
              <w:jc w:val="center"/>
              <w:spacing w:line="360" w:lineRule="auto"/>
              <w:widowControl/>
              <w:rPr>
                <w:rFonts w:hint="eastAsia"/>
              </w:rPr>
            </w:pPr>
            <w:r>
              <w:rPr>
                <w:rFonts w:hint="eastAsia"/>
              </w:rPr>
            </w:r>
            <w:r/>
          </w:p>
        </w:tc>
      </w:tr>
      <w:tr>
        <w:trPr>
          <w:jc w:val="center"/>
          <w:trHeight w:val="600"/>
        </w:trPr>
        <w:tc>
          <w:tcPr>
            <w:tcW w:w="339" w:type="pct"/>
            <w:vAlign w:val="center"/>
            <w:vMerge w:val="continue"/>
            <w:textDirection w:val="lrTb"/>
            <w:noWrap w:val="false"/>
          </w:tcPr>
          <w:p>
            <w:pPr>
              <w:jc w:val="center"/>
              <w:keepLines w:val="0"/>
              <w:keepNext w:val="0"/>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w:t>
            </w:r>
            <w:r>
              <w:rPr>
                <w:rFonts w:hint="eastAsia" w:ascii="宋体" w:hAnsi="宋体" w:cs="宋体"/>
                <w:i w:val="0"/>
                <w:iCs w:val="0"/>
                <w:color w:val="000000"/>
                <w:sz w:val="21"/>
                <w:szCs w:val="21"/>
                <w:u w:val="none"/>
                <w:lang w:val="en-US" w:eastAsia="zh-CN" w:bidi="ar"/>
              </w:rPr>
              <w:t xml:space="preserve">旅游</w:t>
            </w:r>
            <w:r>
              <w:rPr>
                <w:rFonts w:hint="eastAsia" w:ascii="宋体" w:hAnsi="宋体" w:eastAsia="宋体" w:cs="宋体"/>
                <w:i w:val="0"/>
                <w:iCs w:val="0"/>
                <w:color w:val="000000"/>
                <w:sz w:val="21"/>
                <w:szCs w:val="21"/>
                <w:u w:val="none"/>
                <w:lang w:val="en-US" w:eastAsia="zh-CN" w:bidi="ar"/>
              </w:rPr>
              <w:t xml:space="preserve">商贸高等职业技术学校</w:t>
            </w:r>
            <w:r/>
          </w:p>
        </w:tc>
        <w:tc>
          <w:tcPr>
            <w:shd w:val="clear" w:color="auto" w:fill="auto"/>
            <w:tcW w:w="700" w:type="pct"/>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593" w:type="pct"/>
            <w:vAlign w:val="center"/>
            <w:vMerge w:val="continue"/>
            <w:textDirection w:val="lrTb"/>
            <w:noWrap/>
          </w:tcPr>
          <w:p>
            <w:pPr>
              <w:jc w:val="center"/>
              <w:keepLines w:val="0"/>
              <w:keepNext w:val="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688" w:type="pct"/>
            <w:vAlign w:val="center"/>
            <w:textDirection w:val="lrTb"/>
            <w:noWrap/>
          </w:tcPr>
          <w:p>
            <w:pPr>
              <w:jc w:val="center"/>
              <w:keepLines w:val="0"/>
              <w:keepNext w:val="0"/>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64.05</w:t>
            </w:r>
            <w:r/>
          </w:p>
        </w:tc>
        <w:tc>
          <w:tcPr>
            <w:tcW w:w="832" w:type="pct"/>
            <w:vAlign w:val="center"/>
            <w:vMerge w:val="continue"/>
            <w:textDirection w:val="lrTb"/>
            <w:noWrap/>
          </w:tcPr>
          <w:p>
            <w:pPr>
              <w:jc w:val="center"/>
              <w:spacing w:line="360" w:lineRule="auto"/>
              <w:widowControl/>
              <w:rPr>
                <w:rFonts w:hint="eastAsia"/>
              </w:rPr>
            </w:pPr>
            <w:r>
              <w:rPr>
                <w:rFonts w:hint="eastAsia"/>
              </w:rPr>
            </w:r>
            <w:r/>
          </w:p>
        </w:tc>
      </w:tr>
      <w:tr>
        <w:trPr>
          <w:jc w:val="center"/>
          <w:trHeight w:val="600"/>
        </w:trPr>
        <w:tc>
          <w:tcPr>
            <w:tcW w:w="339" w:type="pct"/>
            <w:vAlign w:val="center"/>
            <w:vMerge w:val="continue"/>
            <w:textDirection w:val="lrTb"/>
            <w:noWrap w:val="false"/>
          </w:tcPr>
          <w:p>
            <w:pPr>
              <w:jc w:val="center"/>
              <w:keepLines w:val="0"/>
              <w:keepNext w:val="0"/>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常州市中吴实验学校</w:t>
            </w:r>
            <w:r/>
          </w:p>
        </w:tc>
        <w:tc>
          <w:tcPr>
            <w:shd w:val="clear" w:color="auto" w:fill="auto"/>
            <w:tcW w:w="700" w:type="pct"/>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593" w:type="pct"/>
            <w:vAlign w:val="center"/>
            <w:vMerge w:val="continue"/>
            <w:textDirection w:val="lrTb"/>
            <w:noWrap/>
          </w:tcPr>
          <w:p>
            <w:pPr>
              <w:jc w:val="center"/>
              <w:keepLines w:val="0"/>
              <w:keepNext w:val="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688" w:type="pct"/>
            <w:vAlign w:val="center"/>
            <w:textDirection w:val="lrTb"/>
            <w:noWrap/>
          </w:tcPr>
          <w:p>
            <w:pPr>
              <w:jc w:val="center"/>
              <w:keepLines w:val="0"/>
              <w:keepNext w:val="0"/>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15.88</w:t>
            </w:r>
            <w:r/>
          </w:p>
        </w:tc>
        <w:tc>
          <w:tcPr>
            <w:tcW w:w="832" w:type="pct"/>
            <w:vAlign w:val="center"/>
            <w:vMerge w:val="continue"/>
            <w:textDirection w:val="lrTb"/>
            <w:noWrap/>
          </w:tcPr>
          <w:p>
            <w:pPr>
              <w:jc w:val="center"/>
              <w:spacing w:line="360" w:lineRule="auto"/>
              <w:widowControl/>
              <w:rPr>
                <w:rFonts w:hint="eastAsia"/>
              </w:rPr>
            </w:pPr>
            <w:r>
              <w:rPr>
                <w:rFonts w:hint="eastAsia"/>
              </w:rPr>
            </w:r>
            <w:r/>
          </w:p>
        </w:tc>
      </w:tr>
      <w:tr>
        <w:trPr>
          <w:jc w:val="center"/>
          <w:trHeight w:val="600"/>
        </w:trPr>
        <w:tc>
          <w:tcPr>
            <w:tcW w:w="339" w:type="pct"/>
            <w:vAlign w:val="center"/>
            <w:vMerge w:val="continue"/>
            <w:textDirection w:val="lrTb"/>
            <w:noWrap w:val="false"/>
          </w:tcPr>
          <w:p>
            <w:pPr>
              <w:jc w:val="center"/>
              <w:keepLines w:val="0"/>
              <w:keepNext w:val="0"/>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常州市市北实验初级中学</w:t>
            </w:r>
            <w:r/>
          </w:p>
        </w:tc>
        <w:tc>
          <w:tcPr>
            <w:shd w:val="clear" w:color="auto" w:fill="auto"/>
            <w:tcW w:w="700" w:type="pct"/>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593" w:type="pct"/>
            <w:vAlign w:val="center"/>
            <w:vMerge w:val="continue"/>
            <w:textDirection w:val="lrTb"/>
            <w:noWrap/>
          </w:tcPr>
          <w:p>
            <w:pPr>
              <w:jc w:val="center"/>
              <w:keepLines w:val="0"/>
              <w:keepNext w:val="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688" w:type="pct"/>
            <w:vAlign w:val="center"/>
            <w:textDirection w:val="lrTb"/>
            <w:noWrap/>
          </w:tcPr>
          <w:p>
            <w:pPr>
              <w:jc w:val="center"/>
              <w:keepLines w:val="0"/>
              <w:keepNext w:val="0"/>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12.82</w:t>
            </w:r>
            <w:r/>
          </w:p>
        </w:tc>
        <w:tc>
          <w:tcPr>
            <w:tcW w:w="832" w:type="pct"/>
            <w:vAlign w:val="center"/>
            <w:vMerge w:val="continue"/>
            <w:textDirection w:val="lrTb"/>
            <w:noWrap/>
          </w:tcPr>
          <w:p>
            <w:pPr>
              <w:jc w:val="center"/>
              <w:spacing w:line="360" w:lineRule="auto"/>
              <w:widowControl/>
              <w:rPr>
                <w:rFonts w:hint="eastAsia"/>
              </w:rPr>
            </w:pPr>
            <w:r>
              <w:rPr>
                <w:rFonts w:hint="eastAsia"/>
              </w:rPr>
            </w:r>
            <w:r/>
          </w:p>
        </w:tc>
      </w:tr>
      <w:tr>
        <w:trPr>
          <w:jc w:val="center"/>
          <w:trHeight w:val="600"/>
        </w:trPr>
        <w:tc>
          <w:tcPr>
            <w:tcW w:w="339" w:type="pct"/>
            <w:vAlign w:val="center"/>
            <w:vMerge w:val="continue"/>
            <w:textDirection w:val="lrTb"/>
            <w:noWrap w:val="false"/>
          </w:tcPr>
          <w:p>
            <w:pPr>
              <w:jc w:val="center"/>
              <w:keepLines w:val="0"/>
              <w:keepNext w:val="0"/>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常州市虹景中学</w:t>
            </w:r>
            <w:r/>
          </w:p>
        </w:tc>
        <w:tc>
          <w:tcPr>
            <w:shd w:val="clear" w:color="auto" w:fill="auto"/>
            <w:tcW w:w="700" w:type="pct"/>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593" w:type="pct"/>
            <w:vAlign w:val="center"/>
            <w:vMerge w:val="continue"/>
            <w:textDirection w:val="lrTb"/>
            <w:noWrap/>
          </w:tcPr>
          <w:p>
            <w:pPr>
              <w:jc w:val="center"/>
              <w:keepLines w:val="0"/>
              <w:keepNext w:val="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688" w:type="pct"/>
            <w:vAlign w:val="center"/>
            <w:textDirection w:val="lrTb"/>
            <w:noWrap/>
          </w:tcPr>
          <w:p>
            <w:pPr>
              <w:jc w:val="center"/>
              <w:keepLines w:val="0"/>
              <w:keepNext w:val="0"/>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16.2</w:t>
            </w:r>
            <w:r/>
          </w:p>
        </w:tc>
        <w:tc>
          <w:tcPr>
            <w:tcW w:w="832" w:type="pct"/>
            <w:vAlign w:val="center"/>
            <w:vMerge w:val="continue"/>
            <w:textDirection w:val="lrTb"/>
            <w:noWrap/>
          </w:tcPr>
          <w:p>
            <w:pPr>
              <w:jc w:val="center"/>
              <w:spacing w:line="360" w:lineRule="auto"/>
              <w:widowControl/>
              <w:rPr>
                <w:rFonts w:hint="eastAsia"/>
              </w:rPr>
            </w:pPr>
            <w:r>
              <w:rPr>
                <w:rFonts w:hint="eastAsia"/>
              </w:rPr>
            </w:r>
            <w:r/>
          </w:p>
        </w:tc>
      </w:tr>
      <w:tr>
        <w:trPr>
          <w:jc w:val="center"/>
          <w:trHeight w:val="600"/>
        </w:trPr>
        <w:tc>
          <w:tcPr>
            <w:tcW w:w="339" w:type="pct"/>
            <w:vAlign w:val="center"/>
            <w:vMerge w:val="continue"/>
            <w:textDirection w:val="lrTb"/>
            <w:noWrap w:val="false"/>
          </w:tcPr>
          <w:p>
            <w:pPr>
              <w:jc w:val="center"/>
              <w:keepLines w:val="0"/>
              <w:keepNext w:val="0"/>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常州市田家炳初</w:t>
            </w:r>
            <w:r>
              <w:rPr>
                <w:rFonts w:hint="eastAsia" w:ascii="宋体" w:hAnsi="宋体" w:cs="宋体"/>
                <w:i w:val="0"/>
                <w:iCs w:val="0"/>
                <w:color w:val="000000"/>
                <w:sz w:val="21"/>
                <w:szCs w:val="21"/>
                <w:u w:val="none"/>
                <w:lang w:val="en-US" w:eastAsia="zh-CN" w:bidi="ar"/>
              </w:rPr>
              <w:t xml:space="preserve">级</w:t>
            </w:r>
            <w:r>
              <w:rPr>
                <w:rFonts w:hint="eastAsia" w:ascii="宋体" w:hAnsi="宋体" w:eastAsia="宋体" w:cs="宋体"/>
                <w:i w:val="0"/>
                <w:iCs w:val="0"/>
                <w:color w:val="000000"/>
                <w:sz w:val="21"/>
                <w:szCs w:val="21"/>
                <w:u w:val="none"/>
                <w:lang w:val="en-US" w:eastAsia="zh-CN" w:bidi="ar"/>
              </w:rPr>
              <w:t xml:space="preserve">中</w:t>
            </w:r>
            <w:r>
              <w:rPr>
                <w:rFonts w:hint="eastAsia" w:ascii="宋体" w:hAnsi="宋体" w:cs="宋体"/>
                <w:i w:val="0"/>
                <w:iCs w:val="0"/>
                <w:color w:val="000000"/>
                <w:sz w:val="21"/>
                <w:szCs w:val="21"/>
                <w:u w:val="none"/>
                <w:lang w:val="en-US" w:eastAsia="zh-CN" w:bidi="ar"/>
              </w:rPr>
              <w:t xml:space="preserve">学</w:t>
            </w:r>
            <w:r/>
          </w:p>
        </w:tc>
        <w:tc>
          <w:tcPr>
            <w:shd w:val="clear" w:color="auto" w:fill="auto"/>
            <w:tcW w:w="700" w:type="pct"/>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593" w:type="pct"/>
            <w:vAlign w:val="center"/>
            <w:vMerge w:val="continue"/>
            <w:textDirection w:val="lrTb"/>
            <w:noWrap/>
          </w:tcPr>
          <w:p>
            <w:pPr>
              <w:jc w:val="center"/>
              <w:keepLines w:val="0"/>
              <w:keepNext w:val="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688" w:type="pct"/>
            <w:vAlign w:val="center"/>
            <w:textDirection w:val="lrTb"/>
            <w:noWrap/>
          </w:tcPr>
          <w:p>
            <w:pPr>
              <w:jc w:val="center"/>
              <w:keepLines w:val="0"/>
              <w:keepNext w:val="0"/>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4.96</w:t>
            </w:r>
            <w:r/>
          </w:p>
        </w:tc>
        <w:tc>
          <w:tcPr>
            <w:tcW w:w="832" w:type="pct"/>
            <w:vAlign w:val="center"/>
            <w:vMerge w:val="continue"/>
            <w:textDirection w:val="lrTb"/>
            <w:noWrap/>
          </w:tcPr>
          <w:p>
            <w:pPr>
              <w:jc w:val="center"/>
              <w:spacing w:line="360" w:lineRule="auto"/>
              <w:widowControl/>
              <w:rPr>
                <w:rFonts w:hint="eastAsia"/>
              </w:rPr>
            </w:pPr>
            <w:r>
              <w:rPr>
                <w:rFonts w:hint="eastAsia"/>
              </w:rPr>
            </w:r>
            <w:r/>
          </w:p>
        </w:tc>
      </w:tr>
      <w:tr>
        <w:trPr>
          <w:jc w:val="center"/>
          <w:trHeight w:val="600"/>
        </w:trPr>
        <w:tc>
          <w:tcPr>
            <w:tcW w:w="339" w:type="pct"/>
            <w:vAlign w:val="center"/>
            <w:vMerge w:val="continue"/>
            <w:textDirection w:val="lrTb"/>
            <w:noWrap w:val="false"/>
          </w:tcPr>
          <w:p>
            <w:pPr>
              <w:jc w:val="center"/>
              <w:keepLines w:val="0"/>
              <w:keepNext w:val="0"/>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常州市北环中学</w:t>
            </w:r>
            <w:r/>
          </w:p>
        </w:tc>
        <w:tc>
          <w:tcPr>
            <w:shd w:val="clear" w:color="auto" w:fill="auto"/>
            <w:tcW w:w="700" w:type="pct"/>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593" w:type="pct"/>
            <w:vAlign w:val="center"/>
            <w:vMerge w:val="continue"/>
            <w:textDirection w:val="lrTb"/>
            <w:noWrap/>
          </w:tcPr>
          <w:p>
            <w:pPr>
              <w:jc w:val="center"/>
              <w:keepLines w:val="0"/>
              <w:keepNext w:val="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688" w:type="pct"/>
            <w:vAlign w:val="center"/>
            <w:textDirection w:val="lrTb"/>
            <w:noWrap/>
          </w:tcPr>
          <w:p>
            <w:pPr>
              <w:jc w:val="center"/>
              <w:keepLines w:val="0"/>
              <w:keepNext w:val="0"/>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10.47</w:t>
            </w:r>
            <w:r/>
          </w:p>
        </w:tc>
        <w:tc>
          <w:tcPr>
            <w:tcW w:w="832" w:type="pct"/>
            <w:vAlign w:val="center"/>
            <w:vMerge w:val="continue"/>
            <w:textDirection w:val="lrTb"/>
            <w:noWrap/>
          </w:tcPr>
          <w:p>
            <w:pPr>
              <w:jc w:val="center"/>
              <w:spacing w:line="360" w:lineRule="auto"/>
              <w:widowControl/>
              <w:rPr>
                <w:rFonts w:hint="eastAsia"/>
              </w:rPr>
            </w:pPr>
            <w:r>
              <w:rPr>
                <w:rFonts w:hint="eastAsia"/>
              </w:rPr>
            </w:r>
            <w:r/>
          </w:p>
        </w:tc>
      </w:tr>
      <w:tr>
        <w:trPr>
          <w:jc w:val="center"/>
          <w:trHeight w:val="600"/>
        </w:trPr>
        <w:tc>
          <w:tcPr>
            <w:tcW w:w="339" w:type="pct"/>
            <w:vAlign w:val="center"/>
            <w:vMerge w:val="continue"/>
            <w:textDirection w:val="lrTb"/>
            <w:noWrap w:val="false"/>
          </w:tcPr>
          <w:p>
            <w:pPr>
              <w:jc w:val="center"/>
              <w:keepLines w:val="0"/>
              <w:keepNext w:val="0"/>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常州市兰陵中学</w:t>
            </w:r>
            <w:r/>
          </w:p>
        </w:tc>
        <w:tc>
          <w:tcPr>
            <w:shd w:val="clear" w:color="auto" w:fill="auto"/>
            <w:tcW w:w="700" w:type="pct"/>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593" w:type="pct"/>
            <w:vAlign w:val="center"/>
            <w:vMerge w:val="continue"/>
            <w:textDirection w:val="lrTb"/>
            <w:noWrap/>
          </w:tcPr>
          <w:p>
            <w:pPr>
              <w:jc w:val="center"/>
              <w:keepLines w:val="0"/>
              <w:keepNext w:val="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688" w:type="pct"/>
            <w:vAlign w:val="center"/>
            <w:textDirection w:val="lrTb"/>
            <w:noWrap/>
          </w:tcPr>
          <w:p>
            <w:pPr>
              <w:jc w:val="center"/>
              <w:keepLines w:val="0"/>
              <w:keepNext w:val="0"/>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5.21</w:t>
            </w:r>
            <w:r/>
          </w:p>
        </w:tc>
        <w:tc>
          <w:tcPr>
            <w:tcW w:w="832" w:type="pct"/>
            <w:vAlign w:val="center"/>
            <w:vMerge w:val="continue"/>
            <w:textDirection w:val="lrTb"/>
            <w:noWrap/>
          </w:tcPr>
          <w:p>
            <w:pPr>
              <w:jc w:val="center"/>
              <w:spacing w:line="360" w:lineRule="auto"/>
              <w:widowControl/>
              <w:rPr>
                <w:rFonts w:hint="eastAsia"/>
              </w:rPr>
            </w:pPr>
            <w:r>
              <w:rPr>
                <w:rFonts w:hint="eastAsia"/>
              </w:rPr>
            </w:r>
            <w:r/>
          </w:p>
        </w:tc>
      </w:tr>
      <w:tr>
        <w:trPr>
          <w:jc w:val="center"/>
          <w:trHeight w:val="600"/>
        </w:trPr>
        <w:tc>
          <w:tcPr>
            <w:tcW w:w="339" w:type="pct"/>
            <w:vAlign w:val="center"/>
            <w:vMerge w:val="continue"/>
            <w:textDirection w:val="lrTb"/>
            <w:noWrap w:val="false"/>
          </w:tcPr>
          <w:p>
            <w:pPr>
              <w:jc w:val="center"/>
              <w:keepLines w:val="0"/>
              <w:keepNext w:val="0"/>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常州市勤业中学</w:t>
            </w:r>
            <w:r/>
          </w:p>
        </w:tc>
        <w:tc>
          <w:tcPr>
            <w:shd w:val="clear" w:color="auto" w:fill="auto"/>
            <w:tcW w:w="700" w:type="pct"/>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593" w:type="pct"/>
            <w:vAlign w:val="center"/>
            <w:vMerge w:val="continue"/>
            <w:textDirection w:val="lrTb"/>
            <w:noWrap/>
          </w:tcPr>
          <w:p>
            <w:pPr>
              <w:jc w:val="center"/>
              <w:keepLines w:val="0"/>
              <w:keepNext w:val="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688" w:type="pct"/>
            <w:vAlign w:val="center"/>
            <w:textDirection w:val="lrTb"/>
            <w:noWrap/>
          </w:tcPr>
          <w:p>
            <w:pPr>
              <w:jc w:val="center"/>
              <w:keepLines w:val="0"/>
              <w:keepNext w:val="0"/>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10.72</w:t>
            </w:r>
            <w:r/>
          </w:p>
        </w:tc>
        <w:tc>
          <w:tcPr>
            <w:tcW w:w="832" w:type="pct"/>
            <w:vAlign w:val="center"/>
            <w:vMerge w:val="continue"/>
            <w:textDirection w:val="lrTb"/>
            <w:noWrap/>
          </w:tcPr>
          <w:p>
            <w:pPr>
              <w:jc w:val="center"/>
              <w:spacing w:line="360" w:lineRule="auto"/>
              <w:widowControl/>
              <w:rPr>
                <w:rFonts w:hint="eastAsia"/>
              </w:rPr>
            </w:pPr>
            <w:r>
              <w:rPr>
                <w:rFonts w:hint="eastAsia"/>
              </w:rPr>
            </w:r>
            <w:r/>
          </w:p>
        </w:tc>
      </w:tr>
      <w:tr>
        <w:trPr>
          <w:jc w:val="center"/>
          <w:trHeight w:val="600"/>
        </w:trPr>
        <w:tc>
          <w:tcPr>
            <w:tcW w:w="339" w:type="pct"/>
            <w:vAlign w:val="center"/>
            <w:vMerge w:val="continue"/>
            <w:textDirection w:val="lrTb"/>
            <w:noWrap w:val="false"/>
          </w:tcPr>
          <w:p>
            <w:pPr>
              <w:jc w:val="center"/>
              <w:keepLines w:val="0"/>
              <w:keepNext w:val="0"/>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常州市实验</w:t>
            </w:r>
            <w:r>
              <w:rPr>
                <w:rFonts w:hint="eastAsia" w:ascii="宋体" w:hAnsi="宋体" w:cs="宋体"/>
                <w:i w:val="0"/>
                <w:iCs w:val="0"/>
                <w:color w:val="000000"/>
                <w:sz w:val="21"/>
                <w:szCs w:val="21"/>
                <w:u w:val="none"/>
                <w:lang w:val="en-US" w:eastAsia="zh-CN" w:bidi="ar"/>
              </w:rPr>
              <w:t xml:space="preserve">初级中学</w:t>
            </w:r>
            <w:r/>
          </w:p>
        </w:tc>
        <w:tc>
          <w:tcPr>
            <w:shd w:val="clear" w:color="auto" w:fill="auto"/>
            <w:tcW w:w="700" w:type="pct"/>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593" w:type="pct"/>
            <w:vAlign w:val="center"/>
            <w:vMerge w:val="continue"/>
            <w:textDirection w:val="lrTb"/>
            <w:noWrap/>
          </w:tcPr>
          <w:p>
            <w:pPr>
              <w:jc w:val="center"/>
              <w:keepLines w:val="0"/>
              <w:keepNext w:val="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688" w:type="pct"/>
            <w:vAlign w:val="center"/>
            <w:textDirection w:val="lrTb"/>
            <w:noWrap/>
          </w:tcPr>
          <w:p>
            <w:pPr>
              <w:jc w:val="center"/>
              <w:keepLines w:val="0"/>
              <w:keepNext w:val="0"/>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22.63</w:t>
            </w:r>
            <w:r/>
          </w:p>
        </w:tc>
        <w:tc>
          <w:tcPr>
            <w:tcW w:w="832" w:type="pct"/>
            <w:vAlign w:val="center"/>
            <w:vMerge w:val="continue"/>
            <w:textDirection w:val="lrTb"/>
            <w:noWrap/>
          </w:tcPr>
          <w:p>
            <w:pPr>
              <w:jc w:val="center"/>
              <w:spacing w:line="360" w:lineRule="auto"/>
              <w:widowControl/>
              <w:rPr>
                <w:rFonts w:hint="eastAsia"/>
              </w:rPr>
            </w:pPr>
            <w:r>
              <w:rPr>
                <w:rFonts w:hint="eastAsia"/>
              </w:rPr>
            </w:r>
            <w:r/>
          </w:p>
        </w:tc>
      </w:tr>
      <w:tr>
        <w:trPr>
          <w:jc w:val="center"/>
          <w:trHeight w:val="600"/>
        </w:trPr>
        <w:tc>
          <w:tcPr>
            <w:tcW w:w="339" w:type="pct"/>
            <w:vAlign w:val="center"/>
            <w:vMerge w:val="continue"/>
            <w:textDirection w:val="lrTb"/>
            <w:noWrap w:val="false"/>
          </w:tcPr>
          <w:p>
            <w:pPr>
              <w:jc w:val="center"/>
              <w:keepLines w:val="0"/>
              <w:keepNext w:val="0"/>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常州市翠竹中学</w:t>
            </w:r>
            <w:r/>
          </w:p>
        </w:tc>
        <w:tc>
          <w:tcPr>
            <w:shd w:val="clear" w:color="auto" w:fill="auto"/>
            <w:tcW w:w="700" w:type="pct"/>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593" w:type="pct"/>
            <w:vAlign w:val="center"/>
            <w:vMerge w:val="continue"/>
            <w:textDirection w:val="lrTb"/>
            <w:noWrap/>
          </w:tcPr>
          <w:p>
            <w:pPr>
              <w:jc w:val="center"/>
              <w:keepLines w:val="0"/>
              <w:keepNext w:val="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688" w:type="pct"/>
            <w:vAlign w:val="center"/>
            <w:textDirection w:val="lrTb"/>
            <w:noWrap/>
          </w:tcPr>
          <w:p>
            <w:pPr>
              <w:jc w:val="center"/>
              <w:keepLines w:val="0"/>
              <w:keepNext w:val="0"/>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10.91</w:t>
            </w:r>
            <w:r/>
          </w:p>
        </w:tc>
        <w:tc>
          <w:tcPr>
            <w:tcW w:w="832" w:type="pct"/>
            <w:vAlign w:val="center"/>
            <w:vMerge w:val="continue"/>
            <w:textDirection w:val="lrTb"/>
            <w:noWrap/>
          </w:tcPr>
          <w:p>
            <w:pPr>
              <w:jc w:val="center"/>
              <w:spacing w:line="360" w:lineRule="auto"/>
              <w:widowControl/>
              <w:rPr>
                <w:rFonts w:hint="eastAsia"/>
              </w:rPr>
            </w:pPr>
            <w:r>
              <w:rPr>
                <w:rFonts w:hint="eastAsia"/>
              </w:rPr>
            </w:r>
            <w:r/>
          </w:p>
        </w:tc>
      </w:tr>
      <w:tr>
        <w:trPr>
          <w:jc w:val="center"/>
          <w:trHeight w:val="600"/>
        </w:trPr>
        <w:tc>
          <w:tcPr>
            <w:tcW w:w="339" w:type="pct"/>
            <w:vAlign w:val="center"/>
            <w:vMerge w:val="continue"/>
            <w:textDirection w:val="lrTb"/>
            <w:noWrap w:val="false"/>
          </w:tcPr>
          <w:p>
            <w:pPr>
              <w:jc w:val="center"/>
              <w:keepLines w:val="0"/>
              <w:keepNext w:val="0"/>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常州市清潭中学</w:t>
            </w:r>
            <w:r/>
          </w:p>
        </w:tc>
        <w:tc>
          <w:tcPr>
            <w:shd w:val="clear" w:color="auto" w:fill="auto"/>
            <w:tcW w:w="700" w:type="pct"/>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593" w:type="pct"/>
            <w:vAlign w:val="center"/>
            <w:vMerge w:val="continue"/>
            <w:textDirection w:val="lrTb"/>
            <w:noWrap/>
          </w:tcPr>
          <w:p>
            <w:pPr>
              <w:jc w:val="center"/>
              <w:keepLines w:val="0"/>
              <w:keepNext w:val="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688" w:type="pct"/>
            <w:vAlign w:val="center"/>
            <w:textDirection w:val="lrTb"/>
            <w:noWrap/>
          </w:tcPr>
          <w:p>
            <w:pPr>
              <w:jc w:val="center"/>
              <w:keepLines w:val="0"/>
              <w:keepNext w:val="0"/>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22.67</w:t>
            </w:r>
            <w:r/>
          </w:p>
        </w:tc>
        <w:tc>
          <w:tcPr>
            <w:tcW w:w="832" w:type="pct"/>
            <w:vAlign w:val="center"/>
            <w:vMerge w:val="continue"/>
            <w:textDirection w:val="lrTb"/>
            <w:noWrap/>
          </w:tcPr>
          <w:p>
            <w:pPr>
              <w:jc w:val="center"/>
              <w:spacing w:line="360" w:lineRule="auto"/>
              <w:widowControl/>
              <w:rPr>
                <w:rFonts w:hint="eastAsia"/>
              </w:rPr>
            </w:pPr>
            <w:r>
              <w:rPr>
                <w:rFonts w:hint="eastAsia"/>
              </w:rPr>
            </w:r>
            <w:r/>
          </w:p>
        </w:tc>
      </w:tr>
      <w:tr>
        <w:trPr>
          <w:jc w:val="center"/>
          <w:trHeight w:val="600"/>
        </w:trPr>
        <w:tc>
          <w:tcPr>
            <w:tcW w:w="339" w:type="pct"/>
            <w:vAlign w:val="center"/>
            <w:vMerge w:val="continue"/>
            <w:textDirection w:val="lrTb"/>
            <w:noWrap w:val="false"/>
          </w:tcPr>
          <w:p>
            <w:pPr>
              <w:jc w:val="center"/>
              <w:keepLines w:val="0"/>
              <w:keepNext w:val="0"/>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常州市同济中学</w:t>
            </w:r>
            <w:r/>
          </w:p>
        </w:tc>
        <w:tc>
          <w:tcPr>
            <w:shd w:val="clear" w:color="auto" w:fill="auto"/>
            <w:tcW w:w="700" w:type="pct"/>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593" w:type="pct"/>
            <w:vAlign w:val="center"/>
            <w:vMerge w:val="continue"/>
            <w:textDirection w:val="lrTb"/>
            <w:noWrap/>
          </w:tcPr>
          <w:p>
            <w:pPr>
              <w:jc w:val="center"/>
              <w:keepLines w:val="0"/>
              <w:keepNext w:val="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688" w:type="pct"/>
            <w:vAlign w:val="center"/>
            <w:textDirection w:val="lrTb"/>
            <w:noWrap/>
          </w:tcPr>
          <w:p>
            <w:pPr>
              <w:jc w:val="center"/>
              <w:keepLines w:val="0"/>
              <w:keepNext w:val="0"/>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12.41</w:t>
            </w:r>
            <w:r/>
          </w:p>
        </w:tc>
        <w:tc>
          <w:tcPr>
            <w:tcW w:w="832" w:type="pct"/>
            <w:vAlign w:val="center"/>
            <w:vMerge w:val="continue"/>
            <w:textDirection w:val="lrTb"/>
            <w:noWrap/>
          </w:tcPr>
          <w:p>
            <w:pPr>
              <w:jc w:val="center"/>
              <w:spacing w:line="360" w:lineRule="auto"/>
              <w:widowControl/>
              <w:rPr>
                <w:rFonts w:hint="eastAsia"/>
              </w:rPr>
            </w:pPr>
            <w:r>
              <w:rPr>
                <w:rFonts w:hint="eastAsia"/>
              </w:rPr>
            </w:r>
            <w:r/>
          </w:p>
        </w:tc>
      </w:tr>
      <w:tr>
        <w:trPr>
          <w:jc w:val="center"/>
          <w:trHeight w:val="600"/>
        </w:trPr>
        <w:tc>
          <w:tcPr>
            <w:tcW w:w="339" w:type="pct"/>
            <w:vAlign w:val="center"/>
            <w:vMerge w:val="continue"/>
            <w:textDirection w:val="lrTb"/>
            <w:noWrap w:val="false"/>
          </w:tcPr>
          <w:p>
            <w:pPr>
              <w:jc w:val="center"/>
              <w:keepLines w:val="0"/>
              <w:keepNext w:val="0"/>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常州西藏民族中学</w:t>
            </w:r>
            <w:r/>
          </w:p>
        </w:tc>
        <w:tc>
          <w:tcPr>
            <w:shd w:val="clear" w:color="auto" w:fill="auto"/>
            <w:tcW w:w="700" w:type="pct"/>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593" w:type="pct"/>
            <w:vAlign w:val="center"/>
            <w:vMerge w:val="continue"/>
            <w:textDirection w:val="lrTb"/>
            <w:noWrap/>
          </w:tcPr>
          <w:p>
            <w:pPr>
              <w:jc w:val="center"/>
              <w:keepLines w:val="0"/>
              <w:keepNext w:val="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688" w:type="pct"/>
            <w:vAlign w:val="center"/>
            <w:textDirection w:val="lrTb"/>
            <w:noWrap/>
          </w:tcPr>
          <w:p>
            <w:pPr>
              <w:jc w:val="center"/>
              <w:keepLines w:val="0"/>
              <w:keepNext w:val="0"/>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11.13</w:t>
            </w:r>
            <w:r/>
          </w:p>
        </w:tc>
        <w:tc>
          <w:tcPr>
            <w:tcW w:w="832" w:type="pct"/>
            <w:vAlign w:val="center"/>
            <w:vMerge w:val="continue"/>
            <w:textDirection w:val="lrTb"/>
            <w:noWrap/>
          </w:tcPr>
          <w:p>
            <w:pPr>
              <w:jc w:val="center"/>
              <w:spacing w:line="360" w:lineRule="auto"/>
              <w:widowControl/>
              <w:rPr>
                <w:rFonts w:hint="eastAsia"/>
              </w:rPr>
            </w:pPr>
            <w:r>
              <w:rPr>
                <w:rFonts w:hint="eastAsia"/>
              </w:rPr>
            </w:r>
            <w:r/>
          </w:p>
        </w:tc>
      </w:tr>
      <w:tr>
        <w:trPr>
          <w:jc w:val="center"/>
          <w:trHeight w:val="600"/>
        </w:trPr>
        <w:tc>
          <w:tcPr>
            <w:tcW w:w="339" w:type="pct"/>
            <w:vAlign w:val="center"/>
            <w:vMerge w:val="continue"/>
            <w:textDirection w:val="lrTb"/>
            <w:noWrap w:val="false"/>
          </w:tcPr>
          <w:p>
            <w:pPr>
              <w:jc w:val="center"/>
              <w:keepLines w:val="0"/>
              <w:keepNext w:val="0"/>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常州市青少年活动中心</w:t>
            </w:r>
            <w:r/>
          </w:p>
        </w:tc>
        <w:tc>
          <w:tcPr>
            <w:shd w:val="clear" w:color="auto" w:fill="auto"/>
            <w:tcW w:w="700" w:type="pct"/>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593" w:type="pct"/>
            <w:vAlign w:val="center"/>
            <w:vMerge w:val="continue"/>
            <w:textDirection w:val="lrTb"/>
            <w:noWrap/>
          </w:tcPr>
          <w:p>
            <w:pPr>
              <w:jc w:val="center"/>
              <w:keepLines w:val="0"/>
              <w:keepNext w:val="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688" w:type="pct"/>
            <w:vAlign w:val="center"/>
            <w:textDirection w:val="lrTb"/>
            <w:noWrap/>
          </w:tcPr>
          <w:p>
            <w:pPr>
              <w:jc w:val="center"/>
              <w:keepLines w:val="0"/>
              <w:keepNext w:val="0"/>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18.87</w:t>
            </w:r>
            <w:r/>
          </w:p>
        </w:tc>
        <w:tc>
          <w:tcPr>
            <w:tcW w:w="832" w:type="pct"/>
            <w:vAlign w:val="center"/>
            <w:vMerge w:val="continue"/>
            <w:textDirection w:val="lrTb"/>
            <w:noWrap/>
          </w:tcPr>
          <w:p>
            <w:pPr>
              <w:jc w:val="center"/>
              <w:spacing w:line="360" w:lineRule="auto"/>
              <w:widowControl/>
              <w:rPr>
                <w:rFonts w:hint="eastAsia"/>
              </w:rPr>
            </w:pPr>
            <w:r>
              <w:rPr>
                <w:rFonts w:hint="eastAsia"/>
              </w:rPr>
            </w:r>
            <w:r/>
          </w:p>
        </w:tc>
      </w:tr>
      <w:tr>
        <w:trPr>
          <w:jc w:val="center"/>
          <w:trHeight w:val="600"/>
        </w:trPr>
        <w:tc>
          <w:tcPr>
            <w:tcW w:w="339" w:type="pct"/>
            <w:vAlign w:val="center"/>
            <w:vMerge w:val="continue"/>
            <w:textDirection w:val="lrTb"/>
            <w:noWrap w:val="false"/>
          </w:tcPr>
          <w:p>
            <w:pPr>
              <w:jc w:val="center"/>
              <w:keepLines w:val="0"/>
              <w:keepNext w:val="0"/>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常州市北郊</w:t>
            </w:r>
            <w:r>
              <w:rPr>
                <w:rFonts w:hint="eastAsia" w:ascii="宋体" w:hAnsi="宋体" w:cs="宋体"/>
                <w:i w:val="0"/>
                <w:iCs w:val="0"/>
                <w:color w:val="000000"/>
                <w:sz w:val="21"/>
                <w:szCs w:val="21"/>
                <w:u w:val="none"/>
                <w:lang w:val="en-US" w:eastAsia="zh-CN" w:bidi="ar"/>
              </w:rPr>
              <w:t xml:space="preserve">初级中学</w:t>
            </w:r>
            <w:r/>
          </w:p>
        </w:tc>
        <w:tc>
          <w:tcPr>
            <w:shd w:val="clear" w:color="auto" w:fill="auto"/>
            <w:tcW w:w="700" w:type="pct"/>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593" w:type="pct"/>
            <w:vAlign w:val="center"/>
            <w:vMerge w:val="continue"/>
            <w:textDirection w:val="lrTb"/>
            <w:noWrap/>
          </w:tcPr>
          <w:p>
            <w:pPr>
              <w:jc w:val="center"/>
              <w:keepLines w:val="0"/>
              <w:keepNext w:val="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688" w:type="pct"/>
            <w:vAlign w:val="center"/>
            <w:textDirection w:val="lrTb"/>
            <w:noWrap/>
          </w:tcPr>
          <w:p>
            <w:pPr>
              <w:jc w:val="center"/>
              <w:keepLines w:val="0"/>
              <w:keepNext w:val="0"/>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12.1</w:t>
            </w:r>
            <w:r/>
          </w:p>
        </w:tc>
        <w:tc>
          <w:tcPr>
            <w:tcW w:w="832" w:type="pct"/>
            <w:vAlign w:val="center"/>
            <w:vMerge w:val="continue"/>
            <w:textDirection w:val="lrTb"/>
            <w:noWrap/>
          </w:tcPr>
          <w:p>
            <w:pPr>
              <w:jc w:val="center"/>
              <w:spacing w:line="360" w:lineRule="auto"/>
              <w:widowControl/>
              <w:rPr>
                <w:rFonts w:hint="eastAsia"/>
              </w:rPr>
            </w:pPr>
            <w:r>
              <w:rPr>
                <w:rFonts w:hint="eastAsia"/>
              </w:rPr>
            </w:r>
            <w:r/>
          </w:p>
        </w:tc>
      </w:tr>
      <w:tr>
        <w:trPr>
          <w:jc w:val="center"/>
          <w:trHeight w:val="600"/>
        </w:trPr>
        <w:tc>
          <w:tcPr>
            <w:tcW w:w="339" w:type="pct"/>
            <w:vAlign w:val="center"/>
            <w:vMerge w:val="continue"/>
            <w:textDirection w:val="lrTb"/>
            <w:noWrap w:val="false"/>
          </w:tcPr>
          <w:p>
            <w:pPr>
              <w:jc w:val="center"/>
              <w:keepLines w:val="0"/>
              <w:keepNext w:val="0"/>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常州市明德实验中学</w:t>
            </w:r>
            <w:r/>
          </w:p>
        </w:tc>
        <w:tc>
          <w:tcPr>
            <w:shd w:val="clear" w:color="auto" w:fill="auto"/>
            <w:tcW w:w="700" w:type="pct"/>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593" w:type="pct"/>
            <w:vAlign w:val="center"/>
            <w:vMerge w:val="continue"/>
            <w:textDirection w:val="lrTb"/>
            <w:noWrap/>
          </w:tcPr>
          <w:p>
            <w:pPr>
              <w:jc w:val="center"/>
              <w:keepLines w:val="0"/>
              <w:keepNext w:val="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688" w:type="pct"/>
            <w:vAlign w:val="center"/>
            <w:textDirection w:val="lrTb"/>
            <w:noWrap/>
          </w:tcPr>
          <w:p>
            <w:pPr>
              <w:jc w:val="center"/>
              <w:keepLines w:val="0"/>
              <w:keepNext w:val="0"/>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18.71</w:t>
            </w:r>
            <w:r/>
          </w:p>
        </w:tc>
        <w:tc>
          <w:tcPr>
            <w:tcW w:w="832" w:type="pct"/>
            <w:vAlign w:val="center"/>
            <w:vMerge w:val="continue"/>
            <w:textDirection w:val="lrTb"/>
            <w:noWrap/>
          </w:tcPr>
          <w:p>
            <w:pPr>
              <w:jc w:val="center"/>
              <w:spacing w:line="360" w:lineRule="auto"/>
              <w:widowControl/>
              <w:rPr>
                <w:rFonts w:hint="eastAsia"/>
              </w:rPr>
            </w:pPr>
            <w:r>
              <w:rPr>
                <w:rFonts w:hint="eastAsia"/>
              </w:rPr>
            </w:r>
            <w:r/>
          </w:p>
        </w:tc>
      </w:tr>
      <w:tr>
        <w:trPr>
          <w:jc w:val="center"/>
          <w:trHeight w:val="600"/>
        </w:trPr>
        <w:tc>
          <w:tcPr>
            <w:tcW w:w="339" w:type="pct"/>
            <w:vAlign w:val="center"/>
            <w:vMerge w:val="continue"/>
            <w:textDirection w:val="lrTb"/>
            <w:noWrap w:val="false"/>
          </w:tcPr>
          <w:p>
            <w:pPr>
              <w:jc w:val="center"/>
              <w:keepLines w:val="0"/>
              <w:keepNext w:val="0"/>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常州市朝阳中学</w:t>
            </w:r>
            <w:r/>
          </w:p>
        </w:tc>
        <w:tc>
          <w:tcPr>
            <w:shd w:val="clear" w:color="auto" w:fill="auto"/>
            <w:tcW w:w="700" w:type="pct"/>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593" w:type="pct"/>
            <w:vAlign w:val="center"/>
            <w:vMerge w:val="continue"/>
            <w:textDirection w:val="lrTb"/>
            <w:noWrap/>
          </w:tcPr>
          <w:p>
            <w:pPr>
              <w:jc w:val="center"/>
              <w:keepLines w:val="0"/>
              <w:keepNext w:val="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688" w:type="pct"/>
            <w:vAlign w:val="center"/>
            <w:textDirection w:val="lrTb"/>
            <w:noWrap/>
          </w:tcPr>
          <w:p>
            <w:pPr>
              <w:jc w:val="center"/>
              <w:keepLines w:val="0"/>
              <w:keepNext w:val="0"/>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15.53</w:t>
            </w:r>
            <w:r/>
          </w:p>
        </w:tc>
        <w:tc>
          <w:tcPr>
            <w:tcW w:w="832" w:type="pct"/>
            <w:vAlign w:val="center"/>
            <w:vMerge w:val="continue"/>
            <w:textDirection w:val="lrTb"/>
            <w:noWrap/>
          </w:tcPr>
          <w:p>
            <w:pPr>
              <w:jc w:val="center"/>
              <w:spacing w:line="360" w:lineRule="auto"/>
              <w:widowControl/>
              <w:rPr>
                <w:rFonts w:hint="eastAsia"/>
              </w:rPr>
            </w:pPr>
            <w:r>
              <w:rPr>
                <w:rFonts w:hint="eastAsia"/>
              </w:rPr>
            </w:r>
            <w:r/>
          </w:p>
        </w:tc>
      </w:tr>
      <w:tr>
        <w:trPr>
          <w:jc w:val="center"/>
          <w:trHeight w:val="600"/>
        </w:trPr>
        <w:tc>
          <w:tcPr>
            <w:tcW w:w="339" w:type="pct"/>
            <w:vAlign w:val="center"/>
            <w:vMerge w:val="continue"/>
            <w:textDirection w:val="lrTb"/>
            <w:noWrap w:val="false"/>
          </w:tcPr>
          <w:p>
            <w:pPr>
              <w:jc w:val="center"/>
              <w:keepLines w:val="0"/>
              <w:keepNext w:val="0"/>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常州市第二十四中学</w:t>
            </w:r>
            <w:r/>
          </w:p>
        </w:tc>
        <w:tc>
          <w:tcPr>
            <w:shd w:val="clear" w:color="auto" w:fill="auto"/>
            <w:tcW w:w="700" w:type="pct"/>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593" w:type="pct"/>
            <w:vAlign w:val="center"/>
            <w:vMerge w:val="continue"/>
            <w:textDirection w:val="lrTb"/>
            <w:noWrap/>
          </w:tcPr>
          <w:p>
            <w:pPr>
              <w:jc w:val="center"/>
              <w:keepLines w:val="0"/>
              <w:keepNext w:val="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688" w:type="pct"/>
            <w:vAlign w:val="center"/>
            <w:textDirection w:val="lrTb"/>
            <w:noWrap/>
          </w:tcPr>
          <w:p>
            <w:pPr>
              <w:jc w:val="center"/>
              <w:keepLines w:val="0"/>
              <w:keepNext w:val="0"/>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11.3</w:t>
            </w:r>
            <w:r/>
          </w:p>
        </w:tc>
        <w:tc>
          <w:tcPr>
            <w:tcW w:w="832" w:type="pct"/>
            <w:vAlign w:val="center"/>
            <w:vMerge w:val="continue"/>
            <w:textDirection w:val="lrTb"/>
            <w:noWrap/>
          </w:tcPr>
          <w:p>
            <w:pPr>
              <w:jc w:val="center"/>
              <w:spacing w:line="360" w:lineRule="auto"/>
              <w:widowControl/>
              <w:rPr>
                <w:rFonts w:hint="eastAsia"/>
              </w:rPr>
            </w:pPr>
            <w:r>
              <w:rPr>
                <w:rFonts w:hint="eastAsia"/>
              </w:rPr>
            </w:r>
            <w:r/>
          </w:p>
        </w:tc>
      </w:tr>
      <w:tr>
        <w:trPr>
          <w:jc w:val="center"/>
          <w:trHeight w:val="600"/>
        </w:trPr>
        <w:tc>
          <w:tcPr>
            <w:tcW w:w="339" w:type="pct"/>
            <w:vAlign w:val="center"/>
            <w:vMerge w:val="continue"/>
            <w:textDirection w:val="lrTb"/>
            <w:noWrap w:val="false"/>
          </w:tcPr>
          <w:p>
            <w:pPr>
              <w:jc w:val="center"/>
              <w:keepLines w:val="0"/>
              <w:keepNext w:val="0"/>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常州市花园中学</w:t>
            </w:r>
            <w:r/>
          </w:p>
        </w:tc>
        <w:tc>
          <w:tcPr>
            <w:shd w:val="clear" w:color="auto" w:fill="auto"/>
            <w:tcW w:w="700" w:type="pct"/>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593" w:type="pct"/>
            <w:vAlign w:val="center"/>
            <w:vMerge w:val="continue"/>
            <w:textDirection w:val="lrTb"/>
            <w:noWrap/>
          </w:tcPr>
          <w:p>
            <w:pPr>
              <w:jc w:val="center"/>
              <w:keepLines w:val="0"/>
              <w:keepNext w:val="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688" w:type="pct"/>
            <w:vAlign w:val="center"/>
            <w:textDirection w:val="lrTb"/>
            <w:noWrap/>
          </w:tcPr>
          <w:p>
            <w:pPr>
              <w:jc w:val="center"/>
              <w:keepLines w:val="0"/>
              <w:keepNext w:val="0"/>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9.81</w:t>
            </w:r>
            <w:r/>
          </w:p>
        </w:tc>
        <w:tc>
          <w:tcPr>
            <w:tcW w:w="832" w:type="pct"/>
            <w:vAlign w:val="center"/>
            <w:vMerge w:val="continue"/>
            <w:textDirection w:val="lrTb"/>
            <w:noWrap/>
          </w:tcPr>
          <w:p>
            <w:pPr>
              <w:jc w:val="center"/>
              <w:spacing w:line="360" w:lineRule="auto"/>
              <w:widowControl/>
              <w:rPr>
                <w:rFonts w:hint="eastAsia"/>
              </w:rPr>
            </w:pPr>
            <w:r>
              <w:rPr>
                <w:rFonts w:hint="eastAsia"/>
              </w:rPr>
            </w:r>
            <w:r/>
          </w:p>
        </w:tc>
      </w:tr>
      <w:tr>
        <w:trPr>
          <w:jc w:val="center"/>
          <w:trHeight w:val="600"/>
        </w:trPr>
        <w:tc>
          <w:tcPr>
            <w:tcW w:w="339" w:type="pct"/>
            <w:vAlign w:val="center"/>
            <w:vMerge w:val="continue"/>
            <w:textDirection w:val="lrTb"/>
            <w:noWrap w:val="false"/>
          </w:tcPr>
          <w:p>
            <w:pPr>
              <w:jc w:val="center"/>
              <w:keepLines w:val="0"/>
              <w:keepNext w:val="0"/>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常州市丽华中学</w:t>
            </w:r>
            <w:r/>
          </w:p>
        </w:tc>
        <w:tc>
          <w:tcPr>
            <w:shd w:val="clear" w:color="auto" w:fill="auto"/>
            <w:tcW w:w="700" w:type="pct"/>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593" w:type="pct"/>
            <w:vAlign w:val="center"/>
            <w:vMerge w:val="continue"/>
            <w:textDirection w:val="lrTb"/>
            <w:noWrap/>
          </w:tcPr>
          <w:p>
            <w:pPr>
              <w:jc w:val="center"/>
              <w:keepLines w:val="0"/>
              <w:keepNext w:val="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688" w:type="pct"/>
            <w:vAlign w:val="center"/>
            <w:textDirection w:val="lrTb"/>
            <w:noWrap/>
          </w:tcPr>
          <w:p>
            <w:pPr>
              <w:jc w:val="center"/>
              <w:keepLines w:val="0"/>
              <w:keepNext w:val="0"/>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10.57</w:t>
            </w:r>
            <w:r/>
          </w:p>
        </w:tc>
        <w:tc>
          <w:tcPr>
            <w:tcW w:w="832" w:type="pct"/>
            <w:vAlign w:val="center"/>
            <w:vMerge w:val="continue"/>
            <w:textDirection w:val="lrTb"/>
            <w:noWrap/>
          </w:tcPr>
          <w:p>
            <w:pPr>
              <w:jc w:val="center"/>
              <w:spacing w:line="360" w:lineRule="auto"/>
              <w:widowControl/>
              <w:rPr>
                <w:rFonts w:hint="eastAsia"/>
              </w:rPr>
            </w:pPr>
            <w:r>
              <w:rPr>
                <w:rFonts w:hint="eastAsia"/>
              </w:rPr>
            </w:r>
            <w:r/>
          </w:p>
        </w:tc>
      </w:tr>
      <w:tr>
        <w:trPr>
          <w:jc w:val="center"/>
          <w:trHeight w:val="600"/>
        </w:trPr>
        <w:tc>
          <w:tcPr>
            <w:tcW w:w="339" w:type="pct"/>
            <w:vAlign w:val="center"/>
            <w:vMerge w:val="continue"/>
            <w:textDirection w:val="lrTb"/>
            <w:noWrap w:val="false"/>
          </w:tcPr>
          <w:p>
            <w:pPr>
              <w:jc w:val="center"/>
              <w:keepLines w:val="0"/>
              <w:keepNext w:val="0"/>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常州市教科院附属初级中学</w:t>
            </w:r>
            <w:r/>
          </w:p>
        </w:tc>
        <w:tc>
          <w:tcPr>
            <w:shd w:val="clear" w:color="auto" w:fill="auto"/>
            <w:tcW w:w="700" w:type="pct"/>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593" w:type="pct"/>
            <w:vAlign w:val="center"/>
            <w:vMerge w:val="continue"/>
            <w:textDirection w:val="lrTb"/>
            <w:noWrap/>
          </w:tcPr>
          <w:p>
            <w:pPr>
              <w:jc w:val="center"/>
              <w:keepLines w:val="0"/>
              <w:keepNext w:val="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688" w:type="pct"/>
            <w:vAlign w:val="center"/>
            <w:textDirection w:val="lrTb"/>
            <w:noWrap/>
          </w:tcPr>
          <w:p>
            <w:pPr>
              <w:jc w:val="center"/>
              <w:keepLines w:val="0"/>
              <w:keepNext w:val="0"/>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23.97</w:t>
            </w:r>
            <w:r/>
          </w:p>
        </w:tc>
        <w:tc>
          <w:tcPr>
            <w:tcW w:w="832" w:type="pct"/>
            <w:vAlign w:val="center"/>
            <w:vMerge w:val="continue"/>
            <w:textDirection w:val="lrTb"/>
            <w:noWrap/>
          </w:tcPr>
          <w:p>
            <w:pPr>
              <w:jc w:val="center"/>
              <w:spacing w:line="360" w:lineRule="auto"/>
              <w:widowControl/>
              <w:rPr>
                <w:rFonts w:hint="eastAsia"/>
              </w:rPr>
            </w:pPr>
            <w:r>
              <w:rPr>
                <w:rFonts w:hint="eastAsia"/>
              </w:rPr>
            </w:r>
            <w:r/>
          </w:p>
        </w:tc>
      </w:tr>
    </w:tbl>
    <w:p>
      <w:pPr>
        <w:pStyle w:val="809"/>
      </w:pPr>
      <w:r/>
      <w:r/>
    </w:p>
    <w:p>
      <w:pPr>
        <w:pStyle w:val="809"/>
        <w:spacing w:line="240" w:lineRule="auto"/>
        <w:rPr>
          <w:rFonts w:hint="default" w:eastAsia="宋体"/>
          <w:b/>
          <w:bCs/>
          <w:color w:val="ff0000"/>
          <w:lang w:val="en-US" w:eastAsia="zh-CN"/>
        </w:rPr>
      </w:pPr>
      <w:r>
        <w:rPr>
          <w:b/>
          <w:bCs/>
          <w:color w:val="ff0000"/>
        </w:rPr>
        <w:t xml:space="preserve">注：</w:t>
      </w:r>
      <w:r>
        <w:rPr>
          <w:rFonts w:hint="eastAsia"/>
          <w:b/>
          <w:bCs/>
          <w:color w:val="ff0000"/>
          <w:lang w:val="en-US" w:eastAsia="zh-CN"/>
        </w:rPr>
        <w:t xml:space="preserve">投标报价应不超过采购包总预算金额和总最高限价；对应</w:t>
      </w:r>
      <w:r>
        <w:rPr>
          <w:b/>
          <w:bCs/>
          <w:color w:val="ff0000"/>
        </w:rPr>
        <w:t xml:space="preserve">各</w:t>
      </w:r>
      <w:r>
        <w:rPr>
          <w:rFonts w:hint="eastAsia"/>
          <w:b/>
          <w:bCs/>
          <w:color w:val="ff0000"/>
          <w:lang w:val="en-US" w:eastAsia="zh-CN"/>
        </w:rPr>
        <w:t xml:space="preserve">采购单位的</w:t>
      </w:r>
      <w:r>
        <w:rPr>
          <w:b/>
          <w:bCs/>
          <w:color w:val="ff0000"/>
        </w:rPr>
        <w:t xml:space="preserve">报价</w:t>
      </w:r>
      <w:r>
        <w:rPr>
          <w:rFonts w:hint="eastAsia"/>
          <w:b/>
          <w:bCs/>
          <w:color w:val="ff0000"/>
          <w:lang w:val="en-US" w:eastAsia="zh-CN"/>
        </w:rPr>
        <w:t xml:space="preserve">也</w:t>
      </w:r>
      <w:r>
        <w:rPr>
          <w:b/>
          <w:bCs/>
          <w:color w:val="ff0000"/>
        </w:rPr>
        <w:t xml:space="preserve">不得超过</w:t>
      </w:r>
      <w:r>
        <w:rPr>
          <w:rFonts w:hint="eastAsia"/>
          <w:b/>
          <w:bCs/>
          <w:color w:val="ff0000"/>
          <w:lang w:val="en-US" w:eastAsia="zh-CN"/>
        </w:rPr>
        <w:t xml:space="preserve">各单位对应的</w:t>
      </w:r>
      <w:r>
        <w:rPr>
          <w:b/>
          <w:bCs/>
          <w:color w:val="ff0000"/>
        </w:rPr>
        <w:t xml:space="preserve">预算金额，否则作无效</w:t>
      </w:r>
      <w:r>
        <w:rPr>
          <w:rFonts w:hint="eastAsia"/>
          <w:b/>
          <w:bCs/>
          <w:color w:val="ff0000"/>
          <w:lang w:val="en-US" w:eastAsia="zh-CN"/>
        </w:rPr>
        <w:t xml:space="preserve">投标</w:t>
      </w:r>
      <w:r>
        <w:rPr>
          <w:b/>
          <w:bCs/>
          <w:color w:val="ff0000"/>
        </w:rPr>
        <w:t xml:space="preserve">处理。</w:t>
      </w:r>
      <w:r/>
    </w:p>
    <w:p>
      <w:pPr>
        <w:ind w:firstLine="480"/>
        <w:spacing w:line="360" w:lineRule="auto"/>
        <w:rPr>
          <w:rFonts w:hint="eastAsia" w:ascii="宋体" w:hAnsi="宋体"/>
          <w:sz w:val="24"/>
          <w:szCs w:val="24"/>
        </w:rPr>
      </w:pPr>
      <w:r>
        <w:rPr>
          <w:rFonts w:hint="eastAsia" w:ascii="宋体" w:hAnsi="宋体"/>
          <w:sz w:val="24"/>
          <w:szCs w:val="24"/>
        </w:rPr>
      </w:r>
      <w:r/>
    </w:p>
    <w:p>
      <w:pPr>
        <w:ind w:firstLine="480"/>
        <w:spacing w:line="360" w:lineRule="auto"/>
        <w:rPr>
          <w:rFonts w:hint="eastAsia" w:ascii="宋体" w:hAnsi="宋体"/>
          <w:sz w:val="24"/>
          <w:szCs w:val="24"/>
          <w:u w:val="single"/>
        </w:rPr>
      </w:pPr>
      <w:r>
        <w:rPr>
          <w:rFonts w:hint="eastAsia" w:ascii="宋体" w:hAnsi="宋体"/>
          <w:sz w:val="24"/>
          <w:szCs w:val="24"/>
        </w:rPr>
        <w:t xml:space="preserve">5.采购需求（简介）：</w:t>
      </w:r>
      <w:r>
        <w:rPr>
          <w:rFonts w:hint="eastAsia" w:ascii="宋体" w:hAnsi="宋体"/>
          <w:sz w:val="24"/>
          <w:szCs w:val="24"/>
          <w:lang w:val="en-US" w:eastAsia="zh-CN"/>
        </w:rPr>
        <w:t xml:space="preserve">本项目是</w:t>
      </w:r>
      <w:r>
        <w:rPr>
          <w:rFonts w:hint="eastAsia" w:ascii="宋体" w:hAnsi="宋体"/>
          <w:sz w:val="24"/>
          <w:szCs w:val="24"/>
        </w:rPr>
        <w:t xml:space="preserve">常州市教育局直属单位智慧安防</w:t>
      </w:r>
      <w:r>
        <w:rPr>
          <w:rFonts w:hint="eastAsia" w:ascii="宋体" w:hAnsi="宋体"/>
          <w:sz w:val="24"/>
          <w:szCs w:val="24"/>
          <w:lang w:eastAsia="zh-CN"/>
        </w:rPr>
        <w:t xml:space="preserve">（</w:t>
      </w:r>
      <w:r>
        <w:rPr>
          <w:rFonts w:hint="eastAsia" w:ascii="宋体" w:hAnsi="宋体"/>
          <w:sz w:val="24"/>
          <w:szCs w:val="24"/>
        </w:rPr>
        <w:t xml:space="preserve">一期</w:t>
      </w:r>
      <w:r>
        <w:rPr>
          <w:rFonts w:hint="eastAsia" w:ascii="宋体" w:hAnsi="宋体"/>
          <w:sz w:val="24"/>
          <w:szCs w:val="24"/>
          <w:lang w:eastAsia="zh-CN"/>
        </w:rPr>
        <w:t xml:space="preserve">）</w:t>
      </w:r>
      <w:r>
        <w:rPr>
          <w:rFonts w:hint="eastAsia" w:ascii="宋体" w:hAnsi="宋体"/>
          <w:sz w:val="24"/>
          <w:szCs w:val="24"/>
          <w:lang w:val="en-US" w:eastAsia="zh-CN"/>
        </w:rPr>
        <w:t xml:space="preserve">的</w:t>
      </w:r>
      <w:r>
        <w:rPr>
          <w:rFonts w:hint="eastAsia" w:ascii="宋体" w:hAnsi="宋体"/>
          <w:sz w:val="24"/>
          <w:szCs w:val="24"/>
        </w:rPr>
        <w:t xml:space="preserve">设备及安装采购</w:t>
      </w:r>
      <w:r>
        <w:rPr>
          <w:rFonts w:hint="eastAsia" w:ascii="宋体" w:hAnsi="宋体"/>
          <w:sz w:val="24"/>
          <w:szCs w:val="24"/>
          <w:lang w:eastAsia="zh-CN"/>
        </w:rPr>
        <w:t xml:space="preserve">，</w:t>
      </w:r>
      <w:r>
        <w:rPr>
          <w:rFonts w:hint="eastAsia" w:ascii="宋体" w:hAnsi="宋体"/>
          <w:sz w:val="24"/>
          <w:szCs w:val="24"/>
          <w:lang w:val="en-US" w:eastAsia="zh-CN"/>
        </w:rPr>
        <w:t xml:space="preserve">主要建设内容包含防霸凌和充电桩消防监管</w:t>
      </w:r>
      <w:r>
        <w:rPr>
          <w:rFonts w:hint="eastAsia" w:ascii="宋体" w:hAnsi="宋体"/>
          <w:sz w:val="24"/>
          <w:szCs w:val="24"/>
        </w:rPr>
        <w:t xml:space="preserve">。（详细内容见本招标文件第四章） </w:t>
      </w:r>
      <w:r>
        <w:rPr>
          <w:rFonts w:hint="eastAsia" w:ascii="宋体" w:hAnsi="宋体" w:cs="宋体"/>
          <w:sz w:val="24"/>
          <w:szCs w:val="24"/>
        </w:rPr>
        <w:t xml:space="preserve"> </w:t>
      </w:r>
      <w:r/>
    </w:p>
    <w:p>
      <w:pPr>
        <w:ind w:firstLine="480"/>
        <w:spacing w:line="360" w:lineRule="auto"/>
        <w:rPr>
          <w:rFonts w:hint="eastAsia" w:ascii="宋体" w:hAnsi="宋体"/>
          <w:sz w:val="24"/>
          <w:szCs w:val="24"/>
        </w:rPr>
      </w:pPr>
      <w:r>
        <w:rPr>
          <w:rFonts w:hint="eastAsia" w:ascii="宋体" w:hAnsi="宋体"/>
          <w:sz w:val="24"/>
          <w:szCs w:val="24"/>
        </w:rPr>
        <w:t xml:space="preserve">6.合同履行期限：</w:t>
      </w:r>
      <w:r>
        <w:rPr>
          <w:rFonts w:hint="eastAsia" w:ascii="宋体" w:hAnsi="宋体"/>
          <w:b/>
          <w:bCs/>
          <w:sz w:val="24"/>
          <w:szCs w:val="24"/>
        </w:rPr>
        <w:t xml:space="preserve">自合同签订生效之日</w:t>
      </w:r>
      <w:r>
        <w:rPr>
          <w:rFonts w:hint="eastAsia" w:ascii="宋体" w:hAnsi="宋体"/>
          <w:sz w:val="24"/>
          <w:szCs w:val="24"/>
        </w:rPr>
        <w:t xml:space="preserve">起、项目验收合格之日止。</w:t>
      </w:r>
      <w:r/>
    </w:p>
    <w:p>
      <w:pPr>
        <w:ind w:firstLine="480"/>
        <w:spacing w:line="360" w:lineRule="auto"/>
        <w:rPr>
          <w:rFonts w:hint="default" w:eastAsia="宋体"/>
          <w:lang w:val="en-US" w:eastAsia="zh-CN"/>
        </w:rPr>
      </w:pPr>
      <w:r>
        <w:rPr>
          <w:rFonts w:hint="eastAsia" w:ascii="宋体" w:hAnsi="宋体" w:eastAsia="宋体"/>
          <w:b/>
          <w:bCs/>
          <w:sz w:val="24"/>
          <w:szCs w:val="24"/>
          <w:lang w:val="en-US" w:eastAsia="zh-CN"/>
        </w:rPr>
        <w:t xml:space="preserve">7.关于符合本国产品标准的声明函不作为废标项。</w:t>
      </w:r>
      <w:r/>
    </w:p>
    <w:p>
      <w:pPr>
        <w:pStyle w:val="1004"/>
        <w:ind w:firstLine="498"/>
        <w:spacing w:before="156" w:after="156"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二、申请人的资格要求：</w:t>
      </w:r>
      <w:bookmarkEnd w:id="15"/>
      <w:r/>
      <w:bookmarkEnd w:id="16"/>
      <w:r/>
      <w:bookmarkEnd w:id="17"/>
      <w:r/>
      <w:bookmarkEnd w:id="18"/>
      <w:r/>
      <w:bookmarkEnd w:id="19"/>
      <w:r/>
      <w:r/>
    </w:p>
    <w:p>
      <w:pPr>
        <w:ind w:firstLine="480"/>
        <w:spacing w:line="360" w:lineRule="auto"/>
        <w:rPr>
          <w:rFonts w:hint="eastAsia" w:asciiTheme="minorEastAsia" w:hAnsiTheme="minorEastAsia" w:eastAsiaTheme="minorEastAsia" w:cstheme="minorEastAsia"/>
          <w:sz w:val="24"/>
          <w:szCs w:val="24"/>
        </w:rPr>
      </w:pPr>
      <w:r/>
      <w:bookmarkStart w:id="20" w:name="_Toc35393623"/>
      <w:r/>
      <w:bookmarkStart w:id="21" w:name="_Toc38985265"/>
      <w:r/>
      <w:bookmarkStart w:id="22" w:name="_Toc28359004"/>
      <w:r/>
      <w:bookmarkStart w:id="23" w:name="_Toc28359081"/>
      <w:r/>
      <w:bookmarkStart w:id="24" w:name="_Toc35393792"/>
      <w:r>
        <w:rPr>
          <w:rFonts w:hint="eastAsia" w:asciiTheme="minorEastAsia" w:hAnsiTheme="minorEastAsia" w:eastAsiaTheme="minorEastAsia" w:cstheme="minorEastAsia"/>
          <w:sz w:val="24"/>
          <w:szCs w:val="24"/>
        </w:rPr>
        <w:t xml:space="preserve">（一）通用资格要求</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1.满足《中华人民共和国政府采购法》第二十二条规定，并提供投标人资格声明函。</w:t>
      </w:r>
      <w:r/>
    </w:p>
    <w:p>
      <w:pPr>
        <w:ind w:firstLine="480"/>
        <w:spacing w:line="360" w:lineRule="auto"/>
        <w:rPr>
          <w:rFonts w:hint="eastAsia" w:asciiTheme="minorEastAsia" w:hAnsiTheme="minorEastAsia" w:eastAsiaTheme="minorEastAsia" w:cstheme="minorEastAsia"/>
          <w:sz w:val="36"/>
          <w:szCs w:val="36"/>
        </w:rPr>
      </w:pPr>
      <w:r>
        <w:rPr>
          <w:rFonts w:hint="eastAsia" w:asciiTheme="minorEastAsia" w:hAnsiTheme="minorEastAsia" w:eastAsiaTheme="minorEastAsia" w:cstheme="minorEastAsia"/>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3.落实政府采购政策需满足的资格要求：无</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4.本项目不接受联合体投标。</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（二）本项目的特定资格要求</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无</w:t>
      </w:r>
      <w:r/>
    </w:p>
    <w:p>
      <w:pPr>
        <w:pStyle w:val="1004"/>
        <w:ind w:firstLine="498"/>
        <w:spacing w:before="156" w:after="156"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三、获取招标文件</w:t>
      </w:r>
      <w:bookmarkEnd w:id="20"/>
      <w:r/>
      <w:bookmarkEnd w:id="21"/>
      <w:r/>
      <w:bookmarkEnd w:id="22"/>
      <w:r/>
      <w:bookmarkEnd w:id="23"/>
      <w:r/>
      <w:bookmarkEnd w:id="24"/>
      <w:r/>
      <w:r/>
    </w:p>
    <w:p>
      <w:pPr>
        <w:ind w:firstLine="540"/>
        <w:spacing w:line="360" w:lineRule="auto"/>
        <w:rPr>
          <w:rFonts w:hint="eastAsia" w:asciiTheme="minorEastAsia" w:hAnsiTheme="minorEastAsia" w:eastAsiaTheme="minorEastAsia" w:cstheme="minorEastAsia"/>
          <w:sz w:val="24"/>
          <w:szCs w:val="24"/>
        </w:rPr>
      </w:pPr>
      <w:r/>
      <w:bookmarkStart w:id="25" w:name="_Toc35393793"/>
      <w:r/>
      <w:bookmarkStart w:id="26" w:name="_Toc38985266"/>
      <w:r/>
      <w:bookmarkStart w:id="27" w:name="_Toc28359082"/>
      <w:r/>
      <w:bookmarkStart w:id="28" w:name="_Toc35393624"/>
      <w:r/>
      <w:bookmarkStart w:id="29" w:name="_Toc28359005"/>
      <w:r>
        <w:rPr>
          <w:rFonts w:hint="eastAsia" w:asciiTheme="minorEastAsia" w:hAnsiTheme="minorEastAsia" w:eastAsiaTheme="minorEastAsia" w:cstheme="minorEastAsia"/>
          <w:sz w:val="24"/>
          <w:szCs w:val="24"/>
        </w:rPr>
        <w:t xml:space="preserve">1.时间：详见招标公告。</w:t>
      </w:r>
      <w:r/>
    </w:p>
    <w:p>
      <w:pPr>
        <w:ind w:firstLine="540"/>
        <w:spacing w:line="360" w:lineRule="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2.方式：在“江苏政府采购网”、“常州市政府采购网”自行免费下载招标文件。</w:t>
      </w:r>
      <w:bookmarkEnd w:id="25"/>
      <w:r/>
      <w:bookmarkEnd w:id="26"/>
      <w:r/>
      <w:bookmarkEnd w:id="27"/>
      <w:r/>
      <w:bookmarkEnd w:id="28"/>
      <w:r/>
      <w:bookmarkEnd w:id="29"/>
      <w:r/>
      <w:r/>
    </w:p>
    <w:p>
      <w:pPr>
        <w:pStyle w:val="1004"/>
        <w:ind w:firstLine="498"/>
        <w:spacing w:before="156" w:after="156" w:line="360" w:lineRule="auto"/>
        <w:rPr>
          <w:rFonts w:hint="eastAsia" w:asciiTheme="minorEastAsia" w:hAnsiTheme="minorEastAsia" w:eastAsiaTheme="minorEastAsia" w:cstheme="minorEastAsia"/>
        </w:rPr>
      </w:pPr>
      <w:r/>
      <w:bookmarkStart w:id="30" w:name="_Toc28359007"/>
      <w:r/>
      <w:bookmarkStart w:id="31" w:name="_Toc35393794"/>
      <w:r/>
      <w:bookmarkStart w:id="32" w:name="_Toc35393625"/>
      <w:r/>
      <w:bookmarkStart w:id="33" w:name="_Toc28359084"/>
      <w:r/>
      <w:bookmarkStart w:id="34" w:name="_Toc38985267"/>
      <w:r>
        <w:rPr>
          <w:rFonts w:hint="eastAsia" w:asciiTheme="minorEastAsia" w:hAnsiTheme="minorEastAsia" w:eastAsiaTheme="minorEastAsia" w:cstheme="minorEastAsia"/>
        </w:rPr>
        <w:t xml:space="preserve">四、投标文件提交</w:t>
      </w:r>
      <w:r/>
    </w:p>
    <w:p>
      <w:pPr>
        <w:ind w:firstLine="54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1.时间：详见招标公告。</w:t>
      </w:r>
      <w:r/>
    </w:p>
    <w:p>
      <w:pPr>
        <w:ind w:firstLine="54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2.地点：苏采云政府采购一体化平台</w:t>
      </w:r>
      <w:r/>
    </w:p>
    <w:p>
      <w:pPr>
        <w:pStyle w:val="1004"/>
        <w:ind w:firstLine="498"/>
        <w:spacing w:before="156" w:after="156"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五、公告期限</w:t>
      </w:r>
      <w:bookmarkEnd w:id="30"/>
      <w:r/>
      <w:bookmarkEnd w:id="31"/>
      <w:r/>
      <w:bookmarkEnd w:id="32"/>
      <w:r/>
      <w:bookmarkEnd w:id="33"/>
      <w:r/>
      <w:bookmarkEnd w:id="34"/>
      <w:r/>
      <w:r/>
    </w:p>
    <w:p>
      <w:pPr>
        <w:ind w:firstLine="480"/>
        <w:rPr>
          <w:rFonts w:hint="eastAsia" w:asciiTheme="minorEastAsia" w:hAnsiTheme="minorEastAsia" w:eastAsiaTheme="minorEastAsia" w:cstheme="minorEastAsia"/>
          <w:sz w:val="24"/>
          <w:szCs w:val="24"/>
        </w:rPr>
      </w:pPr>
      <w:r/>
      <w:bookmarkStart w:id="35" w:name="_Toc35393626"/>
      <w:r/>
      <w:bookmarkStart w:id="36" w:name="_Toc35393795"/>
      <w:r/>
      <w:bookmarkStart w:id="37" w:name="_Toc38985268"/>
      <w:r>
        <w:rPr>
          <w:rFonts w:hint="eastAsia" w:asciiTheme="minorEastAsia" w:hAnsiTheme="minorEastAsia" w:eastAsiaTheme="minorEastAsia" w:cstheme="minorEastAsia"/>
          <w:sz w:val="24"/>
          <w:szCs w:val="24"/>
        </w:rPr>
        <w:t xml:space="preserve">招标公告及招标文件公告期限为自本公告发布之日起5个工作日。</w:t>
      </w:r>
      <w:r/>
    </w:p>
    <w:p>
      <w:pPr>
        <w:pStyle w:val="1004"/>
        <w:ind w:firstLine="498"/>
        <w:spacing w:before="156" w:after="156"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六、其他补充事宜</w:t>
      </w:r>
      <w:bookmarkEnd w:id="35"/>
      <w:r/>
      <w:bookmarkEnd w:id="36"/>
      <w:r/>
      <w:bookmarkEnd w:id="37"/>
      <w:r/>
      <w:r/>
    </w:p>
    <w:p>
      <w:pPr>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无</w:t>
      </w:r>
      <w:r/>
    </w:p>
    <w:p>
      <w:pPr>
        <w:pStyle w:val="1004"/>
        <w:ind w:firstLine="498"/>
        <w:spacing w:before="156" w:after="156" w:line="360" w:lineRule="auto"/>
      </w:pPr>
      <w:r/>
      <w:bookmarkStart w:id="38" w:name="_Toc28359085"/>
      <w:r/>
      <w:bookmarkStart w:id="39" w:name="_Toc35393627"/>
      <w:r/>
      <w:bookmarkStart w:id="40" w:name="_Toc38985269"/>
      <w:r/>
      <w:bookmarkStart w:id="41" w:name="_Toc28359008"/>
      <w:r/>
      <w:bookmarkStart w:id="42" w:name="_Toc35393796"/>
      <w:r/>
      <w:bookmarkStart w:id="43" w:name="_Toc28359010"/>
      <w:r/>
      <w:bookmarkStart w:id="44" w:name="_Toc28359087"/>
      <w:r>
        <w:rPr>
          <w:rFonts w:hint="eastAsia"/>
        </w:rPr>
        <w:t xml:space="preserve">七、本次招标联系方式</w:t>
      </w:r>
      <w:bookmarkEnd w:id="38"/>
      <w:r/>
      <w:bookmarkEnd w:id="39"/>
      <w:r/>
      <w:bookmarkEnd w:id="40"/>
      <w:r/>
      <w:bookmarkEnd w:id="41"/>
      <w:r/>
      <w:bookmarkEnd w:id="42"/>
      <w:r/>
      <w:r/>
    </w:p>
    <w:p>
      <w:pPr>
        <w:ind w:firstLine="720"/>
        <w:spacing w:line="360" w:lineRule="auto"/>
        <w:rPr>
          <w:rFonts w:hint="eastAsia" w:ascii="宋体" w:hAnsi="宋体" w:eastAsia="宋体" w:cs="宋体"/>
          <w:sz w:val="24"/>
          <w:szCs w:val="24"/>
          <w:lang w:eastAsia="zh-CN"/>
        </w:rPr>
      </w:pPr>
      <w:r>
        <w:rPr>
          <w:rFonts w:hint="eastAsia" w:ascii="宋体" w:hAnsi="宋体" w:cs="宋体"/>
          <w:sz w:val="24"/>
          <w:szCs w:val="24"/>
        </w:rPr>
        <w:t xml:space="preserve">1.采购人信息</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牵头单位</w:t>
      </w:r>
      <w:r>
        <w:rPr>
          <w:rFonts w:hint="eastAsia" w:ascii="宋体" w:hAnsi="宋体" w:cs="宋体"/>
          <w:sz w:val="24"/>
          <w:szCs w:val="24"/>
          <w:lang w:eastAsia="zh-CN"/>
        </w:rPr>
        <w:t xml:space="preserve">）</w:t>
      </w:r>
      <w:r/>
    </w:p>
    <w:p>
      <w:pPr>
        <w:ind w:firstLine="72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名  称：常州刘国钧高等职业技术学校</w:t>
      </w:r>
      <w:r>
        <w:rPr>
          <w:rFonts w:hint="eastAsia" w:ascii="宋体" w:hAnsi="宋体" w:cs="宋体"/>
          <w:sz w:val="24"/>
          <w:szCs w:val="24"/>
          <w:highlight w:val="none"/>
        </w:rPr>
        <w:tab/>
      </w:r>
      <w:r/>
    </w:p>
    <w:p>
      <w:pPr>
        <w:ind w:firstLine="720"/>
        <w:spacing w:line="360" w:lineRule="auto"/>
        <w:rPr>
          <w:rFonts w:hint="eastAsia" w:ascii="宋体" w:hAnsi="宋体" w:cs="宋体"/>
          <w:color w:val="auto"/>
          <w:sz w:val="24"/>
          <w:szCs w:val="24"/>
        </w:rPr>
      </w:pPr>
      <w:r>
        <w:rPr>
          <w:rFonts w:hint="eastAsia" w:ascii="宋体" w:hAnsi="宋体" w:cs="宋体"/>
          <w:color w:val="auto"/>
          <w:sz w:val="24"/>
          <w:szCs w:val="24"/>
        </w:rPr>
        <w:t xml:space="preserve">地  址：常州市常州经济开发区富民路296号</w:t>
      </w:r>
      <w:r/>
    </w:p>
    <w:p>
      <w:pPr>
        <w:ind w:firstLine="720"/>
        <w:spacing w:line="360" w:lineRule="auto"/>
        <w:rPr>
          <w:rFonts w:hint="eastAsia" w:ascii="宋体" w:hAnsi="宋体" w:cs="宋体"/>
          <w:color w:val="auto"/>
          <w:sz w:val="24"/>
          <w:szCs w:val="24"/>
        </w:rPr>
      </w:pPr>
      <w:r>
        <w:rPr>
          <w:rFonts w:hint="eastAsia" w:ascii="宋体" w:hAnsi="宋体" w:cs="宋体"/>
          <w:color w:val="auto"/>
          <w:sz w:val="24"/>
          <w:szCs w:val="24"/>
        </w:rPr>
        <w:t xml:space="preserve">联系人： 张先生</w:t>
      </w:r>
      <w:r/>
    </w:p>
    <w:p>
      <w:pPr>
        <w:ind w:firstLine="720"/>
        <w:spacing w:line="360" w:lineRule="auto"/>
        <w:rPr>
          <w:rFonts w:hint="eastAsia" w:ascii="宋体" w:hAnsi="宋体" w:cs="宋体"/>
          <w:color w:val="auto"/>
          <w:sz w:val="24"/>
          <w:szCs w:val="24"/>
        </w:rPr>
      </w:pPr>
      <w:r>
        <w:rPr>
          <w:rFonts w:hint="eastAsia" w:ascii="宋体" w:hAnsi="宋体" w:cs="宋体"/>
          <w:color w:val="auto"/>
          <w:sz w:val="24"/>
          <w:szCs w:val="24"/>
        </w:rPr>
        <w:t xml:space="preserve">联系方式：0519-68785271</w:t>
      </w:r>
      <w:r/>
    </w:p>
    <w:p>
      <w:pPr>
        <w:ind w:firstLine="720"/>
        <w:spacing w:line="360" w:lineRule="auto"/>
        <w:rPr>
          <w:rFonts w:hint="eastAsia" w:ascii="宋体" w:hAnsi="宋体" w:cs="宋体"/>
          <w:sz w:val="24"/>
          <w:szCs w:val="24"/>
        </w:rPr>
      </w:pPr>
      <w:r>
        <w:rPr>
          <w:rFonts w:hint="eastAsia" w:ascii="宋体" w:hAnsi="宋体" w:cs="宋体"/>
          <w:sz w:val="24"/>
          <w:szCs w:val="24"/>
        </w:rPr>
        <w:t xml:space="preserve">2.采购代理机构信息</w:t>
      </w:r>
      <w:r/>
    </w:p>
    <w:p>
      <w:pPr>
        <w:ind w:firstLine="720"/>
        <w:spacing w:line="360" w:lineRule="auto"/>
        <w:rPr>
          <w:rFonts w:hint="eastAsia" w:ascii="宋体" w:hAnsi="宋体" w:cs="宋体"/>
          <w:sz w:val="24"/>
          <w:szCs w:val="24"/>
        </w:rPr>
      </w:pPr>
      <w:r>
        <w:rPr>
          <w:rFonts w:hint="eastAsia" w:ascii="宋体" w:hAnsi="宋体" w:cs="宋体"/>
          <w:sz w:val="24"/>
          <w:szCs w:val="24"/>
        </w:rPr>
        <w:t xml:space="preserve">地　址：常州市钟楼区新市路9号</w:t>
      </w:r>
      <w:r/>
    </w:p>
    <w:p>
      <w:pPr>
        <w:ind w:firstLine="720"/>
        <w:spacing w:line="360" w:lineRule="auto"/>
        <w:rPr>
          <w:rFonts w:hint="eastAsia" w:ascii="宋体" w:hAnsi="宋体" w:cs="宋体"/>
          <w:sz w:val="24"/>
          <w:szCs w:val="24"/>
        </w:rPr>
      </w:pPr>
      <w:r>
        <w:rPr>
          <w:rFonts w:hint="eastAsia" w:ascii="宋体" w:hAnsi="宋体" w:cs="宋体"/>
          <w:sz w:val="24"/>
          <w:szCs w:val="24"/>
        </w:rPr>
        <w:t xml:space="preserve">采购文件相关联系人：彭先生              </w:t>
      </w:r>
      <w:r/>
    </w:p>
    <w:p>
      <w:pPr>
        <w:ind w:firstLine="720"/>
        <w:spacing w:line="360" w:lineRule="auto"/>
        <w:rPr>
          <w:rFonts w:hint="eastAsia" w:ascii="宋体" w:hAnsi="宋体" w:cs="宋体"/>
          <w:sz w:val="24"/>
          <w:szCs w:val="24"/>
        </w:rPr>
      </w:pPr>
      <w:r>
        <w:rPr>
          <w:rFonts w:hint="eastAsia" w:ascii="宋体" w:hAnsi="宋体" w:cs="宋体"/>
          <w:sz w:val="24"/>
          <w:szCs w:val="24"/>
        </w:rPr>
        <w:t xml:space="preserve">电  话：0519-81098176</w:t>
      </w:r>
      <w:r/>
    </w:p>
    <w:p>
      <w:pPr>
        <w:ind w:firstLine="720"/>
        <w:spacing w:line="360" w:lineRule="auto"/>
        <w:rPr>
          <w:rFonts w:hint="eastAsia" w:ascii="宋体" w:hAnsi="宋体" w:cs="宋体"/>
          <w:sz w:val="24"/>
          <w:szCs w:val="24"/>
        </w:rPr>
      </w:pPr>
      <w:r>
        <w:rPr>
          <w:rFonts w:hint="eastAsia" w:ascii="宋体" w:hAnsi="宋体" w:cs="宋体"/>
          <w:sz w:val="24"/>
          <w:szCs w:val="24"/>
        </w:rPr>
        <w:t xml:space="preserve">开标评审相关联系人：周先生                </w:t>
      </w:r>
      <w:r/>
    </w:p>
    <w:p>
      <w:pPr>
        <w:ind w:firstLine="720"/>
        <w:spacing w:line="360" w:lineRule="auto"/>
        <w:rPr>
          <w:rFonts w:hint="eastAsia" w:ascii="宋体" w:hAnsi="宋体" w:cs="宋体"/>
          <w:sz w:val="24"/>
          <w:szCs w:val="24"/>
        </w:rPr>
      </w:pPr>
      <w:r>
        <w:rPr>
          <w:rFonts w:hint="eastAsia" w:ascii="宋体" w:hAnsi="宋体" w:cs="宋体"/>
          <w:sz w:val="24"/>
          <w:szCs w:val="24"/>
        </w:rPr>
        <w:t xml:space="preserve">电  话：0519-86607039</w:t>
      </w:r>
      <w:r/>
    </w:p>
    <w:p>
      <w:pPr>
        <w:ind w:firstLine="720"/>
        <w:spacing w:line="360" w:lineRule="auto"/>
        <w:rPr>
          <w:rFonts w:hint="eastAsia" w:ascii="宋体" w:hAnsi="宋体" w:cs="宋体"/>
          <w:sz w:val="24"/>
          <w:szCs w:val="24"/>
        </w:rPr>
      </w:pPr>
      <w:r>
        <w:rPr>
          <w:rFonts w:hint="eastAsia" w:ascii="宋体" w:hAnsi="宋体" w:cs="宋体"/>
          <w:sz w:val="24"/>
          <w:szCs w:val="24"/>
        </w:rPr>
        <w:t xml:space="preserve">电子化招投标技术支持电话：0519-85588210</w:t>
      </w:r>
      <w:r/>
    </w:p>
    <w:p>
      <w:pPr>
        <w:ind w:firstLine="72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bookmarkEnd w:id="43"/>
      <w:r/>
      <w:bookmarkEnd w:id="44"/>
      <w:r/>
      <w:r/>
    </w:p>
    <w:p>
      <w:pPr>
        <w:pStyle w:val="1004"/>
        <w:ind w:firstLine="498"/>
        <w:spacing w:before="156" w:after="156"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八、其他</w:t>
      </w:r>
      <w:r/>
    </w:p>
    <w:p>
      <w:pPr>
        <w:ind w:firstLine="480"/>
        <w:jc w:val="left"/>
        <w:spacing w:line="560" w:lineRule="exact"/>
        <w:tabs>
          <w:tab w:val="left" w:pos="900"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sz w:val="24"/>
        </w:rPr>
        <w:t xml:space="preserve">1.</w:t>
      </w:r>
      <w:r>
        <w:rPr>
          <w:rFonts w:hint="eastAsia" w:asciiTheme="minorEastAsia" w:hAnsiTheme="minorEastAsia" w:eastAsiaTheme="minorEastAsia" w:cstheme="minorEastAsia"/>
          <w:bCs/>
          <w:sz w:val="24"/>
          <w:szCs w:val="24"/>
        </w:rPr>
        <w:t xml:space="preserve"> 根据省财政厅《关于更换全省政府采购交易系统CA数字证书和电子签章的通知》（苏财购〔2023〕101号），</w:t>
      </w:r>
      <w:r>
        <w:rPr>
          <w:rFonts w:hint="eastAsia" w:asciiTheme="minorEastAsia" w:hAnsiTheme="minorEastAsia" w:eastAsiaTheme="minorEastAsia" w:cstheme="minorEastAsia"/>
          <w:sz w:val="24"/>
          <w:szCs w:val="24"/>
        </w:rPr>
        <w:t xml:space="preserve">“苏采云”政府采购交易系统（以下简称苏采云系统）</w:t>
      </w:r>
      <w:r>
        <w:rPr>
          <w:rFonts w:hint="eastAsia" w:asciiTheme="minorEastAsia" w:hAnsiTheme="minorEastAsia" w:eastAsiaTheme="minorEastAsia" w:cstheme="minorEastAsia"/>
          <w:bCs/>
          <w:sz w:val="24"/>
          <w:szCs w:val="24"/>
        </w:rPr>
        <w:t xml:space="preserve">的CA数字证书、电子签章已更换为江苏省电子政务证书认证中心C A和方正国际软件（北京）有限公司电子签章。如果投标人通过</w:t>
      </w:r>
      <w:r>
        <w:rPr>
          <w:rFonts w:hint="eastAsia" w:asciiTheme="minorEastAsia" w:hAnsiTheme="minorEastAsia" w:eastAsiaTheme="minorEastAsia" w:cstheme="minorEastAsia"/>
          <w:sz w:val="24"/>
          <w:szCs w:val="24"/>
        </w:rPr>
        <w:t xml:space="preserve">苏采云系统</w:t>
      </w:r>
      <w:r>
        <w:rPr>
          <w:rFonts w:hint="eastAsia" w:asciiTheme="minorEastAsia" w:hAnsiTheme="minorEastAsia" w:eastAsiaTheme="minorEastAsia" w:cstheme="minorEastAsia"/>
          <w:bCs/>
          <w:sz w:val="24"/>
          <w:szCs w:val="24"/>
        </w:rPr>
        <w:t xml:space="preserve">参与政府采购项目，需要更换CA数字证书和电子签章。具体办理指南和操作手册见链接：http://www.ccgp-jiangsu.gov.cn/jiangsu/zlxz/ee/ee3a4bc5a3454aa2b0d9312230633ce9.html。</w:t>
      </w:r>
      <w:r/>
    </w:p>
    <w:p>
      <w:pPr>
        <w:ind w:firstLine="480"/>
        <w:spacing w:line="560" w:lineRule="exact"/>
        <w:tabs>
          <w:tab w:val="left" w:pos="90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ind w:firstLine="480"/>
        <w:spacing w:line="560" w:lineRule="exact"/>
        <w:tabs>
          <w:tab w:val="left" w:pos="900"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2. 有关本次招标的事项若存在变动或修改，敬请及时关注常州市教育基本建设与装备管理中心在“江苏政府采购网”</w:t>
      </w:r>
      <w:r>
        <w:rPr>
          <w:rFonts w:hint="eastAsia" w:asciiTheme="minorEastAsia" w:hAnsiTheme="minorEastAsia" w:eastAsiaTheme="minorEastAsia" w:cstheme="minorEastAsia"/>
          <w:sz w:val="24"/>
          <w:szCs w:val="24"/>
        </w:rPr>
        <w:t xml:space="preserve"> 、“常州市政府采购网”</w:t>
      </w:r>
      <w:r>
        <w:rPr>
          <w:rFonts w:hint="eastAsia" w:asciiTheme="minorEastAsia" w:hAnsiTheme="minorEastAsia" w:eastAsiaTheme="minorEastAsia" w:cstheme="minorEastAsia"/>
          <w:bCs/>
          <w:sz w:val="24"/>
          <w:szCs w:val="24"/>
        </w:rPr>
        <w:t xml:space="preserve">发布的更正公告。</w:t>
      </w:r>
      <w:r/>
    </w:p>
    <w:p>
      <w:pPr>
        <w:ind w:firstLine="480"/>
        <w:spacing w:line="560" w:lineRule="exact"/>
        <w:tabs>
          <w:tab w:val="left" w:pos="900"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3. 本次招标不收取投标保证金。</w:t>
      </w:r>
      <w:r/>
    </w:p>
    <w:p>
      <w:pPr>
        <w:ind w:firstLine="480"/>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pStyle w:val="810"/>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810"/>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810"/>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810"/>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810"/>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810"/>
        <w:rPr>
          <w:rFonts w:hint="eastAsia" w:asciiTheme="minorEastAsia" w:hAnsiTheme="minorEastAsia" w:eastAsiaTheme="minorEastAsia" w:cstheme="minorEastAsia"/>
        </w:rPr>
      </w:pPr>
      <w:r>
        <w:rPr>
          <w:rFonts w:hint="eastAsia" w:asciiTheme="minorEastAsia" w:hAnsiTheme="minorEastAsia" w:eastAsiaTheme="minorEastAsia" w:cstheme="minorEastAsia"/>
        </w:rPr>
      </w:r>
      <w:bookmarkEnd w:id="2"/>
      <w:r/>
      <w:bookmarkEnd w:id="3"/>
      <w:r/>
      <w:bookmarkEnd w:id="4"/>
      <w:r/>
      <w:bookmarkEnd w:id="5"/>
      <w:r/>
      <w:bookmarkEnd w:id="6"/>
      <w:r/>
      <w:r/>
    </w:p>
    <w:p>
      <w:pPr>
        <w:pStyle w:val="1000"/>
        <w:ind w:firstLine="2429"/>
        <w:jc w:val="both"/>
        <w:rPr>
          <w:rFonts w:hint="eastAsia" w:asciiTheme="minorEastAsia" w:hAnsiTheme="minorEastAsia" w:eastAsiaTheme="minorEastAsia" w:cstheme="minorEastAsia"/>
          <w:b w:val="0"/>
          <w:bCs w:val="0"/>
        </w:rPr>
        <w:outlineLvl w:val="0"/>
      </w:pPr>
      <w:r/>
      <w:bookmarkStart w:id="45" w:name="_Toc120614211"/>
      <w:r/>
      <w:bookmarkStart w:id="46" w:name="_Toc6429"/>
      <w:r/>
      <w:bookmarkStart w:id="47" w:name="_Toc16938558"/>
      <w:r/>
      <w:bookmarkStart w:id="48" w:name="_Toc120614221"/>
      <w:r/>
      <w:bookmarkStart w:id="49" w:name="_Toc479757207"/>
      <w:r/>
      <w:bookmarkStart w:id="50" w:name="_Toc513029242"/>
      <w:r/>
      <w:bookmarkStart w:id="51" w:name="_Toc20823314"/>
      <w:r>
        <w:rPr>
          <w:rFonts w:hint="eastAsia" w:asciiTheme="minorEastAsia" w:hAnsiTheme="minorEastAsia" w:eastAsiaTheme="minorEastAsia" w:cstheme="minorEastAsia"/>
        </w:rPr>
        <w:t xml:space="preserve">第二章  </w:t>
      </w:r>
      <w:bookmarkEnd w:id="45"/>
      <w:r/>
      <w:bookmarkStart w:id="52" w:name="_Toc16938518"/>
      <w:r/>
      <w:bookmarkStart w:id="53" w:name="_Toc20823274"/>
      <w:r/>
      <w:bookmarkStart w:id="54" w:name="_Toc120614213"/>
      <w:r/>
      <w:bookmarkStart w:id="55" w:name="_Toc513029202"/>
      <w:r>
        <w:rPr>
          <w:rFonts w:hint="eastAsia" w:asciiTheme="minorEastAsia" w:hAnsiTheme="minorEastAsia" w:eastAsiaTheme="minorEastAsia" w:cstheme="minorEastAsia"/>
        </w:rPr>
        <w:t xml:space="preserve">投标人须知</w:t>
      </w:r>
      <w:bookmarkEnd w:id="46"/>
      <w:r/>
      <w:bookmarkEnd w:id="52"/>
      <w:r/>
      <w:bookmarkEnd w:id="53"/>
      <w:r/>
      <w:bookmarkEnd w:id="54"/>
      <w:r/>
      <w:bookmarkEnd w:id="55"/>
      <w:r/>
      <w:r/>
    </w:p>
    <w:p>
      <w:pPr>
        <w:pStyle w:val="1004"/>
        <w:ind w:firstLine="498"/>
        <w:spacing w:before="156" w:after="156" w:line="360" w:lineRule="auto"/>
        <w:rPr>
          <w:rFonts w:hint="eastAsia" w:asciiTheme="minorEastAsia" w:hAnsiTheme="minorEastAsia" w:eastAsiaTheme="minorEastAsia" w:cstheme="minorEastAsia"/>
        </w:rPr>
      </w:pPr>
      <w:r/>
      <w:bookmarkStart w:id="56" w:name="_Toc513029203"/>
      <w:r/>
      <w:bookmarkStart w:id="57" w:name="_Toc16938519"/>
      <w:r/>
      <w:bookmarkStart w:id="58" w:name="_Toc120614214"/>
      <w:r/>
      <w:bookmarkStart w:id="59" w:name="_Toc20823275"/>
      <w:r>
        <w:rPr>
          <w:rFonts w:hint="eastAsia" w:asciiTheme="minorEastAsia" w:hAnsiTheme="minorEastAsia" w:eastAsiaTheme="minorEastAsia" w:cstheme="minorEastAsia"/>
        </w:rPr>
        <w:t xml:space="preserve">一、总则</w:t>
      </w:r>
      <w:bookmarkEnd w:id="56"/>
      <w:r/>
      <w:bookmarkEnd w:id="57"/>
      <w:r/>
      <w:bookmarkEnd w:id="58"/>
      <w:r/>
      <w:bookmarkEnd w:id="59"/>
      <w:r/>
      <w:r/>
    </w:p>
    <w:p>
      <w:pPr>
        <w:pStyle w:val="1006"/>
        <w:ind w:firstLine="420"/>
        <w:spacing w:before="0" w:after="0" w:line="240" w:lineRule="auto"/>
        <w:rPr>
          <w:rFonts w:hint="eastAsia" w:asciiTheme="minorEastAsia" w:hAnsiTheme="minorEastAsia" w:eastAsiaTheme="minorEastAsia" w:cstheme="minorEastAsia"/>
          <w:b w:val="0"/>
          <w:bCs w:val="0"/>
        </w:rPr>
      </w:pPr>
      <w:r/>
      <w:bookmarkStart w:id="60" w:name="_Hlt16619475"/>
      <w:r/>
      <w:bookmarkEnd w:id="60"/>
      <w:r/>
      <w:bookmarkStart w:id="61" w:name="_Toc458694821"/>
      <w:r/>
      <w:bookmarkStart w:id="62" w:name="_Toc513029204"/>
      <w:r/>
      <w:bookmarkStart w:id="63" w:name="_Toc16938520"/>
      <w:r/>
      <w:bookmarkStart w:id="64" w:name="_Toc20823276"/>
      <w:r>
        <w:rPr>
          <w:rFonts w:hint="eastAsia" w:asciiTheme="minorEastAsia" w:hAnsiTheme="minorEastAsia" w:eastAsiaTheme="minorEastAsia" w:cstheme="minorEastAsia"/>
          <w:b w:val="0"/>
          <w:bCs w:val="0"/>
        </w:rPr>
        <w:t xml:space="preserve">1</w:t>
      </w:r>
      <w:bookmarkEnd w:id="61"/>
      <w:r>
        <w:rPr>
          <w:rFonts w:hint="eastAsia" w:asciiTheme="minorEastAsia" w:hAnsiTheme="minorEastAsia" w:eastAsiaTheme="minorEastAsia" w:cstheme="minorEastAsia"/>
          <w:b w:val="0"/>
          <w:bCs w:val="0"/>
        </w:rPr>
        <w:t xml:space="preserve">、招标方式</w:t>
      </w:r>
      <w:bookmarkEnd w:id="62"/>
      <w:r/>
      <w:bookmarkEnd w:id="63"/>
      <w:r/>
      <w:bookmarkEnd w:id="64"/>
      <w:r/>
      <w:r/>
    </w:p>
    <w:p>
      <w:pPr>
        <w:ind w:firstLine="480"/>
        <w:spacing w:line="5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 本次招标采取公开招标方式，本招标文件仅适用于招标公告中所述项目。</w:t>
      </w:r>
      <w:r/>
    </w:p>
    <w:p>
      <w:pPr>
        <w:pStyle w:val="1006"/>
        <w:ind w:firstLine="420"/>
        <w:spacing w:before="0" w:after="0" w:line="240" w:lineRule="auto"/>
        <w:rPr>
          <w:rFonts w:hint="eastAsia" w:asciiTheme="minorEastAsia" w:hAnsiTheme="minorEastAsia" w:eastAsiaTheme="minorEastAsia" w:cstheme="minorEastAsia"/>
          <w:b w:val="0"/>
          <w:bCs w:val="0"/>
        </w:rPr>
      </w:pPr>
      <w:r/>
      <w:bookmarkStart w:id="65" w:name="_Toc513029205"/>
      <w:r/>
      <w:bookmarkStart w:id="66" w:name="_Toc20823277"/>
      <w:r/>
      <w:bookmarkStart w:id="67" w:name="_Toc16938521"/>
      <w:r>
        <w:rPr>
          <w:rFonts w:hint="eastAsia" w:asciiTheme="minorEastAsia" w:hAnsiTheme="minorEastAsia" w:eastAsiaTheme="minorEastAsia" w:cstheme="minorEastAsia"/>
          <w:b w:val="0"/>
          <w:bCs w:val="0"/>
        </w:rPr>
        <w:t xml:space="preserve">2、合格的投标人</w:t>
      </w:r>
      <w:bookmarkEnd w:id="65"/>
      <w:r/>
      <w:bookmarkEnd w:id="66"/>
      <w:r/>
      <w:bookmarkEnd w:id="67"/>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2.1满足招标公告中供应商的资格要求的规定。</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2.2 满足本文件实质性要求和条件的规定。</w:t>
      </w:r>
      <w:r/>
    </w:p>
    <w:p>
      <w:pPr>
        <w:pStyle w:val="1006"/>
        <w:ind w:firstLine="420"/>
        <w:spacing w:before="0" w:after="0" w:line="240" w:lineRule="auto"/>
        <w:rPr>
          <w:rFonts w:hint="eastAsia" w:asciiTheme="minorEastAsia" w:hAnsiTheme="minorEastAsia" w:eastAsiaTheme="minorEastAsia" w:cstheme="minorEastAsia"/>
          <w:b w:val="0"/>
          <w:bCs w:val="0"/>
        </w:rPr>
      </w:pPr>
      <w:r/>
      <w:bookmarkStart w:id="68" w:name="_Toc20823278"/>
      <w:r/>
      <w:bookmarkStart w:id="69" w:name="_Toc513029206"/>
      <w:r/>
      <w:bookmarkStart w:id="70" w:name="_Toc16938522"/>
      <w:r>
        <w:rPr>
          <w:rFonts w:hint="eastAsia" w:asciiTheme="minorEastAsia" w:hAnsiTheme="minorEastAsia" w:eastAsiaTheme="minorEastAsia" w:cstheme="minorEastAsia"/>
          <w:b w:val="0"/>
          <w:bCs w:val="0"/>
        </w:rPr>
        <w:t xml:space="preserve">3、适用法律</w:t>
      </w:r>
      <w:bookmarkEnd w:id="68"/>
      <w:r/>
      <w:bookmarkEnd w:id="69"/>
      <w:r/>
      <w:bookmarkEnd w:id="70"/>
      <w:r>
        <w:rPr>
          <w:rFonts w:hint="eastAsia" w:asciiTheme="minorEastAsia" w:hAnsiTheme="minorEastAsia" w:eastAsiaTheme="minorEastAsia" w:cstheme="minorEastAsia"/>
          <w:b w:val="0"/>
          <w:bCs w:val="0"/>
        </w:rPr>
        <w:t xml:space="preserve">和标准</w:t>
      </w:r>
      <w:r/>
    </w:p>
    <w:p>
      <w:pPr>
        <w:ind w:firstLine="420"/>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3.1 本次招标及由此产生的合同受中华人民共和国有关的法律法规制约和保护。</w:t>
      </w:r>
      <w:r/>
    </w:p>
    <w:p>
      <w:pPr>
        <w:ind w:firstLine="420"/>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3.2 在本项目政府采购活动过程中，如果所执行的标准有更新的，按照最新标准执行。</w:t>
      </w:r>
      <w:r/>
    </w:p>
    <w:p>
      <w:pPr>
        <w:pStyle w:val="1006"/>
        <w:ind w:firstLine="420"/>
        <w:spacing w:before="0" w:after="0" w:line="240" w:lineRule="auto"/>
        <w:rPr>
          <w:rFonts w:hint="eastAsia" w:asciiTheme="minorEastAsia" w:hAnsiTheme="minorEastAsia" w:eastAsiaTheme="minorEastAsia" w:cstheme="minorEastAsia"/>
          <w:b w:val="0"/>
          <w:bCs w:val="0"/>
        </w:rPr>
      </w:pPr>
      <w:r/>
      <w:bookmarkStart w:id="71" w:name="_Toc513029207"/>
      <w:r/>
      <w:bookmarkStart w:id="72" w:name="_Toc16938523"/>
      <w:r/>
      <w:bookmarkStart w:id="73" w:name="_Toc20823279"/>
      <w:r/>
      <w:bookmarkStart w:id="74" w:name="_Toc462564067"/>
      <w:r>
        <w:rPr>
          <w:rFonts w:hint="eastAsia" w:asciiTheme="minorEastAsia" w:hAnsiTheme="minorEastAsia" w:eastAsiaTheme="minorEastAsia" w:cstheme="minorEastAsia"/>
          <w:b w:val="0"/>
          <w:bCs w:val="0"/>
        </w:rPr>
        <w:t xml:space="preserve">4、投标费用</w:t>
      </w:r>
      <w:bookmarkEnd w:id="71"/>
      <w:r/>
      <w:bookmarkEnd w:id="72"/>
      <w:r/>
      <w:bookmarkEnd w:id="73"/>
      <w:r/>
      <w:bookmarkEnd w:id="74"/>
      <w:r/>
      <w:r/>
    </w:p>
    <w:p>
      <w:pPr>
        <w:ind w:firstLine="480"/>
        <w:spacing w:line="5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Cs/>
          <w:sz w:val="24"/>
        </w:rPr>
        <w:t xml:space="preserve">4.1</w:t>
      </w:r>
      <w:r>
        <w:rPr>
          <w:rFonts w:hint="eastAsia" w:asciiTheme="minorEastAsia" w:hAnsiTheme="minorEastAsia" w:eastAsiaTheme="minorEastAsia" w:cstheme="minorEastAsia"/>
          <w:sz w:val="24"/>
        </w:rPr>
        <w:t xml:space="preserve"> 投标人应自行承担所有与参加投标有关的费用，无论投标过程中的做法和结果如何，常州市教育基本建设与装备管理中心（以下简称建装中心）在任何情况下均无义务和责任承担这些费用。</w:t>
      </w:r>
      <w:r/>
    </w:p>
    <w:p>
      <w:pPr>
        <w:ind w:firstLine="480"/>
        <w:spacing w:line="5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4.2本次招标建装中心和采购人不收取标书工本费与中标服务费。</w:t>
      </w:r>
      <w:r/>
    </w:p>
    <w:p>
      <w:pPr>
        <w:pStyle w:val="1006"/>
        <w:ind w:firstLine="602"/>
        <w:spacing w:before="0" w:after="0" w:line="480" w:lineRule="exact"/>
        <w:rPr>
          <w:rFonts w:hint="eastAsia" w:asciiTheme="minorEastAsia" w:hAnsiTheme="minorEastAsia" w:eastAsiaTheme="minorEastAsia" w:cstheme="minorEastAsia"/>
          <w:b w:val="0"/>
          <w:bCs w:val="0"/>
        </w:rPr>
      </w:pPr>
      <w:r>
        <w:rPr>
          <w:rFonts w:hint="eastAsia" w:asciiTheme="minorEastAsia" w:hAnsiTheme="minorEastAsia" w:eastAsiaTheme="minorEastAsia" w:cstheme="minorEastAsia"/>
          <w:sz w:val="30"/>
        </w:rPr>
        <w:t xml:space="preserve">5、</w:t>
      </w:r>
      <w:r>
        <w:rPr>
          <w:rFonts w:hint="eastAsia" w:asciiTheme="minorEastAsia" w:hAnsiTheme="minorEastAsia" w:eastAsiaTheme="minorEastAsia" w:cstheme="minorEastAsia"/>
          <w:b w:val="0"/>
          <w:bCs w:val="0"/>
        </w:rPr>
        <w:t xml:space="preserve">招标文件的约束力</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5.1</w:t>
      </w:r>
      <w:r>
        <w:rPr>
          <w:rFonts w:hint="eastAsia" w:asciiTheme="minorEastAsia" w:hAnsiTheme="minorEastAsia" w:eastAsiaTheme="minorEastAsia" w:cstheme="minorEastAsia"/>
          <w:sz w:val="24"/>
          <w:szCs w:val="24"/>
        </w:rPr>
        <w:t xml:space="preserve"> 投标人一旦参加本项目采购活动，即被认为接受了本招标文件的规定和约束。</w:t>
      </w:r>
      <w:r/>
    </w:p>
    <w:p>
      <w:pPr>
        <w:pStyle w:val="1004"/>
        <w:ind w:firstLine="321"/>
        <w:spacing w:before="156" w:after="156" w:line="360" w:lineRule="auto"/>
        <w:rPr>
          <w:rFonts w:hint="eastAsia" w:asciiTheme="minorEastAsia" w:hAnsiTheme="minorEastAsia" w:eastAsiaTheme="minorEastAsia" w:cstheme="minorEastAsia"/>
        </w:rPr>
      </w:pPr>
      <w:r/>
      <w:bookmarkStart w:id="75" w:name="_Toc16938525"/>
      <w:r/>
      <w:bookmarkStart w:id="76" w:name="_Toc20823281"/>
      <w:r/>
      <w:bookmarkStart w:id="77" w:name="_Toc120614215"/>
      <w:r/>
      <w:bookmarkStart w:id="78" w:name="_Toc513029209"/>
      <w:r>
        <w:rPr>
          <w:rFonts w:hint="eastAsia" w:asciiTheme="minorEastAsia" w:hAnsiTheme="minorEastAsia" w:eastAsiaTheme="minorEastAsia" w:cstheme="minorEastAsia"/>
        </w:rPr>
        <w:t xml:space="preserve">二、招标文件</w:t>
      </w:r>
      <w:bookmarkEnd w:id="75"/>
      <w:r/>
      <w:bookmarkEnd w:id="76"/>
      <w:r/>
      <w:bookmarkEnd w:id="77"/>
      <w:r/>
      <w:bookmarkEnd w:id="78"/>
      <w:r/>
      <w:r/>
    </w:p>
    <w:p>
      <w:pPr>
        <w:pStyle w:val="1006"/>
        <w:ind w:firstLine="420"/>
        <w:spacing w:before="0" w:after="0" w:line="240" w:lineRule="auto"/>
        <w:rPr>
          <w:rFonts w:hint="eastAsia" w:asciiTheme="minorEastAsia" w:hAnsiTheme="minorEastAsia" w:eastAsiaTheme="minorEastAsia" w:cstheme="minorEastAsia"/>
          <w:b w:val="0"/>
          <w:bCs w:val="0"/>
        </w:rPr>
      </w:pPr>
      <w:r/>
      <w:bookmarkStart w:id="79" w:name="_Toc20823282"/>
      <w:r/>
      <w:bookmarkStart w:id="80" w:name="_Toc16938526"/>
      <w:r/>
      <w:bookmarkStart w:id="81" w:name="_Toc513029210"/>
      <w:r>
        <w:rPr>
          <w:rFonts w:hint="eastAsia" w:asciiTheme="minorEastAsia" w:hAnsiTheme="minorEastAsia" w:eastAsiaTheme="minorEastAsia" w:cstheme="minorEastAsia"/>
          <w:b w:val="0"/>
          <w:bCs w:val="0"/>
        </w:rPr>
        <w:t xml:space="preserve">6、招标文件构成</w:t>
      </w:r>
      <w:bookmarkEnd w:id="79"/>
      <w:r/>
      <w:bookmarkEnd w:id="80"/>
      <w:r/>
      <w:bookmarkEnd w:id="81"/>
      <w:r/>
      <w:r/>
    </w:p>
    <w:p>
      <w:pPr>
        <w:ind w:firstLine="480"/>
        <w:spacing w:line="5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Cs/>
          <w:sz w:val="24"/>
        </w:rPr>
        <w:t xml:space="preserve">6.1</w:t>
      </w:r>
      <w:r>
        <w:rPr>
          <w:rFonts w:hint="eastAsia" w:asciiTheme="minorEastAsia" w:hAnsiTheme="minorEastAsia" w:eastAsiaTheme="minorEastAsia" w:cstheme="minorEastAsia"/>
          <w:sz w:val="24"/>
        </w:rPr>
        <w:t xml:space="preserve"> 招标文件由以下部分组成：</w:t>
      </w:r>
      <w:r/>
    </w:p>
    <w:p>
      <w:pPr>
        <w:ind w:firstLine="36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（1）投标邀请</w:t>
      </w:r>
      <w:r/>
    </w:p>
    <w:p>
      <w:pPr>
        <w:ind w:firstLine="36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（2）投标人须知</w:t>
      </w:r>
      <w:r/>
    </w:p>
    <w:p>
      <w:pPr>
        <w:ind w:firstLine="36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（3）合同文本</w:t>
      </w:r>
      <w:r/>
    </w:p>
    <w:p>
      <w:pPr>
        <w:ind w:firstLine="36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（4）采购需求</w:t>
      </w:r>
      <w:r/>
    </w:p>
    <w:p>
      <w:pPr>
        <w:ind w:firstLine="3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（5）评标方法与评标标准</w:t>
      </w:r>
      <w:r/>
    </w:p>
    <w:p>
      <w:pPr>
        <w:ind w:firstLine="36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（6）投标文件格式</w:t>
      </w:r>
      <w:r/>
    </w:p>
    <w:p>
      <w:pPr>
        <w:ind w:firstLine="480"/>
        <w:spacing w:line="5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请仔细检查招标文件是否齐全，如有缺漏请立即与建装中心联系解决。</w:t>
      </w:r>
      <w:r/>
    </w:p>
    <w:p>
      <w:pPr>
        <w:ind w:firstLine="480"/>
        <w:spacing w:line="5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Cs/>
          <w:sz w:val="24"/>
        </w:rPr>
        <w:t xml:space="preserve">6.2</w:t>
      </w:r>
      <w:r>
        <w:rPr>
          <w:rFonts w:hint="eastAsia" w:asciiTheme="minorEastAsia" w:hAnsiTheme="minorEastAsia" w:eastAsiaTheme="minorEastAsia" w:cstheme="minorEastAsia"/>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006"/>
        <w:ind w:firstLine="560"/>
        <w:spacing w:before="0" w:after="0" w:line="240" w:lineRule="auto"/>
        <w:rPr>
          <w:rFonts w:hint="eastAsia" w:asciiTheme="minorEastAsia" w:hAnsiTheme="minorEastAsia" w:eastAsiaTheme="minorEastAsia" w:cstheme="minorEastAsia"/>
          <w:b w:val="0"/>
          <w:bCs w:val="0"/>
        </w:rPr>
      </w:pPr>
      <w:r/>
      <w:bookmarkStart w:id="82" w:name="_Toc16938527"/>
      <w:r/>
      <w:bookmarkStart w:id="83" w:name="_Toc462564070"/>
      <w:r/>
      <w:bookmarkStart w:id="84" w:name="_Toc513029211"/>
      <w:r/>
      <w:bookmarkStart w:id="85" w:name="_Toc20823283"/>
      <w:r>
        <w:rPr>
          <w:rFonts w:hint="eastAsia" w:asciiTheme="minorEastAsia" w:hAnsiTheme="minorEastAsia" w:eastAsiaTheme="minorEastAsia" w:cstheme="minorEastAsia"/>
          <w:b w:val="0"/>
          <w:bCs w:val="0"/>
        </w:rPr>
        <w:t xml:space="preserve">7、招标文件的澄清</w:t>
      </w:r>
      <w:bookmarkEnd w:id="82"/>
      <w:r/>
      <w:bookmarkEnd w:id="83"/>
      <w:r/>
      <w:bookmarkEnd w:id="84"/>
      <w:r/>
      <w:bookmarkEnd w:id="85"/>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rPr>
        <w:t xml:space="preserve">7.1</w:t>
      </w:r>
      <w:r>
        <w:rPr>
          <w:rFonts w:hint="eastAsia" w:asciiTheme="minorEastAsia" w:hAnsiTheme="minorEastAsia" w:eastAsiaTheme="minorEastAsia" w:cstheme="minorEastAsia"/>
          <w:sz w:val="24"/>
        </w:rPr>
        <w:t xml:space="preserve"> 任何要求对招标文件进行澄清的投标人，应在投标截止期</w:t>
      </w:r>
      <w:r>
        <w:rPr>
          <w:rFonts w:hint="eastAsia" w:asciiTheme="minorEastAsia" w:hAnsiTheme="minorEastAsia" w:eastAsiaTheme="minorEastAsia" w:cstheme="minorEastAsia"/>
          <w:b/>
          <w:sz w:val="24"/>
          <w:szCs w:val="24"/>
        </w:rPr>
        <w:t xml:space="preserve">十日</w:t>
      </w:r>
      <w:r>
        <w:rPr>
          <w:rFonts w:hint="eastAsia" w:asciiTheme="minorEastAsia" w:hAnsiTheme="minorEastAsia" w:eastAsiaTheme="minorEastAsia" w:cstheme="minorEastAsia"/>
          <w:sz w:val="24"/>
          <w:szCs w:val="24"/>
        </w:rPr>
        <w:t xml:space="preserve">前</w:t>
      </w:r>
      <w:r>
        <w:rPr>
          <w:rFonts w:hint="eastAsia" w:asciiTheme="minorEastAsia" w:hAnsiTheme="minorEastAsia" w:eastAsiaTheme="minorEastAsia" w:cstheme="minorEastAsia"/>
          <w:sz w:val="24"/>
        </w:rPr>
        <w:t xml:space="preserve">按招标公告中的通讯地址，以书面形式通知建装中心。</w:t>
      </w:r>
      <w:r/>
    </w:p>
    <w:p>
      <w:pPr>
        <w:pStyle w:val="1006"/>
        <w:ind w:firstLine="560"/>
        <w:spacing w:before="0" w:after="0" w:line="240" w:lineRule="auto"/>
        <w:rPr>
          <w:rFonts w:hint="eastAsia" w:asciiTheme="minorEastAsia" w:hAnsiTheme="minorEastAsia" w:eastAsiaTheme="minorEastAsia" w:cstheme="minorEastAsia"/>
          <w:b w:val="0"/>
          <w:bCs w:val="0"/>
        </w:rPr>
      </w:pPr>
      <w:r/>
      <w:bookmarkStart w:id="86" w:name="_Toc462564071"/>
      <w:r/>
      <w:bookmarkStart w:id="87" w:name="_Toc16938528"/>
      <w:r/>
      <w:bookmarkStart w:id="88" w:name="_Toc513029212"/>
      <w:r/>
      <w:bookmarkStart w:id="89" w:name="_Toc20823284"/>
      <w:r>
        <w:rPr>
          <w:rFonts w:hint="eastAsia" w:asciiTheme="minorEastAsia" w:hAnsiTheme="minorEastAsia" w:eastAsiaTheme="minorEastAsia" w:cstheme="minorEastAsia"/>
          <w:b w:val="0"/>
          <w:bCs w:val="0"/>
        </w:rPr>
        <w:t xml:space="preserve">8、招标文件的修改</w:t>
      </w:r>
      <w:bookmarkEnd w:id="86"/>
      <w:r/>
      <w:bookmarkEnd w:id="87"/>
      <w:r/>
      <w:bookmarkEnd w:id="88"/>
      <w:r/>
      <w:bookmarkEnd w:id="89"/>
      <w:r/>
      <w:r/>
    </w:p>
    <w:p>
      <w:pPr>
        <w:ind w:firstLine="480"/>
        <w:spacing w:line="5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Cs/>
          <w:sz w:val="24"/>
        </w:rPr>
        <w:t xml:space="preserve">8.1</w:t>
      </w:r>
      <w:r>
        <w:rPr>
          <w:rFonts w:hint="eastAsia" w:asciiTheme="minorEastAsia" w:hAnsiTheme="minorEastAsia" w:eastAsiaTheme="minorEastAsia" w:cstheme="minorEastAsia"/>
          <w:sz w:val="24"/>
        </w:rPr>
        <w:t xml:space="preserve"> 在投标截止时间前，建装中心可以对招标文件进行修改。</w:t>
      </w:r>
      <w:r/>
    </w:p>
    <w:p>
      <w:pPr>
        <w:ind w:firstLine="480"/>
        <w:spacing w:line="500" w:lineRule="exact"/>
        <w:rPr>
          <w:rFonts w:hint="eastAsia" w:asciiTheme="minorEastAsia" w:hAnsiTheme="minorEastAsia" w:eastAsiaTheme="minorEastAsia" w:cstheme="minorEastAsia"/>
          <w:sz w:val="28"/>
        </w:rPr>
      </w:pPr>
      <w:r>
        <w:rPr>
          <w:rFonts w:hint="eastAsia" w:asciiTheme="minorEastAsia" w:hAnsiTheme="minorEastAsia" w:eastAsiaTheme="minorEastAsia" w:cstheme="minorEastAsia"/>
          <w:bCs/>
          <w:sz w:val="24"/>
        </w:rPr>
        <w:t xml:space="preserve">8.2 </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sz w:val="24"/>
          <w:szCs w:val="24"/>
        </w:rPr>
        <w:t xml:space="preserve">有权按照法定的要求</w:t>
      </w:r>
      <w:r>
        <w:rPr>
          <w:rFonts w:hint="eastAsia" w:asciiTheme="minorEastAsia" w:hAnsiTheme="minorEastAsia" w:eastAsiaTheme="minorEastAsia" w:cstheme="minorEastAsia"/>
          <w:sz w:val="24"/>
        </w:rPr>
        <w:t xml:space="preserve">推迟投标截止日期和开标日期。</w:t>
      </w:r>
      <w:r/>
    </w:p>
    <w:p>
      <w:pPr>
        <w:ind w:firstLine="480"/>
        <w:spacing w:line="5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Cs/>
          <w:sz w:val="24"/>
        </w:rPr>
        <w:t xml:space="preserve">8.3 </w:t>
      </w:r>
      <w:r>
        <w:rPr>
          <w:rFonts w:hint="eastAsia" w:asciiTheme="minorEastAsia" w:hAnsiTheme="minorEastAsia" w:eastAsiaTheme="minorEastAsia" w:cstheme="minorEastAsia"/>
          <w:sz w:val="24"/>
        </w:rPr>
        <w:t xml:space="preserve">招标文件的修改将在江苏政府采购网、常州市政府采购网公布，</w:t>
      </w:r>
      <w:r>
        <w:rPr>
          <w:rFonts w:hint="eastAsia" w:asciiTheme="minorEastAsia" w:hAnsiTheme="minorEastAsia" w:eastAsiaTheme="minorEastAsia" w:cstheme="minorEastAsia"/>
          <w:sz w:val="24"/>
          <w:szCs w:val="24"/>
        </w:rPr>
        <w:t xml:space="preserve">补充文件将作为招标文件的组成部分，</w:t>
      </w:r>
      <w:r>
        <w:rPr>
          <w:rFonts w:hint="eastAsia" w:asciiTheme="minorEastAsia" w:hAnsiTheme="minorEastAsia" w:eastAsiaTheme="minorEastAsia" w:cstheme="minorEastAsia"/>
          <w:sz w:val="24"/>
        </w:rPr>
        <w:t xml:space="preserve">并对投标人具有约束力。</w:t>
      </w:r>
      <w:r/>
    </w:p>
    <w:p>
      <w:pPr>
        <w:pStyle w:val="1004"/>
        <w:ind w:firstLine="482"/>
        <w:spacing w:before="156" w:after="156" w:line="360" w:lineRule="auto"/>
        <w:rPr>
          <w:rFonts w:hint="eastAsia" w:asciiTheme="minorEastAsia" w:hAnsiTheme="minorEastAsia" w:eastAsiaTheme="minorEastAsia" w:cstheme="minorEastAsia"/>
        </w:rPr>
      </w:pPr>
      <w:r/>
      <w:bookmarkStart w:id="90" w:name="_Toc120614216"/>
      <w:r/>
      <w:bookmarkStart w:id="91" w:name="_Toc513029213"/>
      <w:r/>
      <w:bookmarkStart w:id="92" w:name="_Toc20823285"/>
      <w:r/>
      <w:bookmarkStart w:id="93" w:name="_Toc16938529"/>
      <w:r/>
      <w:bookmarkStart w:id="94" w:name="_Toc462564072"/>
      <w:r>
        <w:rPr>
          <w:rFonts w:hint="eastAsia" w:asciiTheme="minorEastAsia" w:hAnsiTheme="minorEastAsia" w:eastAsiaTheme="minorEastAsia" w:cstheme="minorEastAsia"/>
        </w:rPr>
        <w:t xml:space="preserve">三、投标文件的编制</w:t>
      </w:r>
      <w:bookmarkEnd w:id="90"/>
      <w:r/>
      <w:bookmarkEnd w:id="91"/>
      <w:r/>
      <w:bookmarkEnd w:id="92"/>
      <w:r/>
      <w:bookmarkEnd w:id="93"/>
      <w:r/>
      <w:bookmarkEnd w:id="94"/>
      <w:r/>
      <w:r/>
    </w:p>
    <w:p>
      <w:pPr>
        <w:pStyle w:val="1006"/>
        <w:ind w:firstLine="560"/>
        <w:spacing w:before="0" w:after="0" w:line="240" w:lineRule="auto"/>
        <w:rPr>
          <w:rFonts w:hint="eastAsia" w:asciiTheme="minorEastAsia" w:hAnsiTheme="minorEastAsia" w:eastAsiaTheme="minorEastAsia" w:cstheme="minorEastAsia"/>
          <w:bCs w:val="0"/>
        </w:rPr>
      </w:pPr>
      <w:r/>
      <w:bookmarkStart w:id="95" w:name="_Toc513029214"/>
      <w:r/>
      <w:bookmarkStart w:id="96" w:name="_Toc20823286"/>
      <w:r/>
      <w:bookmarkStart w:id="97" w:name="_Toc462564073"/>
      <w:r/>
      <w:bookmarkStart w:id="98" w:name="_Toc16938530"/>
      <w:r>
        <w:rPr>
          <w:rFonts w:hint="eastAsia" w:asciiTheme="minorEastAsia" w:hAnsiTheme="minorEastAsia" w:eastAsiaTheme="minorEastAsia" w:cstheme="minorEastAsia"/>
          <w:b w:val="0"/>
          <w:bCs w:val="0"/>
        </w:rPr>
        <w:t xml:space="preserve">9、投标文件的语言及度量衡单位</w:t>
      </w:r>
      <w:bookmarkEnd w:id="95"/>
      <w:r/>
      <w:bookmarkEnd w:id="96"/>
      <w:r/>
      <w:bookmarkEnd w:id="97"/>
      <w:r/>
      <w:bookmarkEnd w:id="98"/>
      <w:r/>
      <w:r/>
    </w:p>
    <w:p>
      <w:pPr>
        <w:ind w:firstLine="480"/>
        <w:spacing w:line="5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Cs/>
          <w:sz w:val="24"/>
        </w:rPr>
        <w:t xml:space="preserve">9.1</w:t>
      </w:r>
      <w:r>
        <w:rPr>
          <w:rFonts w:hint="eastAsia" w:asciiTheme="minorEastAsia" w:hAnsiTheme="minorEastAsia" w:eastAsiaTheme="minorEastAsia" w:cstheme="minorEastAsia"/>
          <w:sz w:val="24"/>
        </w:rPr>
        <w:t xml:space="preserve"> 投标人提交的投标文件以及投标人与建装中心就有关投标的所有来往通知、函件和文件均应使用</w:t>
      </w:r>
      <w:r>
        <w:rPr>
          <w:rFonts w:hint="eastAsia" w:asciiTheme="minorEastAsia" w:hAnsiTheme="minorEastAsia" w:eastAsiaTheme="minorEastAsia" w:cstheme="minorEastAsia"/>
          <w:b/>
          <w:bCs/>
          <w:sz w:val="24"/>
        </w:rPr>
        <w:t xml:space="preserve">简体中文</w:t>
      </w:r>
      <w:r>
        <w:rPr>
          <w:rFonts w:hint="eastAsia" w:asciiTheme="minorEastAsia" w:hAnsiTheme="minorEastAsia" w:eastAsiaTheme="minorEastAsia" w:cstheme="minorEastAsia"/>
          <w:sz w:val="24"/>
        </w:rPr>
        <w:t xml:space="preserve">。</w:t>
      </w:r>
      <w:r/>
    </w:p>
    <w:p>
      <w:pPr>
        <w:ind w:firstLine="480"/>
        <w:spacing w:line="5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Cs/>
          <w:sz w:val="24"/>
        </w:rPr>
        <w:t xml:space="preserve">9.2</w:t>
      </w:r>
      <w:r>
        <w:rPr>
          <w:rFonts w:hint="eastAsia" w:asciiTheme="minorEastAsia" w:hAnsiTheme="minorEastAsia" w:eastAsiaTheme="minorEastAsia" w:cstheme="minorEastAsia"/>
          <w:sz w:val="24"/>
        </w:rPr>
        <w:t xml:space="preserve"> 除技术性能另有规定外，投标文件所使用的度量衡单位，均须采用国家法定计量单位。</w:t>
      </w:r>
      <w:r/>
    </w:p>
    <w:p>
      <w:pPr>
        <w:pStyle w:val="1006"/>
        <w:ind w:firstLine="420"/>
        <w:spacing w:before="0" w:after="0" w:line="240" w:lineRule="auto"/>
        <w:rPr>
          <w:rFonts w:hint="eastAsia" w:asciiTheme="minorEastAsia" w:hAnsiTheme="minorEastAsia" w:eastAsiaTheme="minorEastAsia" w:cstheme="minorEastAsia"/>
          <w:b w:val="0"/>
          <w:bCs w:val="0"/>
        </w:rPr>
      </w:pPr>
      <w:r/>
      <w:bookmarkStart w:id="99" w:name="_Toc16938531"/>
      <w:r/>
      <w:bookmarkStart w:id="100" w:name="_Toc462564074"/>
      <w:r/>
      <w:bookmarkStart w:id="101" w:name="_Toc20823287"/>
      <w:r/>
      <w:bookmarkStart w:id="102" w:name="_Toc513029215"/>
      <w:r>
        <w:rPr>
          <w:rFonts w:hint="eastAsia" w:asciiTheme="minorEastAsia" w:hAnsiTheme="minorEastAsia" w:eastAsiaTheme="minorEastAsia" w:cstheme="minorEastAsia"/>
          <w:b w:val="0"/>
          <w:bCs w:val="0"/>
        </w:rPr>
        <w:t xml:space="preserve">10、投标文件构成</w:t>
      </w:r>
      <w:bookmarkEnd w:id="99"/>
      <w:r/>
      <w:bookmarkEnd w:id="100"/>
      <w:r/>
      <w:bookmarkEnd w:id="101"/>
      <w:r/>
      <w:bookmarkEnd w:id="102"/>
      <w:r/>
      <w:r/>
    </w:p>
    <w:p>
      <w:pPr>
        <w:ind w:firstLine="480"/>
        <w:spacing w:line="360" w:lineRule="auto"/>
        <w:tabs>
          <w:tab w:val="left" w:pos="1080" w:leader="none"/>
          <w:tab w:val="left" w:pos="1589" w:leader="none"/>
          <w:tab w:val="left" w:pos="2014" w:leader="none"/>
        </w:tabs>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10.1本项目如划分采购包，投标人可以对本项目的其中一个采购包进行投标，也可同时对多个采购包进行投标。</w:t>
      </w:r>
      <w:r>
        <w:rPr>
          <w:rFonts w:hint="eastAsia" w:asciiTheme="minorEastAsia" w:hAnsiTheme="minorEastAsia" w:eastAsiaTheme="minorEastAsia" w:cstheme="minorEastAsia"/>
          <w:i/>
          <w:sz w:val="24"/>
          <w:u w:val="single"/>
        </w:rPr>
        <w:t xml:space="preserve">投标人应当对所投采购包对应《采购需求》所列的全部内容进行投标，不得将一个采购包中的内容拆开投标，否则其对该采购包的投标将被认定为无效投标。</w:t>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10.2投标人编写的投标文件应包括资格证明文件、符合性证明文件、投标分项报价表、技术要求响应及偏离表、商务要求响应及偏离表、其他证明文件、投标函、开标一览表等部分。</w:t>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10.3如标书制作工具中格式和内容与“江苏政府采购网”</w:t>
      </w:r>
      <w:r>
        <w:rPr>
          <w:rFonts w:hint="eastAsia" w:asciiTheme="minorEastAsia" w:hAnsiTheme="minorEastAsia" w:eastAsiaTheme="minorEastAsia" w:cstheme="minorEastAsia"/>
          <w:sz w:val="24"/>
          <w:szCs w:val="24"/>
        </w:rPr>
        <w:t xml:space="preserve"> 、“常州市政府采购网”</w:t>
      </w:r>
      <w:r>
        <w:rPr>
          <w:rFonts w:hint="eastAsia" w:asciiTheme="minorEastAsia" w:hAnsiTheme="minorEastAsia" w:eastAsiaTheme="minorEastAsia" w:cstheme="minorEastAsia"/>
          <w:sz w:val="24"/>
        </w:rPr>
        <w:t xml:space="preserve">发布的招标文件不一致，请以“江苏政府采购网”</w:t>
      </w:r>
      <w:r>
        <w:rPr>
          <w:rFonts w:hint="eastAsia" w:asciiTheme="minorEastAsia" w:hAnsiTheme="minorEastAsia" w:eastAsiaTheme="minorEastAsia" w:cstheme="minorEastAsia"/>
          <w:sz w:val="24"/>
          <w:szCs w:val="24"/>
        </w:rPr>
        <w:t xml:space="preserve"> 、“常州市政府采购网”</w:t>
      </w:r>
      <w:r>
        <w:rPr>
          <w:rFonts w:hint="eastAsia" w:asciiTheme="minorEastAsia" w:hAnsiTheme="minorEastAsia" w:eastAsiaTheme="minorEastAsia" w:cstheme="minorEastAsia"/>
          <w:sz w:val="24"/>
        </w:rPr>
        <w:t xml:space="preserve">发布的招标文件为准。</w:t>
      </w:r>
      <w:r/>
    </w:p>
    <w:p>
      <w:pPr>
        <w:pStyle w:val="1006"/>
        <w:ind w:firstLine="420"/>
        <w:spacing w:before="0" w:after="0" w:line="240" w:lineRule="auto"/>
        <w:rPr>
          <w:rFonts w:hint="eastAsia" w:asciiTheme="minorEastAsia" w:hAnsiTheme="minorEastAsia" w:eastAsiaTheme="minorEastAsia" w:cstheme="minorEastAsia"/>
          <w:b w:val="0"/>
          <w:bCs w:val="0"/>
        </w:rPr>
      </w:pPr>
      <w:r/>
      <w:bookmarkStart w:id="103" w:name="_Hlt26670360"/>
      <w:r/>
      <w:bookmarkEnd w:id="103"/>
      <w:r/>
      <w:bookmarkStart w:id="104" w:name="_Hlt26954838"/>
      <w:r/>
      <w:bookmarkEnd w:id="104"/>
      <w:r/>
      <w:bookmarkStart w:id="105" w:name="_Hlt26668975"/>
      <w:r/>
      <w:bookmarkEnd w:id="105"/>
      <w:r/>
      <w:bookmarkStart w:id="106" w:name="_Toc14577357"/>
      <w:r/>
      <w:bookmarkStart w:id="107" w:name="_Toc49090509"/>
      <w:r/>
      <w:bookmarkStart w:id="108" w:name="_Toc513029219"/>
      <w:r/>
      <w:bookmarkStart w:id="109" w:name="_Toc14577354"/>
      <w:r/>
      <w:bookmarkStart w:id="110" w:name="_Toc49090507"/>
      <w:r/>
      <w:bookmarkStart w:id="111" w:name="_Toc513029216"/>
      <w:r>
        <w:rPr>
          <w:rFonts w:hint="eastAsia" w:asciiTheme="minorEastAsia" w:hAnsiTheme="minorEastAsia" w:eastAsiaTheme="minorEastAsia" w:cstheme="minorEastAsia"/>
          <w:b w:val="0"/>
          <w:bCs w:val="0"/>
        </w:rPr>
        <w:t xml:space="preserve">11、证明投标人及投标标的符合招标文件规定的文件</w:t>
      </w:r>
      <w:bookmarkEnd w:id="106"/>
      <w:r/>
      <w:bookmarkEnd w:id="107"/>
      <w:r/>
      <w:bookmarkEnd w:id="108"/>
      <w:r/>
      <w:bookmarkEnd w:id="109"/>
      <w:r/>
      <w:bookmarkEnd w:id="110"/>
      <w:r/>
      <w:bookmarkEnd w:id="111"/>
      <w:r/>
      <w:r/>
    </w:p>
    <w:p>
      <w:pPr>
        <w:spacing w:line="480" w:lineRule="exact"/>
        <w:rPr>
          <w:rFonts w:hint="eastAsia" w:asciiTheme="minorEastAsia" w:hAnsiTheme="minorEastAsia" w:eastAsiaTheme="minorEastAsia" w:cstheme="minorEastAsia"/>
          <w:sz w:val="24"/>
          <w:szCs w:val="24"/>
        </w:rPr>
      </w:pPr>
      <w:r/>
      <w:bookmarkStart w:id="112" w:name="_Toc14577355"/>
      <w:r/>
      <w:bookmarkStart w:id="113" w:name="_Toc49090508"/>
      <w:r>
        <w:rPr>
          <w:rFonts w:hint="eastAsia" w:asciiTheme="minorEastAsia" w:hAnsiTheme="minorEastAsia" w:eastAsiaTheme="minorEastAsia" w:cstheme="minorEastAsia"/>
          <w:sz w:val="24"/>
          <w:szCs w:val="24"/>
        </w:rPr>
        <w:t xml:space="preserve">    11.1 投标人应按照法律、法规、规章和规范性文件以及招标文件要求提交证明文件，证明其及投标标的符合招标文件规定。</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11.2招标文件对证明文件无明确形式要求的，证明文件可以以文字资料、图纸和数据等形式提交。</w:t>
      </w:r>
      <w:r/>
    </w:p>
    <w:p>
      <w:pPr>
        <w:pStyle w:val="1006"/>
        <w:ind w:firstLine="420"/>
        <w:spacing w:before="0" w:after="0" w:line="240" w:lineRule="auto"/>
        <w:rPr>
          <w:rFonts w:hint="eastAsia" w:asciiTheme="minorEastAsia" w:hAnsiTheme="minorEastAsia" w:eastAsiaTheme="minorEastAsia" w:cstheme="minorEastAsia"/>
          <w:b w:val="0"/>
          <w:bCs w:val="0"/>
        </w:rPr>
      </w:pPr>
      <w:r>
        <w:rPr>
          <w:rFonts w:hint="eastAsia" w:asciiTheme="minorEastAsia" w:hAnsiTheme="minorEastAsia" w:eastAsiaTheme="minorEastAsia" w:cstheme="minorEastAsia"/>
          <w:b w:val="0"/>
          <w:bCs w:val="0"/>
        </w:rPr>
        <w:t xml:space="preserve">12、投标分项报价</w:t>
      </w:r>
      <w:bookmarkEnd w:id="112"/>
      <w:r/>
      <w:bookmarkStart w:id="114" w:name="_Hlt26670373"/>
      <w:r/>
      <w:bookmarkEnd w:id="114"/>
      <w:r>
        <w:rPr>
          <w:rFonts w:hint="eastAsia" w:asciiTheme="minorEastAsia" w:hAnsiTheme="minorEastAsia" w:eastAsiaTheme="minorEastAsia" w:cstheme="minorEastAsia"/>
          <w:b w:val="0"/>
          <w:bCs w:val="0"/>
        </w:rPr>
        <w:t xml:space="preserve">表</w:t>
      </w:r>
      <w:bookmarkEnd w:id="113"/>
      <w:r/>
      <w:r/>
    </w:p>
    <w:p>
      <w:pPr>
        <w:ind w:firstLine="480"/>
        <w:spacing w:line="50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12.1</w:t>
      </w:r>
      <w:r>
        <w:rPr>
          <w:rFonts w:hint="eastAsia" w:asciiTheme="minorEastAsia" w:hAnsiTheme="minorEastAsia" w:eastAsiaTheme="minorEastAsia" w:cstheme="minorEastAsia"/>
          <w:sz w:val="24"/>
        </w:rPr>
        <w:t xml:space="preserve"> 投</w:t>
      </w:r>
      <w:bookmarkStart w:id="115" w:name="_Hlt26954840"/>
      <w:r/>
      <w:bookmarkEnd w:id="115"/>
      <w:r>
        <w:rPr>
          <w:rFonts w:hint="eastAsia" w:asciiTheme="minorEastAsia" w:hAnsiTheme="minorEastAsia" w:eastAsiaTheme="minorEastAsia" w:cstheme="minorEastAsia"/>
          <w:sz w:val="24"/>
        </w:rPr>
        <w:t xml:space="preserve">标人应按照招标文件规定格式填报投标分项报价表</w:t>
      </w:r>
      <w:bookmarkStart w:id="116" w:name="_Hlt26670399"/>
      <w:r/>
      <w:bookmarkEnd w:id="116"/>
      <w:r>
        <w:rPr>
          <w:rFonts w:hint="eastAsia" w:asciiTheme="minorEastAsia" w:hAnsiTheme="minorEastAsia" w:eastAsiaTheme="minorEastAsia" w:cstheme="minorEastAsia"/>
          <w:sz w:val="24"/>
        </w:rPr>
        <w:t xml:space="preserve">。</w:t>
      </w:r>
      <w:r/>
    </w:p>
    <w:p>
      <w:pPr>
        <w:ind w:firstLine="480"/>
        <w:spacing w:line="50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sz w:val="24"/>
        </w:rPr>
        <w:t xml:space="preserve">12.2</w:t>
      </w:r>
      <w:r>
        <w:rPr>
          <w:rFonts w:hint="eastAsia" w:asciiTheme="minorEastAsia" w:hAnsiTheme="minorEastAsia" w:eastAsiaTheme="minorEastAsia" w:cstheme="minorEastAsia"/>
          <w:bCs/>
          <w:sz w:val="24"/>
        </w:rPr>
        <w:t xml:space="preserve">投标货币。投标文件中的单价和总价无特殊规定的采用人民币报价，以元为单位标注。</w:t>
      </w:r>
      <w:r>
        <w:rPr>
          <w:rFonts w:hint="eastAsia" w:asciiTheme="minorEastAsia" w:hAnsiTheme="minorEastAsia" w:eastAsiaTheme="minorEastAsia" w:cstheme="minorEastAsia"/>
          <w:sz w:val="24"/>
        </w:rPr>
        <w:t xml:space="preserve">招标文件中另有规定的按规定执行。</w:t>
      </w:r>
      <w:r/>
    </w:p>
    <w:p>
      <w:pPr>
        <w:pStyle w:val="1006"/>
        <w:ind w:firstLine="420"/>
        <w:spacing w:before="0" w:after="0" w:line="240" w:lineRule="auto"/>
        <w:rPr>
          <w:rFonts w:hint="eastAsia" w:asciiTheme="minorEastAsia" w:hAnsiTheme="minorEastAsia" w:eastAsiaTheme="minorEastAsia" w:cstheme="minorEastAsia"/>
          <w:b w:val="0"/>
          <w:bCs w:val="0"/>
        </w:rPr>
      </w:pPr>
      <w:r/>
      <w:bookmarkStart w:id="117" w:name="_Hlt26670403"/>
      <w:r/>
      <w:bookmarkEnd w:id="117"/>
      <w:r/>
      <w:bookmarkStart w:id="118" w:name="_Hlt26954844"/>
      <w:r/>
      <w:bookmarkEnd w:id="118"/>
      <w:r/>
      <w:bookmarkStart w:id="119" w:name="_Hlt26668983"/>
      <w:r/>
      <w:bookmarkEnd w:id="119"/>
      <w:r/>
      <w:bookmarkStart w:id="120" w:name="_Hlt26954848"/>
      <w:r/>
      <w:bookmarkEnd w:id="120"/>
      <w:r/>
      <w:bookmarkStart w:id="121" w:name="_Hlt26954731"/>
      <w:r/>
      <w:bookmarkEnd w:id="121"/>
      <w:r/>
      <w:bookmarkStart w:id="122" w:name="_Hlt26670482"/>
      <w:r/>
      <w:bookmarkEnd w:id="122"/>
      <w:r/>
      <w:bookmarkStart w:id="123" w:name="_Hlt26954842"/>
      <w:r/>
      <w:bookmarkEnd w:id="123"/>
      <w:r/>
      <w:bookmarkStart w:id="124" w:name="_Hlt26670486"/>
      <w:r/>
      <w:bookmarkEnd w:id="124"/>
      <w:r/>
      <w:bookmarkStart w:id="125" w:name="_Hlt26670425"/>
      <w:r/>
      <w:bookmarkEnd w:id="125"/>
      <w:r/>
      <w:bookmarkStart w:id="126" w:name="_Hlt26954846"/>
      <w:r/>
      <w:bookmarkEnd w:id="126"/>
      <w:r>
        <w:rPr>
          <w:rFonts w:hint="eastAsia" w:asciiTheme="minorEastAsia" w:hAnsiTheme="minorEastAsia" w:eastAsiaTheme="minorEastAsia" w:cstheme="minorEastAsia"/>
          <w:b w:val="0"/>
          <w:bCs w:val="0"/>
        </w:rPr>
        <w:t xml:space="preserve">13.1、技术要求响应及偏离表、商务要求响应及偏离表</w:t>
      </w:r>
      <w:r/>
    </w:p>
    <w:p>
      <w:pPr>
        <w:ind w:firstLine="480"/>
        <w:spacing w:line="500" w:lineRule="exact"/>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bCs/>
          <w:sz w:val="24"/>
          <w:lang w:val="zh-CN"/>
        </w:rPr>
        <w:t xml:space="preserve">13.1.1</w:t>
      </w:r>
      <w:r>
        <w:rPr>
          <w:rFonts w:hint="eastAsia" w:asciiTheme="minorEastAsia" w:hAnsiTheme="minorEastAsia" w:eastAsiaTheme="minorEastAsia" w:cstheme="minorEastAsia"/>
          <w:sz w:val="24"/>
          <w:lang w:val="zh-CN"/>
        </w:rPr>
        <w:t xml:space="preserve"> 投标人需对招标文件中的技术要求与商务要求逐项作出响应或偏离，并说明原因。</w:t>
      </w:r>
      <w:r/>
    </w:p>
    <w:p>
      <w:pPr>
        <w:ind w:firstLine="480"/>
        <w:keepLines/>
        <w:keepNext/>
        <w:rPr>
          <w:rFonts w:hint="eastAsia" w:asciiTheme="minorEastAsia" w:hAnsiTheme="minorEastAsia" w:eastAsiaTheme="minorEastAsia" w:cstheme="minorEastAsia"/>
          <w:sz w:val="24"/>
          <w:lang w:val="zh-CN"/>
        </w:rPr>
        <w:outlineLvl w:val="3"/>
      </w:pPr>
      <w:r>
        <w:rPr>
          <w:rFonts w:hint="eastAsia" w:asciiTheme="minorEastAsia" w:hAnsiTheme="minorEastAsia" w:eastAsiaTheme="minorEastAsia" w:cstheme="minorEastAsia"/>
          <w:sz w:val="24"/>
          <w:lang w:val="zh-CN"/>
        </w:rPr>
        <w:t xml:space="preserve">13.1.2 投标人可在投标文件中提供认为需要的其他技术文件或说明。</w:t>
      </w:r>
      <w:r/>
    </w:p>
    <w:p>
      <w:pPr>
        <w:ind w:firstLine="420"/>
        <w:keepLines/>
        <w:keepNext/>
        <w:rPr>
          <w:rFonts w:hint="eastAsia" w:asciiTheme="minorEastAsia" w:hAnsiTheme="minorEastAsia" w:eastAsiaTheme="minorEastAsia" w:cstheme="minorEastAsia"/>
          <w:sz w:val="28"/>
          <w:szCs w:val="28"/>
        </w:rPr>
        <w:outlineLvl w:val="3"/>
      </w:pPr>
      <w:r>
        <w:rPr>
          <w:rFonts w:hint="eastAsia" w:asciiTheme="minorEastAsia" w:hAnsiTheme="minorEastAsia" w:eastAsiaTheme="minorEastAsia" w:cstheme="minorEastAsia"/>
          <w:sz w:val="28"/>
          <w:szCs w:val="28"/>
        </w:rPr>
        <w:t xml:space="preserve">13.2、服务承诺、培训计划、人员安排及其他</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lang w:val="zh-CN"/>
        </w:rPr>
        <w:t xml:space="preserve">13.2.</w:t>
      </w:r>
      <w:r>
        <w:rPr>
          <w:rFonts w:hint="eastAsia" w:asciiTheme="minorEastAsia" w:hAnsiTheme="minorEastAsia" w:eastAsiaTheme="minorEastAsia" w:cstheme="minorEastAsia"/>
          <w:bCs/>
          <w:sz w:val="24"/>
          <w:szCs w:val="24"/>
        </w:rPr>
        <w:t xml:space="preserve">1 </w:t>
      </w:r>
      <w:r>
        <w:rPr>
          <w:rFonts w:hint="eastAsia" w:asciiTheme="minorEastAsia" w:hAnsiTheme="minorEastAsia" w:eastAsiaTheme="minorEastAsia" w:cstheme="minorEastAsia"/>
          <w:sz w:val="24"/>
          <w:szCs w:val="24"/>
        </w:rPr>
        <w:t xml:space="preserve">投标人需根据招标文件要求提供有关售后服务的管理制度，售后服务机构的分布情况，售后服务人员的数量、素质、技术水平及售后服务的反应能力等。</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lang w:val="zh-CN"/>
        </w:rPr>
        <w:t xml:space="preserve">13.2.</w:t>
      </w:r>
      <w:r>
        <w:rPr>
          <w:rFonts w:hint="eastAsia" w:asciiTheme="minorEastAsia" w:hAnsiTheme="minorEastAsia" w:eastAsiaTheme="minorEastAsia" w:cstheme="minorEastAsia"/>
          <w:sz w:val="24"/>
          <w:szCs w:val="24"/>
        </w:rPr>
        <w:t xml:space="preserve">2 投标人需根据招标文件要求提供培训计划。</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lang w:val="zh-CN"/>
        </w:rPr>
        <w:t xml:space="preserve">13.2.</w:t>
      </w:r>
      <w:r>
        <w:rPr>
          <w:rFonts w:hint="eastAsia" w:asciiTheme="minorEastAsia" w:hAnsiTheme="minorEastAsia" w:eastAsiaTheme="minorEastAsia" w:cstheme="minorEastAsia"/>
          <w:sz w:val="24"/>
          <w:szCs w:val="24"/>
        </w:rPr>
        <w:t xml:space="preserve">3  投标人需根据招标文件要求提供</w:t>
      </w:r>
      <w:r>
        <w:rPr>
          <w:rFonts w:hint="eastAsia" w:asciiTheme="minorEastAsia" w:hAnsiTheme="minorEastAsia" w:eastAsiaTheme="minorEastAsia" w:cstheme="minorEastAsia"/>
          <w:sz w:val="24"/>
          <w:lang w:val="zh-CN"/>
        </w:rPr>
        <w:t xml:space="preserve">所投标的的主要组成部分、功能设计、实现思路及关键技术等。</w:t>
      </w:r>
      <w:r/>
    </w:p>
    <w:p>
      <w:pPr>
        <w:ind w:firstLine="480"/>
        <w:spacing w:line="500" w:lineRule="exact"/>
        <w:tabs>
          <w:tab w:val="left" w:pos="1035" w:leader="none"/>
        </w:tabs>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pStyle w:val="1006"/>
        <w:ind w:firstLine="420"/>
        <w:spacing w:before="0" w:after="0" w:line="240" w:lineRule="auto"/>
        <w:rPr>
          <w:rFonts w:hint="eastAsia" w:asciiTheme="minorEastAsia" w:hAnsiTheme="minorEastAsia" w:eastAsiaTheme="minorEastAsia" w:cstheme="minorEastAsia"/>
          <w:b w:val="0"/>
          <w:bCs w:val="0"/>
        </w:rPr>
      </w:pPr>
      <w:r/>
      <w:bookmarkStart w:id="127" w:name="_Toc49090510"/>
      <w:r/>
      <w:bookmarkStart w:id="128" w:name="_Toc14577359"/>
      <w:r>
        <w:rPr>
          <w:rFonts w:hint="eastAsia" w:asciiTheme="minorEastAsia" w:hAnsiTheme="minorEastAsia" w:eastAsiaTheme="minorEastAsia" w:cstheme="minorEastAsia"/>
          <w:b w:val="0"/>
          <w:bCs w:val="0"/>
        </w:rPr>
        <w:t xml:space="preserve">14、投标函和开标一览表</w:t>
      </w:r>
      <w:r/>
    </w:p>
    <w:p>
      <w:pPr>
        <w:ind w:firstLine="480"/>
        <w:spacing w:line="5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Cs/>
          <w:sz w:val="24"/>
        </w:rPr>
        <w:t xml:space="preserve">14.1</w:t>
      </w:r>
      <w:r>
        <w:rPr>
          <w:rFonts w:hint="eastAsia" w:asciiTheme="minorEastAsia" w:hAnsiTheme="minorEastAsia" w:eastAsiaTheme="minorEastAsia" w:cstheme="minorEastAsia"/>
          <w:sz w:val="24"/>
        </w:rPr>
        <w:t xml:space="preserve"> 投标人应按照招标文件中提供的格式完整、正确填写投标函、开标一览表。</w:t>
      </w:r>
      <w:r/>
    </w:p>
    <w:p>
      <w:pPr>
        <w:ind w:firstLine="480"/>
        <w:spacing w:line="5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Cs/>
          <w:sz w:val="24"/>
        </w:rPr>
        <w:t xml:space="preserve">14.2</w:t>
      </w:r>
      <w:r>
        <w:rPr>
          <w:rFonts w:hint="eastAsia" w:asciiTheme="minorEastAsia" w:hAnsiTheme="minorEastAsia" w:eastAsiaTheme="minorEastAsia" w:cstheme="minorEastAsia"/>
          <w:sz w:val="24"/>
        </w:rPr>
        <w:t xml:space="preserve"> 对于采用货币报价的项目，</w:t>
      </w:r>
      <w:r>
        <w:rPr>
          <w:rFonts w:hint="eastAsia" w:asciiTheme="minorEastAsia" w:hAnsiTheme="minorEastAsia" w:eastAsiaTheme="minorEastAsia" w:cstheme="minorEastAsia"/>
          <w:bCs/>
          <w:sz w:val="24"/>
        </w:rPr>
        <w:t xml:space="preserve">开标一览表中的投标总报价应与投标分项报价表中的投标总报价一致，如不一致，</w:t>
      </w:r>
      <w:r>
        <w:rPr>
          <w:rFonts w:hint="eastAsia" w:asciiTheme="minorEastAsia" w:hAnsiTheme="minorEastAsia" w:eastAsiaTheme="minorEastAsia" w:cstheme="minorEastAsia"/>
          <w:sz w:val="24"/>
          <w:szCs w:val="24"/>
        </w:rPr>
        <w:t xml:space="preserve">不作为无效投标处理</w:t>
      </w:r>
      <w:r>
        <w:rPr>
          <w:rFonts w:hint="eastAsia" w:asciiTheme="minorEastAsia" w:hAnsiTheme="minorEastAsia" w:eastAsiaTheme="minorEastAsia" w:cstheme="minorEastAsia"/>
          <w:bCs/>
          <w:sz w:val="24"/>
        </w:rPr>
        <w:t xml:space="preserve">，但评标时按开标一览表中价格为准</w:t>
      </w:r>
      <w:r>
        <w:rPr>
          <w:rFonts w:hint="eastAsia" w:asciiTheme="minorEastAsia" w:hAnsiTheme="minorEastAsia" w:eastAsiaTheme="minorEastAsia" w:cstheme="minorEastAsia"/>
          <w:b/>
          <w:bCs/>
          <w:sz w:val="24"/>
        </w:rPr>
        <w:t xml:space="preserve">。</w:t>
      </w:r>
      <w:bookmarkEnd w:id="127"/>
      <w:r/>
      <w:bookmarkEnd w:id="128"/>
      <w:r/>
      <w:r/>
    </w:p>
    <w:p>
      <w:pPr>
        <w:pStyle w:val="1006"/>
        <w:ind w:firstLine="420"/>
        <w:spacing w:before="0" w:after="0" w:line="240" w:lineRule="auto"/>
        <w:rPr>
          <w:rFonts w:hint="eastAsia" w:asciiTheme="minorEastAsia" w:hAnsiTheme="minorEastAsia" w:eastAsiaTheme="minorEastAsia" w:cstheme="minorEastAsia"/>
          <w:b w:val="0"/>
          <w:bCs w:val="0"/>
        </w:rPr>
      </w:pPr>
      <w:r/>
      <w:bookmarkStart w:id="129" w:name="_Hlt26954734"/>
      <w:r/>
      <w:bookmarkEnd w:id="129"/>
      <w:r/>
      <w:bookmarkStart w:id="130" w:name="_Hlt26954850"/>
      <w:r/>
      <w:bookmarkEnd w:id="130"/>
      <w:r/>
      <w:bookmarkStart w:id="131" w:name="_Hlt26670489"/>
      <w:r/>
      <w:bookmarkEnd w:id="131"/>
      <w:r/>
      <w:bookmarkStart w:id="132" w:name="_Toc14577360"/>
      <w:r/>
      <w:bookmarkStart w:id="133" w:name="_Toc49090511"/>
      <w:r>
        <w:rPr>
          <w:rFonts w:hint="eastAsia" w:asciiTheme="minorEastAsia" w:hAnsiTheme="minorEastAsia" w:eastAsiaTheme="minorEastAsia" w:cstheme="minorEastAsia"/>
          <w:b w:val="0"/>
          <w:bCs w:val="0"/>
        </w:rPr>
        <w:t xml:space="preserve">15、投标有效期</w:t>
      </w:r>
      <w:bookmarkEnd w:id="132"/>
      <w:r/>
      <w:bookmarkEnd w:id="133"/>
      <w:r/>
      <w:r/>
    </w:p>
    <w:p>
      <w:pPr>
        <w:ind w:firstLine="480"/>
        <w:spacing w:line="5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15.1</w:t>
      </w:r>
      <w:r>
        <w:rPr>
          <w:rFonts w:hint="eastAsia" w:asciiTheme="minorEastAsia" w:hAnsiTheme="minorEastAsia" w:eastAsiaTheme="minorEastAsia" w:cstheme="minorEastAsia"/>
          <w:bCs/>
          <w:sz w:val="24"/>
        </w:rPr>
        <w:t xml:space="preserve"> 投标有效期为</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bCs/>
          <w:sz w:val="24"/>
        </w:rPr>
        <w:t xml:space="preserve">规定的开标之日后</w:t>
      </w:r>
      <w:r>
        <w:rPr>
          <w:rFonts w:hint="eastAsia" w:asciiTheme="minorEastAsia" w:hAnsiTheme="minorEastAsia" w:eastAsiaTheme="minorEastAsia" w:cstheme="minorEastAsia"/>
          <w:b/>
          <w:sz w:val="24"/>
          <w:u w:val="single"/>
        </w:rPr>
        <w:t xml:space="preserve">六十（60）天</w:t>
      </w:r>
      <w:r>
        <w:rPr>
          <w:rFonts w:hint="eastAsia" w:asciiTheme="minorEastAsia" w:hAnsiTheme="minorEastAsia" w:eastAsiaTheme="minorEastAsia" w:cstheme="minorEastAsia"/>
          <w:bCs/>
          <w:sz w:val="24"/>
        </w:rPr>
        <w:t xml:space="preserve">。</w:t>
      </w:r>
      <w:r>
        <w:rPr>
          <w:rFonts w:hint="eastAsia" w:asciiTheme="minorEastAsia" w:hAnsiTheme="minorEastAsia" w:eastAsiaTheme="minorEastAsia" w:cstheme="minorEastAsia"/>
          <w:sz w:val="24"/>
        </w:rPr>
        <w:t xml:space="preserve">投标有效期比规定短的将被视为未实质性响应招标文件而予以拒绝。</w:t>
      </w:r>
      <w:r/>
    </w:p>
    <w:p>
      <w:pPr>
        <w:pStyle w:val="1006"/>
        <w:ind w:firstLine="420"/>
        <w:spacing w:before="0" w:after="0" w:line="240" w:lineRule="auto"/>
        <w:rPr>
          <w:rFonts w:hint="eastAsia" w:asciiTheme="minorEastAsia" w:hAnsiTheme="minorEastAsia" w:eastAsiaTheme="minorEastAsia" w:cstheme="minorEastAsia"/>
          <w:b w:val="0"/>
          <w:bCs w:val="0"/>
        </w:rPr>
      </w:pPr>
      <w:r>
        <w:rPr>
          <w:rFonts w:hint="eastAsia" w:asciiTheme="minorEastAsia" w:hAnsiTheme="minorEastAsia" w:eastAsiaTheme="minorEastAsia" w:cstheme="minorEastAsia"/>
          <w:b w:val="0"/>
          <w:bCs w:val="0"/>
        </w:rPr>
        <w:t xml:space="preserve">16、投标有效期的延长</w:t>
      </w:r>
      <w:r/>
    </w:p>
    <w:p>
      <w:pPr>
        <w:ind w:firstLine="480"/>
        <w:spacing w:line="50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sz w:val="24"/>
        </w:rPr>
        <w:t xml:space="preserve">16.1</w:t>
      </w:r>
      <w:r>
        <w:rPr>
          <w:rFonts w:hint="eastAsia" w:asciiTheme="minorEastAsia" w:hAnsiTheme="minorEastAsia" w:eastAsiaTheme="minorEastAsia" w:cstheme="minorEastAsia"/>
          <w:bCs/>
          <w:sz w:val="24"/>
        </w:rPr>
        <w:t xml:space="preserve"> 在特殊情况下，</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bCs/>
          <w:sz w:val="24"/>
        </w:rPr>
        <w:t xml:space="preserve">于原投标有效期满之前，可向投标人提出延长投标有效期的要求。这种要求与答复均应采用书面形式。投标人可以拒绝</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bCs/>
          <w:sz w:val="24"/>
        </w:rPr>
        <w:t xml:space="preserve">的这一要求而放弃投标</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bCs/>
          <w:sz w:val="24"/>
        </w:rPr>
        <w:t xml:space="preserve">同意延长投标有效期的投标人既不能要求也不允许修改其投标文件</w:t>
      </w:r>
      <w:r>
        <w:rPr>
          <w:rFonts w:hint="eastAsia" w:asciiTheme="minorEastAsia" w:hAnsiTheme="minorEastAsia" w:eastAsiaTheme="minorEastAsia" w:cstheme="minorEastAsia"/>
          <w:sz w:val="24"/>
          <w:szCs w:val="24"/>
        </w:rPr>
        <w:t xml:space="preserve">，同时受投标有效期约束的所有权利与义务均延长至新的有效期</w:t>
      </w:r>
      <w:r>
        <w:rPr>
          <w:rFonts w:hint="eastAsia" w:asciiTheme="minorEastAsia" w:hAnsiTheme="minorEastAsia" w:eastAsiaTheme="minorEastAsia" w:cstheme="minorEastAsia"/>
          <w:bCs/>
          <w:sz w:val="24"/>
        </w:rPr>
        <w:t xml:space="preserve">。</w:t>
      </w:r>
      <w:r/>
    </w:p>
    <w:p>
      <w:pPr>
        <w:pStyle w:val="1004"/>
        <w:ind w:firstLine="482"/>
        <w:spacing w:before="156" w:after="156" w:line="360" w:lineRule="auto"/>
        <w:rPr>
          <w:rFonts w:hint="eastAsia" w:asciiTheme="minorEastAsia" w:hAnsiTheme="minorEastAsia" w:eastAsiaTheme="minorEastAsia" w:cstheme="minorEastAsia"/>
        </w:rPr>
      </w:pPr>
      <w:r/>
      <w:bookmarkStart w:id="134" w:name="_Hlt26954852"/>
      <w:r/>
      <w:bookmarkEnd w:id="134"/>
      <w:r/>
      <w:bookmarkStart w:id="135" w:name="_Hlt26954739"/>
      <w:r/>
      <w:bookmarkEnd w:id="135"/>
      <w:r/>
      <w:bookmarkStart w:id="136" w:name="_Toc16938540"/>
      <w:r/>
      <w:bookmarkStart w:id="137" w:name="_Toc20823296"/>
      <w:r/>
      <w:bookmarkStart w:id="138" w:name="_Toc513029224"/>
      <w:r/>
      <w:bookmarkStart w:id="139" w:name="_Toc120614217"/>
      <w:r>
        <w:rPr>
          <w:rFonts w:hint="eastAsia" w:asciiTheme="minorEastAsia" w:hAnsiTheme="minorEastAsia" w:eastAsiaTheme="minorEastAsia" w:cstheme="minorEastAsia"/>
        </w:rPr>
        <w:t xml:space="preserve">四、投标文件的递交</w:t>
      </w:r>
      <w:bookmarkEnd w:id="136"/>
      <w:r/>
      <w:bookmarkEnd w:id="137"/>
      <w:r/>
      <w:bookmarkEnd w:id="138"/>
      <w:r/>
      <w:bookmarkEnd w:id="139"/>
      <w:r/>
      <w:r/>
    </w:p>
    <w:p>
      <w:pPr>
        <w:pStyle w:val="1006"/>
        <w:ind w:firstLine="560"/>
        <w:spacing w:before="0" w:after="0" w:line="240" w:lineRule="auto"/>
        <w:rPr>
          <w:rFonts w:hint="eastAsia" w:asciiTheme="minorEastAsia" w:hAnsiTheme="minorEastAsia" w:eastAsiaTheme="minorEastAsia" w:cstheme="minorEastAsia"/>
          <w:b w:val="0"/>
          <w:bCs w:val="0"/>
        </w:rPr>
      </w:pPr>
      <w:r/>
      <w:bookmarkStart w:id="140" w:name="_Toc20823297"/>
      <w:r/>
      <w:bookmarkStart w:id="141" w:name="_Toc462564084"/>
      <w:r/>
      <w:bookmarkStart w:id="142" w:name="_Toc513029225"/>
      <w:r/>
      <w:bookmarkStart w:id="143" w:name="_Toc16938541"/>
      <w:r>
        <w:rPr>
          <w:rFonts w:hint="eastAsia" w:asciiTheme="minorEastAsia" w:hAnsiTheme="minorEastAsia" w:eastAsiaTheme="minorEastAsia" w:cstheme="minorEastAsia"/>
          <w:b w:val="0"/>
          <w:bCs w:val="0"/>
        </w:rPr>
        <w:t xml:space="preserve">17、投标文件</w:t>
      </w:r>
      <w:bookmarkEnd w:id="140"/>
      <w:r/>
      <w:bookmarkEnd w:id="141"/>
      <w:r/>
      <w:bookmarkEnd w:id="142"/>
      <w:r/>
      <w:bookmarkEnd w:id="143"/>
      <w:r>
        <w:rPr>
          <w:rFonts w:hint="eastAsia" w:asciiTheme="minorEastAsia" w:hAnsiTheme="minorEastAsia" w:eastAsiaTheme="minorEastAsia" w:cstheme="minorEastAsia"/>
          <w:b w:val="0"/>
          <w:bCs w:val="0"/>
        </w:rPr>
        <w:t xml:space="preserve">的递交</w:t>
      </w:r>
      <w:r/>
    </w:p>
    <w:p>
      <w:pPr>
        <w:ind w:firstLine="480"/>
        <w:spacing w:line="50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sz w:val="24"/>
        </w:rPr>
        <w:t xml:space="preserve">17.1</w:t>
      </w:r>
      <w:r>
        <w:rPr>
          <w:rFonts w:hint="eastAsia" w:asciiTheme="minorEastAsia" w:hAnsiTheme="minorEastAsia" w:eastAsiaTheme="minorEastAsia" w:cstheme="minorEastAsia"/>
          <w:bCs/>
          <w:sz w:val="24"/>
        </w:rPr>
        <w:t xml:space="preserve"> 电子投标文件的递交</w:t>
      </w:r>
      <w:r/>
    </w:p>
    <w:p>
      <w:pPr>
        <w:pStyle w:val="1109"/>
        <w:ind w:left="525"/>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投标人应当按照《操作手册》规定，在投标截止时间前制作并上传电子投标文件。</w:t>
      </w:r>
      <w:bookmarkStart w:id="144" w:name="_Toc16938542"/>
      <w:r/>
      <w:bookmarkStart w:id="145" w:name="_Toc513029226"/>
      <w:r/>
      <w:bookmarkStart w:id="146" w:name="_Toc20823298"/>
      <w:r/>
      <w:r/>
    </w:p>
    <w:p>
      <w:pPr>
        <w:pStyle w:val="1006"/>
        <w:ind w:firstLine="420"/>
        <w:rPr>
          <w:rFonts w:hint="eastAsia" w:asciiTheme="minorEastAsia" w:hAnsiTheme="minorEastAsia" w:eastAsiaTheme="minorEastAsia" w:cstheme="minorEastAsia"/>
          <w:b w:val="0"/>
        </w:rPr>
      </w:pPr>
      <w:r>
        <w:rPr>
          <w:rFonts w:hint="eastAsia" w:asciiTheme="minorEastAsia" w:hAnsiTheme="minorEastAsia" w:eastAsiaTheme="minorEastAsia" w:cstheme="minorEastAsia"/>
          <w:b w:val="0"/>
        </w:rPr>
        <w:t xml:space="preserve">18、投标截止</w:t>
      </w:r>
      <w:bookmarkEnd w:id="144"/>
      <w:r/>
      <w:bookmarkEnd w:id="145"/>
      <w:r/>
      <w:bookmarkEnd w:id="146"/>
      <w:r>
        <w:rPr>
          <w:rFonts w:hint="eastAsia" w:asciiTheme="minorEastAsia" w:hAnsiTheme="minorEastAsia" w:eastAsiaTheme="minorEastAsia" w:cstheme="minorEastAsia"/>
          <w:b w:val="0"/>
        </w:rPr>
        <w:t xml:space="preserve">时间</w:t>
      </w:r>
      <w:r/>
    </w:p>
    <w:p>
      <w:pPr>
        <w:ind w:firstLine="480"/>
        <w:spacing w:line="500" w:lineRule="exact"/>
        <w:rPr>
          <w:rFonts w:hint="eastAsia" w:asciiTheme="minorEastAsia" w:hAnsiTheme="minorEastAsia" w:eastAsiaTheme="minorEastAsia" w:cstheme="minorEastAsia"/>
          <w:bCs/>
          <w:i/>
          <w:sz w:val="24"/>
          <w:u w:val="single"/>
        </w:rPr>
      </w:pPr>
      <w:r>
        <w:rPr>
          <w:rFonts w:hint="eastAsia" w:asciiTheme="minorEastAsia" w:hAnsiTheme="minorEastAsia" w:eastAsiaTheme="minorEastAsia" w:cstheme="minorEastAsia"/>
          <w:i/>
          <w:sz w:val="24"/>
          <w:u w:val="single"/>
        </w:rPr>
        <w:t xml:space="preserve">18.1</w:t>
      </w:r>
      <w:r>
        <w:rPr>
          <w:rFonts w:hint="eastAsia" w:asciiTheme="minorEastAsia" w:hAnsiTheme="minorEastAsia" w:eastAsiaTheme="minorEastAsia" w:cstheme="minorEastAsia"/>
          <w:bCs/>
          <w:i/>
          <w:sz w:val="24"/>
          <w:u w:val="single"/>
        </w:rPr>
        <w:t xml:space="preserve"> 投标人上传电子投标文件的时间不得迟于招标公告中规定的投标截止时间。</w:t>
      </w:r>
      <w:r/>
    </w:p>
    <w:p>
      <w:pPr>
        <w:ind w:firstLine="480"/>
        <w:spacing w:line="50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50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sz w:val="24"/>
        </w:rPr>
        <w:t xml:space="preserve">18.2</w:t>
      </w:r>
      <w:r>
        <w:rPr>
          <w:rFonts w:hint="eastAsia" w:asciiTheme="minorEastAsia" w:hAnsiTheme="minorEastAsia" w:eastAsiaTheme="minorEastAsia" w:cstheme="minorEastAsia"/>
          <w:bCs/>
          <w:sz w:val="24"/>
        </w:rPr>
        <w:t xml:space="preserve"> </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bCs/>
          <w:sz w:val="24"/>
        </w:rPr>
        <w:t xml:space="preserve">可以按照规定，通过修改招标文件酌情延长投标截止时间，在此情况下，投标人的所有权利和义务以及投标人受制的截止时间均应以延长后新的截止时间为准。</w:t>
      </w:r>
      <w:r/>
    </w:p>
    <w:p>
      <w:pPr>
        <w:pStyle w:val="1006"/>
        <w:ind w:firstLine="420"/>
        <w:spacing w:before="0" w:after="0" w:line="240" w:lineRule="auto"/>
        <w:rPr>
          <w:rFonts w:hint="eastAsia" w:asciiTheme="minorEastAsia" w:hAnsiTheme="minorEastAsia" w:eastAsiaTheme="minorEastAsia" w:cstheme="minorEastAsia"/>
          <w:b w:val="0"/>
          <w:bCs w:val="0"/>
        </w:rPr>
      </w:pPr>
      <w:r/>
      <w:bookmarkStart w:id="147" w:name="_Toc16938543"/>
      <w:r/>
      <w:bookmarkStart w:id="148" w:name="_Toc513029227"/>
      <w:r/>
      <w:bookmarkStart w:id="149" w:name="_Toc20823299"/>
      <w:r>
        <w:rPr>
          <w:rFonts w:hint="eastAsia" w:asciiTheme="minorEastAsia" w:hAnsiTheme="minorEastAsia" w:eastAsiaTheme="minorEastAsia" w:cstheme="minorEastAsia"/>
          <w:b w:val="0"/>
          <w:bCs w:val="0"/>
        </w:rPr>
        <w:t xml:space="preserve">19、投标文件</w:t>
      </w:r>
      <w:bookmarkEnd w:id="147"/>
      <w:r/>
      <w:bookmarkEnd w:id="148"/>
      <w:r/>
      <w:bookmarkEnd w:id="149"/>
      <w:r>
        <w:rPr>
          <w:rFonts w:hint="eastAsia" w:asciiTheme="minorEastAsia" w:hAnsiTheme="minorEastAsia" w:eastAsiaTheme="minorEastAsia" w:cstheme="minorEastAsia"/>
          <w:b w:val="0"/>
          <w:bCs w:val="0"/>
        </w:rPr>
        <w:t xml:space="preserve">的拒收</w:t>
      </w:r>
      <w:r/>
    </w:p>
    <w:p>
      <w:pPr>
        <w:ind w:firstLine="480"/>
        <w:spacing w:line="50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sz w:val="24"/>
        </w:rPr>
        <w:t xml:space="preserve">19.1建装中心</w:t>
      </w:r>
      <w:r>
        <w:rPr>
          <w:rFonts w:hint="eastAsia" w:asciiTheme="minorEastAsia" w:hAnsiTheme="minorEastAsia" w:eastAsiaTheme="minorEastAsia" w:cstheme="minorEastAsia"/>
          <w:bCs/>
          <w:sz w:val="24"/>
        </w:rPr>
        <w:t xml:space="preserve">拒绝接收在其规定的投标截止时间后上传的任何投标文件。</w:t>
      </w:r>
      <w:r/>
    </w:p>
    <w:p>
      <w:pPr>
        <w:pStyle w:val="1006"/>
        <w:ind w:firstLine="420"/>
        <w:spacing w:before="0" w:after="0" w:line="240" w:lineRule="auto"/>
        <w:rPr>
          <w:rFonts w:hint="eastAsia" w:asciiTheme="minorEastAsia" w:hAnsiTheme="minorEastAsia" w:eastAsiaTheme="minorEastAsia" w:cstheme="minorEastAsia"/>
          <w:b w:val="0"/>
          <w:bCs w:val="0"/>
        </w:rPr>
      </w:pPr>
      <w:r/>
      <w:bookmarkStart w:id="150" w:name="_Toc16938544"/>
      <w:r/>
      <w:bookmarkStart w:id="151" w:name="_Toc20823300"/>
      <w:r/>
      <w:bookmarkStart w:id="152" w:name="_Toc513029228"/>
      <w:r>
        <w:rPr>
          <w:rFonts w:hint="eastAsia" w:asciiTheme="minorEastAsia" w:hAnsiTheme="minorEastAsia" w:eastAsiaTheme="minorEastAsia" w:cstheme="minorEastAsia"/>
          <w:b w:val="0"/>
          <w:bCs w:val="0"/>
        </w:rPr>
        <w:t xml:space="preserve">20、投标文件的撤回和修改</w:t>
      </w:r>
      <w:bookmarkEnd w:id="150"/>
      <w:r/>
      <w:bookmarkEnd w:id="151"/>
      <w:r/>
      <w:bookmarkEnd w:id="152"/>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20.1 投标文件的撤回</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20.1.1 电子投标文件的撤回</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投标人可在投标截止时间前，撤回其电子投标文件，具体操作方法见《操作手册》。</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20.1.2 投标人撤回电子投标文件，则认为其不再参与本项目投标活动。</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20.2 投标文件的修改</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20.2.1投标人可在投标截止时间前，对其电子投标文件进行修改，具体操作方法见《操作手册》。</w:t>
      </w:r>
      <w:r/>
    </w:p>
    <w:p>
      <w:pPr>
        <w:ind w:firstLine="480"/>
        <w:spacing w:line="50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sz w:val="24"/>
        </w:rPr>
        <w:t xml:space="preserve">20.2.2</w:t>
      </w:r>
      <w:r>
        <w:rPr>
          <w:rFonts w:hint="eastAsia" w:asciiTheme="minorEastAsia" w:hAnsiTheme="minorEastAsia" w:eastAsiaTheme="minorEastAsia" w:cstheme="minorEastAsia"/>
          <w:bCs/>
          <w:sz w:val="24"/>
        </w:rPr>
        <w:t xml:space="preserve"> 在投标截止时间之后，投标人不得对其电子投标文件作任何修改。</w:t>
      </w:r>
      <w:r/>
    </w:p>
    <w:p>
      <w:pPr>
        <w:ind w:firstLine="480"/>
        <w:spacing w:line="50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sz w:val="24"/>
        </w:rPr>
        <w:t xml:space="preserve">20.3</w:t>
      </w:r>
      <w:r>
        <w:rPr>
          <w:rFonts w:hint="eastAsia" w:asciiTheme="minorEastAsia" w:hAnsiTheme="minorEastAsia" w:eastAsiaTheme="minorEastAsia" w:cstheme="minorEastAsia"/>
          <w:bCs/>
          <w:sz w:val="24"/>
        </w:rPr>
        <w:t xml:space="preserve"> 在投标截止时间至招标文件中规定的投标有效期满之间的这段时间内，投标人不得撤回其投标。</w:t>
      </w:r>
      <w:r/>
    </w:p>
    <w:p>
      <w:pPr>
        <w:pStyle w:val="1004"/>
        <w:ind w:firstLine="482"/>
        <w:spacing w:before="156" w:after="156" w:line="360" w:lineRule="auto"/>
        <w:rPr>
          <w:rFonts w:hint="eastAsia" w:asciiTheme="minorEastAsia" w:hAnsiTheme="minorEastAsia" w:eastAsiaTheme="minorEastAsia" w:cstheme="minorEastAsia"/>
        </w:rPr>
      </w:pPr>
      <w:r/>
      <w:bookmarkStart w:id="153" w:name="_Toc120614218"/>
      <w:r/>
      <w:bookmarkStart w:id="154" w:name="_Toc16938545"/>
      <w:r/>
      <w:bookmarkStart w:id="155" w:name="_Toc20823301"/>
      <w:r/>
      <w:bookmarkStart w:id="156" w:name="_Toc513029229"/>
      <w:r>
        <w:rPr>
          <w:rFonts w:hint="eastAsia" w:asciiTheme="minorEastAsia" w:hAnsiTheme="minorEastAsia" w:eastAsiaTheme="minorEastAsia" w:cstheme="minorEastAsia"/>
        </w:rPr>
        <w:t xml:space="preserve">五、开标与评标</w:t>
      </w:r>
      <w:bookmarkEnd w:id="153"/>
      <w:r/>
      <w:bookmarkEnd w:id="154"/>
      <w:r/>
      <w:bookmarkEnd w:id="155"/>
      <w:r/>
      <w:bookmarkEnd w:id="156"/>
      <w:r/>
      <w:r/>
    </w:p>
    <w:p>
      <w:pPr>
        <w:pStyle w:val="1006"/>
        <w:ind w:firstLine="420"/>
        <w:spacing w:before="0" w:after="0" w:line="240" w:lineRule="auto"/>
        <w:rPr>
          <w:rFonts w:hint="eastAsia" w:asciiTheme="minorEastAsia" w:hAnsiTheme="minorEastAsia" w:eastAsiaTheme="minorEastAsia" w:cstheme="minorEastAsia"/>
          <w:b w:val="0"/>
          <w:bCs w:val="0"/>
        </w:rPr>
      </w:pPr>
      <w:r/>
      <w:bookmarkStart w:id="157" w:name="_Toc16938546"/>
      <w:r/>
      <w:bookmarkStart w:id="158" w:name="_Toc513029230"/>
      <w:r/>
      <w:bookmarkStart w:id="159" w:name="_Toc20823302"/>
      <w:r>
        <w:rPr>
          <w:rFonts w:hint="eastAsia" w:asciiTheme="minorEastAsia" w:hAnsiTheme="minorEastAsia" w:eastAsiaTheme="minorEastAsia" w:cstheme="minorEastAsia"/>
          <w:b w:val="0"/>
          <w:bCs w:val="0"/>
        </w:rPr>
        <w:t xml:space="preserve">21、开标</w:t>
      </w:r>
      <w:bookmarkEnd w:id="157"/>
      <w:r/>
      <w:bookmarkEnd w:id="158"/>
      <w:r/>
      <w:bookmarkEnd w:id="159"/>
      <w:r/>
      <w:r/>
    </w:p>
    <w:p>
      <w:pPr>
        <w:ind w:firstLine="360"/>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 xml:space="preserve">21.1</w:t>
      </w:r>
      <w:r>
        <w:rPr>
          <w:rFonts w:hint="eastAsia" w:asciiTheme="minorEastAsia" w:hAnsiTheme="minorEastAsia" w:eastAsiaTheme="minorEastAsia" w:cstheme="minorEastAsia"/>
          <w:bCs/>
          <w:sz w:val="24"/>
        </w:rPr>
        <w:t xml:space="preserve"> </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bCs/>
          <w:sz w:val="24"/>
        </w:rPr>
        <w:t xml:space="preserve">将在招标公告中规定的时间和地点组织公开开标</w:t>
      </w:r>
      <w:r>
        <w:rPr>
          <w:rFonts w:hint="eastAsia" w:asciiTheme="minorEastAsia" w:hAnsiTheme="minorEastAsia" w:eastAsiaTheme="minorEastAsia" w:cstheme="minorEastAsia"/>
          <w:sz w:val="24"/>
          <w:szCs w:val="24"/>
        </w:rPr>
        <w:t xml:space="preserve">。投标人应当按照《操作手册》规定，参加开标活动和在苏采云系统规定的时间内对投标文件进行解密。</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21.2</w:t>
      </w:r>
      <w:r>
        <w:rPr>
          <w:rFonts w:hint="eastAsia" w:asciiTheme="minorEastAsia" w:hAnsiTheme="minorEastAsia" w:eastAsiaTheme="minorEastAsia" w:cstheme="minorEastAsia"/>
          <w:sz w:val="24"/>
          <w:szCs w:val="24"/>
        </w:rPr>
        <w:t xml:space="preserve">开标仪式由</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sz w:val="24"/>
          <w:szCs w:val="24"/>
        </w:rPr>
        <w:t xml:space="preserve">组织。苏采云系统将自动对项目进行开标，并宣布各投标人名称和投标价格。</w:t>
      </w:r>
      <w:r/>
    </w:p>
    <w:p>
      <w:pPr>
        <w:ind w:firstLine="480"/>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rPr>
        <w:t xml:space="preserve">21.3投标人在开标过程中涉及到的投标文件解密、开标结果确认等工作，应按照《操作手册》规定执行。</w:t>
      </w:r>
      <w:r/>
    </w:p>
    <w:p>
      <w:pPr>
        <w:ind w:firstLine="480"/>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21.4投标人如果对开标过程和开标记录有疑义，应当根据《操作手册》规定提出，如 苏采云系统中《开标记录表》宣布后5分钟内未提出的，视同认可开标结果。</w:t>
      </w:r>
      <w:r/>
    </w:p>
    <w:p>
      <w:pPr>
        <w:pStyle w:val="1006"/>
        <w:ind w:firstLine="420"/>
        <w:spacing w:before="0" w:after="0" w:line="240" w:lineRule="auto"/>
        <w:rPr>
          <w:rFonts w:hint="eastAsia" w:asciiTheme="minorEastAsia" w:hAnsiTheme="minorEastAsia" w:eastAsiaTheme="minorEastAsia" w:cstheme="minorEastAsia"/>
          <w:b w:val="0"/>
          <w:bCs w:val="0"/>
        </w:rPr>
      </w:pPr>
      <w:r/>
      <w:bookmarkStart w:id="160" w:name="_Toc16938547"/>
      <w:r/>
      <w:bookmarkStart w:id="161" w:name="_Toc20823303"/>
      <w:r/>
      <w:bookmarkStart w:id="162" w:name="_Toc513029231"/>
      <w:r>
        <w:rPr>
          <w:rFonts w:hint="eastAsia" w:asciiTheme="minorEastAsia" w:hAnsiTheme="minorEastAsia" w:eastAsiaTheme="minorEastAsia" w:cstheme="minorEastAsia"/>
          <w:b w:val="0"/>
          <w:bCs w:val="0"/>
        </w:rPr>
        <w:t xml:space="preserve">22、评标委员会</w:t>
      </w:r>
      <w:r/>
    </w:p>
    <w:p>
      <w:pPr>
        <w:spacing w:line="48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  </w:t>
      </w:r>
      <w:r>
        <w:rPr>
          <w:rFonts w:hint="eastAsia" w:asciiTheme="minorEastAsia" w:hAnsiTheme="minorEastAsia" w:eastAsiaTheme="minorEastAsia" w:cstheme="minorEastAsia"/>
          <w:sz w:val="24"/>
          <w:szCs w:val="24"/>
        </w:rPr>
        <w:t xml:space="preserve"> 22.1</w:t>
      </w:r>
      <w:r>
        <w:rPr>
          <w:rFonts w:hint="eastAsia" w:asciiTheme="minorEastAsia" w:hAnsiTheme="minorEastAsia" w:eastAsiaTheme="minorEastAsia" w:cstheme="minorEastAsia"/>
          <w:b/>
          <w:sz w:val="24"/>
          <w:szCs w:val="24"/>
        </w:rPr>
        <w:t xml:space="preserve"> </w:t>
      </w:r>
      <w:r>
        <w:rPr>
          <w:rFonts w:hint="eastAsia" w:asciiTheme="minorEastAsia" w:hAnsiTheme="minorEastAsia" w:eastAsiaTheme="minorEastAsia" w:cstheme="minorEastAsia"/>
          <w:sz w:val="24"/>
          <w:szCs w:val="24"/>
        </w:rPr>
        <w:t xml:space="preserve">开标后，</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sz w:val="24"/>
          <w:szCs w:val="24"/>
        </w:rPr>
        <w:t xml:space="preserve">将立即组织评标委员会（以下简称评委会）进行评标。</w:t>
      </w:r>
      <w:r/>
    </w:p>
    <w:p>
      <w:pPr>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 xml:space="preserve">  </w:t>
      </w:r>
      <w:r>
        <w:rPr>
          <w:rFonts w:hint="eastAsia" w:asciiTheme="minorEastAsia" w:hAnsiTheme="minorEastAsia" w:eastAsiaTheme="minorEastAsia" w:cstheme="minorEastAsia"/>
          <w:sz w:val="24"/>
          <w:szCs w:val="24"/>
        </w:rPr>
        <w:t xml:space="preserve"> 22.2 评委会由采购人代表和有关技术、经济等方面的专家组成，且人员构成符合政府采购有关规定。</w:t>
      </w:r>
      <w:r/>
    </w:p>
    <w:p>
      <w:pPr>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 xml:space="preserve">  </w:t>
      </w:r>
      <w:r>
        <w:rPr>
          <w:rFonts w:hint="eastAsia" w:asciiTheme="minorEastAsia" w:hAnsiTheme="minorEastAsia" w:eastAsiaTheme="minorEastAsia" w:cstheme="minorEastAsia"/>
          <w:sz w:val="24"/>
          <w:szCs w:val="24"/>
        </w:rPr>
        <w:t xml:space="preserve"> 22.3评委会独立工作，负责评审所有投标文件并确定中标侯选人。</w:t>
      </w:r>
      <w:r/>
    </w:p>
    <w:p>
      <w:pPr>
        <w:pStyle w:val="1006"/>
        <w:ind w:firstLine="420"/>
        <w:spacing w:before="0" w:after="0" w:line="240" w:lineRule="auto"/>
        <w:rPr>
          <w:rFonts w:hint="eastAsia" w:asciiTheme="minorEastAsia" w:hAnsiTheme="minorEastAsia" w:eastAsiaTheme="minorEastAsia" w:cstheme="minorEastAsia"/>
          <w:b w:val="0"/>
          <w:bCs w:val="0"/>
        </w:rPr>
      </w:pPr>
      <w:r>
        <w:rPr>
          <w:rFonts w:hint="eastAsia" w:asciiTheme="minorEastAsia" w:hAnsiTheme="minorEastAsia" w:eastAsiaTheme="minorEastAsia" w:cstheme="minorEastAsia"/>
          <w:b w:val="0"/>
          <w:bCs w:val="0"/>
        </w:rPr>
        <w:t xml:space="preserve">23、评标过程的保密与公正</w:t>
      </w:r>
      <w:bookmarkEnd w:id="160"/>
      <w:r/>
      <w:bookmarkEnd w:id="161"/>
      <w:r/>
      <w:bookmarkEnd w:id="162"/>
      <w:r/>
      <w:r/>
    </w:p>
    <w:p>
      <w:pPr>
        <w:ind w:firstLine="480"/>
        <w:spacing w:line="50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sz w:val="24"/>
        </w:rPr>
        <w:t xml:space="preserve">23.1</w:t>
      </w:r>
      <w:r>
        <w:rPr>
          <w:rFonts w:hint="eastAsia" w:asciiTheme="minorEastAsia" w:hAnsiTheme="minorEastAsia" w:eastAsiaTheme="minorEastAsia" w:cstheme="minorEastAsia"/>
          <w:bCs/>
          <w:sz w:val="24"/>
        </w:rPr>
        <w:t xml:space="preserve">凡是与审查、澄清、评价和比较投标的有关资料以及授标建议等，采购人、评委、</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bCs/>
          <w:sz w:val="24"/>
        </w:rPr>
        <w:t xml:space="preserve">均不得向投标人或与评标无关的其他人员透露。</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rPr>
        <w:t xml:space="preserve">23.2</w:t>
      </w:r>
      <w:r>
        <w:rPr>
          <w:rFonts w:hint="eastAsia" w:asciiTheme="minorEastAsia" w:hAnsiTheme="minorEastAsia" w:eastAsiaTheme="minorEastAsia" w:cstheme="minorEastAsia"/>
          <w:sz w:val="24"/>
          <w:szCs w:val="24"/>
        </w:rPr>
        <w:t xml:space="preserve">在评标过程中，投标人不得以任何行为影响评标过程，否则其投标文件将被作为无效投标文件。</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23.3 </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sz w:val="24"/>
          <w:szCs w:val="24"/>
        </w:rPr>
        <w:t xml:space="preserve">和评标委员会不向未中标的投标人解释未中标原因，也不公布评标过程中的相关细节。</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23.4 采用综合评分法的项目，未中标的投标人可于中标结果公告期限届满之日起通过苏采云系统查看自己的评审得分及排序情况。</w:t>
      </w:r>
      <w:r/>
    </w:p>
    <w:p>
      <w:pPr>
        <w:pStyle w:val="1006"/>
        <w:ind w:firstLine="420"/>
        <w:spacing w:before="0" w:after="0" w:line="240" w:lineRule="auto"/>
        <w:rPr>
          <w:rFonts w:hint="eastAsia" w:asciiTheme="minorEastAsia" w:hAnsiTheme="minorEastAsia" w:eastAsiaTheme="minorEastAsia" w:cstheme="minorEastAsia"/>
          <w:b w:val="0"/>
          <w:bCs w:val="0"/>
        </w:rPr>
      </w:pPr>
      <w:r/>
      <w:bookmarkStart w:id="163" w:name="_Toc513029232"/>
      <w:r/>
      <w:bookmarkStart w:id="164" w:name="_Toc16938548"/>
      <w:r/>
      <w:bookmarkStart w:id="165" w:name="_Toc20823304"/>
      <w:r>
        <w:rPr>
          <w:rFonts w:hint="eastAsia" w:asciiTheme="minorEastAsia" w:hAnsiTheme="minorEastAsia" w:eastAsiaTheme="minorEastAsia" w:cstheme="minorEastAsia"/>
          <w:b w:val="0"/>
          <w:bCs w:val="0"/>
        </w:rPr>
        <w:t xml:space="preserve">24、投标文件的澄清</w:t>
      </w:r>
      <w:bookmarkEnd w:id="163"/>
      <w:r/>
      <w:bookmarkEnd w:id="164"/>
      <w:r/>
      <w:bookmarkEnd w:id="165"/>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24.1评标期间，评委会对投标文件中含义不明确、同类问题表述不一致或者有明显文字和计算错误的内容 ，有权要求投标人作出必要的澄清、说明或者补正。</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投标人的澄清、说明或者补正不得超出投标文件的范围或者改变投标文件的实质性内容。</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评标委员会并非对每个投标人都做澄清要求。</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24.3 接到评委会澄清、说明和补正要求的投标人如未按规定做出澄清、说明和补正，其风险由投标人自行承担。</w:t>
      </w:r>
      <w:r/>
    </w:p>
    <w:p>
      <w:pPr>
        <w:pStyle w:val="1006"/>
        <w:ind w:firstLine="420"/>
        <w:spacing w:before="0" w:after="0" w:line="240" w:lineRule="auto"/>
        <w:rPr>
          <w:rFonts w:hint="eastAsia" w:asciiTheme="minorEastAsia" w:hAnsiTheme="minorEastAsia" w:eastAsiaTheme="minorEastAsia" w:cstheme="minorEastAsia"/>
          <w:b w:val="0"/>
          <w:bCs w:val="0"/>
        </w:rPr>
      </w:pPr>
      <w:r/>
      <w:bookmarkStart w:id="166" w:name="_Toc20823305"/>
      <w:r/>
      <w:bookmarkStart w:id="167" w:name="_Toc513029233"/>
      <w:r/>
      <w:bookmarkStart w:id="168" w:name="_Toc16938549"/>
      <w:r>
        <w:rPr>
          <w:rFonts w:hint="eastAsia" w:asciiTheme="minorEastAsia" w:hAnsiTheme="minorEastAsia" w:eastAsiaTheme="minorEastAsia" w:cstheme="minorEastAsia"/>
          <w:b w:val="0"/>
          <w:bCs w:val="0"/>
        </w:rPr>
        <w:t xml:space="preserve">25、对投标文件的初审</w:t>
      </w:r>
      <w:bookmarkEnd w:id="166"/>
      <w:r/>
      <w:bookmarkEnd w:id="167"/>
      <w:r/>
      <w:bookmarkEnd w:id="168"/>
      <w:r/>
      <w:r/>
    </w:p>
    <w:p>
      <w:pPr>
        <w:ind w:firstLine="480"/>
        <w:spacing w:line="4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sz w:val="24"/>
        </w:rPr>
        <w:t xml:space="preserve">25.1</w:t>
      </w:r>
      <w:r>
        <w:rPr>
          <w:rFonts w:hint="eastAsia" w:asciiTheme="minorEastAsia" w:hAnsiTheme="minorEastAsia" w:eastAsiaTheme="minorEastAsia" w:cstheme="minorEastAsia"/>
          <w:bCs/>
          <w:sz w:val="24"/>
        </w:rPr>
        <w:t xml:space="preserve">投标文件初审分为资格审查和符合性审查。</w:t>
      </w:r>
      <w:r/>
    </w:p>
    <w:p>
      <w:pPr>
        <w:ind w:firstLine="480"/>
        <w:spacing w:line="4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25.1.1 资格审查：依据法律法规和招标文件的规定，由采购人对投标文件中的资格证明文件进行审查。资格审查的结论，采购人以书面形式向评委会进行反馈。</w:t>
      </w:r>
      <w:r/>
    </w:p>
    <w:p>
      <w:pPr>
        <w:ind w:firstLine="480"/>
        <w:spacing w:line="4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采购人在进行资格性审查的同时，将在“信用中国”网站（www.creditchina.gov.cn）查询投标人的信用记录，以确定投标人是否具备投标资格,查询结果留存并归档。</w:t>
      </w:r>
      <w:r/>
    </w:p>
    <w:p>
      <w:pPr>
        <w:ind w:firstLine="480"/>
        <w:spacing w:line="4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25.1.2 符合性审查：依据招标文件的规定，由评委会从投标文件的有效性、完整性和对招标文件的响应程度进行审查，以确定是否对招标文件的实质性要求作出响应。</w:t>
      </w:r>
      <w:r/>
    </w:p>
    <w:p>
      <w:pPr>
        <w:ind w:firstLine="480"/>
        <w:spacing w:line="4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25.1.3 未通过资格审查或符合性审查的投标人，</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bCs/>
          <w:sz w:val="24"/>
        </w:rPr>
        <w:t xml:space="preserve">将在</w:t>
      </w:r>
      <w:r>
        <w:rPr>
          <w:rFonts w:hint="eastAsia" w:asciiTheme="minorEastAsia" w:hAnsiTheme="minorEastAsia" w:eastAsiaTheme="minorEastAsia" w:cstheme="minorEastAsia"/>
          <w:sz w:val="24"/>
          <w:szCs w:val="24"/>
        </w:rPr>
        <w:t xml:space="preserve">苏采云系统</w:t>
      </w:r>
      <w:r>
        <w:rPr>
          <w:rFonts w:hint="eastAsia" w:asciiTheme="minorEastAsia" w:hAnsiTheme="minorEastAsia" w:eastAsiaTheme="minorEastAsia" w:cstheme="minorEastAsia"/>
          <w:bCs/>
          <w:sz w:val="24"/>
        </w:rPr>
        <w:t xml:space="preserve">中告知未通过资格审查或符合性审查的原因，评标结束后，</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bCs/>
          <w:sz w:val="24"/>
        </w:rPr>
        <w:t xml:space="preserve">将不再告知未通过资格审查和符合性审查的原因。</w:t>
      </w:r>
      <w:r/>
    </w:p>
    <w:p>
      <w:pPr>
        <w:ind w:firstLine="480"/>
        <w:spacing w:line="4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所谓重大偏离或保留是指与招标文件规定的实质性要求存在负偏离，或者在实质上与招标文件不一致，而且限制了合同中买方和建装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25.3如果投标文件实质上没有响应招标文件的要求，评委会将予以拒绝，投标人不得通过修改或撤销不合要求的偏离或保留而使其投标成为实质性响应的投标。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sz w:val="24"/>
        </w:rPr>
        <w:t xml:space="preserve">25.4</w:t>
      </w:r>
      <w:r>
        <w:rPr>
          <w:rFonts w:hint="eastAsia" w:asciiTheme="minorEastAsia" w:hAnsiTheme="minorEastAsia" w:eastAsiaTheme="minorEastAsia" w:cstheme="minorEastAsia"/>
          <w:bCs/>
          <w:sz w:val="24"/>
        </w:rPr>
        <w:t xml:space="preserve">评委会将对确定为实质性响应的投标进行进一步审核，确定其是否有计算上或累加上的算术错误，修正错误的原则如下：</w:t>
      </w:r>
      <w:r/>
    </w:p>
    <w:p>
      <w:pPr>
        <w:ind w:firstLine="480"/>
        <w:spacing w:line="4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（1）投标文件中开标一览表内容与投标文件中相应内容不一致的，以开标一览表为准。</w:t>
      </w:r>
      <w:r/>
    </w:p>
    <w:p>
      <w:pPr>
        <w:ind w:firstLine="480"/>
        <w:spacing w:line="4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（2）大写金额和小写金额不一致的，以大写金额为准。</w:t>
      </w:r>
      <w:r/>
    </w:p>
    <w:p>
      <w:pPr>
        <w:ind w:firstLine="480"/>
        <w:spacing w:line="4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（3）单价金额小数点或者百分比有明显错位的，以开标一览表的总价为准，并修改单价。</w:t>
      </w:r>
      <w:r/>
    </w:p>
    <w:p>
      <w:pPr>
        <w:ind w:firstLine="480"/>
        <w:spacing w:line="4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（4）总价金额与按单价汇总金额不一致的，以单价金额计算结果为准。</w:t>
      </w:r>
      <w:r/>
    </w:p>
    <w:p>
      <w:pPr>
        <w:ind w:firstLine="480"/>
        <w:spacing w:line="4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同时出现两种以上错误的，按照前款规定的顺序修正。</w:t>
      </w:r>
      <w:r/>
    </w:p>
    <w:p>
      <w:pPr>
        <w:ind w:firstLine="480"/>
        <w:spacing w:line="4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sz w:val="24"/>
        </w:rPr>
        <w:t xml:space="preserve">25.5 </w:t>
      </w:r>
      <w:r>
        <w:rPr>
          <w:rFonts w:hint="eastAsia" w:asciiTheme="minorEastAsia" w:hAnsiTheme="minorEastAsia" w:eastAsiaTheme="minorEastAsia" w:cstheme="minorEastAsia"/>
          <w:bCs/>
          <w:sz w:val="24"/>
        </w:rPr>
        <w:t xml:space="preserve">评委会将按上述修正错误的方法调整投标文件中的投标报价，并通过</w:t>
      </w:r>
      <w:r>
        <w:rPr>
          <w:rFonts w:hint="eastAsia" w:asciiTheme="minorEastAsia" w:hAnsiTheme="minorEastAsia" w:eastAsiaTheme="minorEastAsia" w:cstheme="minorEastAsia"/>
          <w:sz w:val="24"/>
          <w:szCs w:val="24"/>
        </w:rPr>
        <w:t xml:space="preserve">苏采云系统</w:t>
      </w:r>
      <w:r>
        <w:rPr>
          <w:rFonts w:hint="eastAsia" w:asciiTheme="minorEastAsia" w:hAnsiTheme="minorEastAsia" w:eastAsiaTheme="minorEastAsia" w:cstheme="minorEastAsia"/>
          <w:bCs/>
          <w:sz w:val="24"/>
        </w:rPr>
        <w:t xml:space="preserve">告知投标人，调整后的价格应对投标人具有约束力。如果投标人不接受修正后的价格，则其投标将被拒绝。</w:t>
      </w:r>
      <w:r/>
    </w:p>
    <w:p>
      <w:pPr>
        <w:ind w:firstLine="480"/>
        <w:spacing w:line="460" w:lineRule="exact"/>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25.6 评审委员会启动异常低价投标（响应）审查的情形和具体要求</w:t>
      </w:r>
      <w:r/>
    </w:p>
    <w:p>
      <w:pPr>
        <w:ind w:firstLine="480"/>
        <w:spacing w:line="4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25.6.1根据财政部《关于推动解决政府采购异常低价问题的通知》财库〔2026〕2号，评审过程中出现下列情形之一的，评审委员会应当启动异常低价投标（响应）审查程序：</w:t>
      </w:r>
      <w:r/>
    </w:p>
    <w:p>
      <w:pPr>
        <w:ind w:firstLine="480"/>
        <w:spacing w:line="4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25.6.1.1 投标（响应）报价低于全部通过符合性审查供应商投标（响应）报价平均值50%的，即投标（响应）报价&lt;全部通过符合性审查供应商投标（响应）报价平均值×50%； </w:t>
      </w:r>
      <w:r/>
    </w:p>
    <w:p>
      <w:pPr>
        <w:ind w:firstLine="480"/>
        <w:spacing w:line="4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25.6.1.2 投标（响应）报价低于通过符合性审查的次低报价供应商投标（响应）报价50%的，即投标（响应）报价&lt;通过符合性审查的次低报价供应商投标（响应）报价×50%； </w:t>
      </w:r>
      <w:r/>
    </w:p>
    <w:p>
      <w:pPr>
        <w:ind w:firstLine="480"/>
        <w:spacing w:line="4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25.6.1.3 投标（响应）报价低于采购项目最高限价45%的，即投标（响应）报价&lt;采购项目最高限价×45%；</w:t>
      </w:r>
      <w:r/>
    </w:p>
    <w:p>
      <w:pPr>
        <w:ind w:firstLine="480"/>
        <w:spacing w:line="4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25.6.1.4评审委员会基于专业判断，认为供应商报价过低，有可能影响产品质量或者不能诚信履约的其他情形。 </w:t>
      </w:r>
      <w:r/>
    </w:p>
    <w:p>
      <w:pPr>
        <w:ind w:firstLine="480"/>
        <w:spacing w:line="4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相关法律法规对供应商报价有规定的，从其规定。</w:t>
      </w:r>
      <w:r/>
    </w:p>
    <w:p>
      <w:pPr>
        <w:ind w:firstLine="480"/>
        <w:spacing w:line="4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25.6.2评审委员会启动异常低价投标（响应）审查后，属于前述第1项至第4项情形的，应当要求相关供应商在评审现场合理的时间内对投标（响应）价格作出解释，</w:t>
      </w:r>
      <w:r>
        <w:rPr>
          <w:rFonts w:hint="eastAsia" w:asciiTheme="minorEastAsia" w:hAnsiTheme="minorEastAsia" w:eastAsiaTheme="minorEastAsia" w:cstheme="minorEastAsia"/>
          <w:b/>
          <w:bCs/>
          <w:sz w:val="24"/>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Theme="minorEastAsia" w:hAnsiTheme="minorEastAsia" w:eastAsiaTheme="minorEastAsia" w:cstheme="minorEastAsia"/>
          <w:sz w:val="24"/>
        </w:rPr>
        <w:t xml:space="preserve">其中，属于第3项情形，供应商已随投标（响应）文件一并提交相关书面说明及必要的证明材料的，在评审现场可不再重复提交。 </w:t>
      </w:r>
      <w:r/>
    </w:p>
    <w:p>
      <w:pPr>
        <w:ind w:firstLine="480"/>
        <w:spacing w:line="4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80"/>
        <w:spacing w:line="4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80"/>
        <w:spacing w:line="4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异常低价投标（响应）审查的启动原因、审查意见和审查结果应当在评审报告中记录，并随供应商提供的相关书面说明及证明材料，以及评审委员会有关互联网浏览、查询历史一并归档。 </w:t>
      </w:r>
      <w:r/>
    </w:p>
    <w:p>
      <w:pPr>
        <w:ind w:firstLine="480"/>
        <w:spacing w:line="4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25.7采用最低评标价法的采购项目，提供相同品牌产品的不同投标人参加同一合同项下投标的，以其中通过资格审查、符合性审查且报价最低的参加评标；报价相同的，由评标委员会按照招标文件规定的方式（依据项目特点、从可操作角度出发选用质保期、工期、响应时间、从评分项中选取部分或全部等因素拟定。）确定一个参加评标的投标人，其他投标无效。</w:t>
      </w:r>
      <w:r/>
    </w:p>
    <w:p>
      <w:pPr>
        <w:ind w:firstLine="480"/>
        <w:spacing w:line="460" w:lineRule="exact"/>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依据项目特点、从可操作角度出发选用质保期、工期、响应时间、从评分项中选取部分或全部等因素拟定。）确定一个中标候选人，其他同品牌投标人不作为中标候选人。</w:t>
      </w:r>
      <w:r/>
    </w:p>
    <w:p>
      <w:pPr>
        <w:ind w:firstLine="420"/>
        <w:spacing w:line="4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非单一产品采购项目，招标文件中将载明其中的核心产品。多家投标人提供的核心产品品牌相同的，按前两款规定处理。</w:t>
      </w:r>
      <w:r/>
    </w:p>
    <w:p>
      <w:pPr>
        <w:ind w:firstLine="420"/>
        <w:spacing w:line="460" w:lineRule="exact"/>
        <w:rPr>
          <w:rFonts w:hint="eastAsia" w:asciiTheme="minorEastAsia" w:hAnsiTheme="minorEastAsia" w:eastAsiaTheme="minorEastAsia" w:cstheme="minorEastAsia"/>
          <w:sz w:val="24"/>
        </w:rPr>
      </w:pPr>
      <w:r/>
      <w:bookmarkStart w:id="169" w:name="_Toc513029234"/>
      <w:r/>
      <w:bookmarkStart w:id="170" w:name="_Toc16938550"/>
      <w:r/>
      <w:bookmarkStart w:id="171" w:name="_Toc20823306"/>
      <w:r>
        <w:rPr>
          <w:rFonts w:hint="eastAsia" w:asciiTheme="minorEastAsia" w:hAnsiTheme="minorEastAsia" w:eastAsiaTheme="minorEastAsia" w:cstheme="minorEastAsia"/>
          <w:sz w:val="24"/>
        </w:rPr>
        <w:t xml:space="preserve">25.8投标人在开、评标全过程中应保持通讯畅通，及时登录</w:t>
      </w:r>
      <w:r>
        <w:rPr>
          <w:rFonts w:hint="eastAsia" w:asciiTheme="minorEastAsia" w:hAnsiTheme="minorEastAsia" w:eastAsiaTheme="minorEastAsia" w:cstheme="minorEastAsia"/>
          <w:sz w:val="24"/>
          <w:szCs w:val="24"/>
        </w:rPr>
        <w:t xml:space="preserve">苏采云系统</w:t>
      </w:r>
      <w:r>
        <w:rPr>
          <w:rFonts w:hint="eastAsia" w:asciiTheme="minorEastAsia" w:hAnsiTheme="minorEastAsia" w:eastAsiaTheme="minorEastAsia" w:cstheme="minorEastAsia"/>
          <w:sz w:val="24"/>
        </w:rPr>
        <w:t xml:space="preserve">查阅、答复相关信息，并安排专人与建装中心及评标委员会联系。</w:t>
      </w:r>
      <w:r/>
    </w:p>
    <w:p>
      <w:pPr>
        <w:pStyle w:val="1006"/>
        <w:ind w:firstLine="420"/>
        <w:spacing w:before="0" w:after="0" w:line="240" w:lineRule="auto"/>
        <w:rPr>
          <w:rFonts w:hint="eastAsia" w:asciiTheme="minorEastAsia" w:hAnsiTheme="minorEastAsia" w:eastAsiaTheme="minorEastAsia" w:cstheme="minorEastAsia"/>
          <w:b w:val="0"/>
          <w:bCs w:val="0"/>
        </w:rPr>
      </w:pPr>
      <w:r>
        <w:rPr>
          <w:rFonts w:hint="eastAsia" w:asciiTheme="minorEastAsia" w:hAnsiTheme="minorEastAsia" w:eastAsiaTheme="minorEastAsia" w:cstheme="minorEastAsia"/>
          <w:b w:val="0"/>
          <w:bCs w:val="0"/>
        </w:rPr>
        <w:t xml:space="preserve">26、</w:t>
      </w:r>
      <w:bookmarkEnd w:id="169"/>
      <w:r/>
      <w:bookmarkEnd w:id="170"/>
      <w:r/>
      <w:bookmarkEnd w:id="171"/>
      <w:r>
        <w:rPr>
          <w:rFonts w:hint="eastAsia" w:asciiTheme="minorEastAsia" w:hAnsiTheme="minorEastAsia" w:eastAsiaTheme="minorEastAsia" w:cstheme="minorEastAsia"/>
          <w:b w:val="0"/>
          <w:bCs w:val="0"/>
        </w:rPr>
        <w:t xml:space="preserve">无效投标条款和废标条款</w:t>
      </w:r>
      <w:r/>
    </w:p>
    <w:p>
      <w:pPr>
        <w:ind w:left="479"/>
        <w:spacing w:line="440" w:lineRule="exact"/>
        <w:rPr>
          <w:rFonts w:hint="eastAsia" w:asciiTheme="minorEastAsia" w:hAnsiTheme="minorEastAsia" w:eastAsiaTheme="minorEastAsia" w:cstheme="minorEastAsia"/>
          <w:bCs/>
          <w:sz w:val="24"/>
        </w:rPr>
      </w:pPr>
      <w:r/>
      <w:bookmarkStart w:id="172" w:name="_Toc513029235"/>
      <w:r/>
      <w:bookmarkStart w:id="173" w:name="_Toc20823307"/>
      <w:r/>
      <w:bookmarkStart w:id="174" w:name="_Toc16938551"/>
      <w:r>
        <w:rPr>
          <w:rFonts w:hint="eastAsia" w:asciiTheme="minorEastAsia" w:hAnsiTheme="minorEastAsia" w:eastAsiaTheme="minorEastAsia" w:cstheme="minorEastAsia"/>
          <w:bCs/>
          <w:sz w:val="24"/>
        </w:rPr>
        <w:t xml:space="preserve">26.1无效投标条款</w:t>
      </w:r>
      <w:r/>
    </w:p>
    <w:p>
      <w:pPr>
        <w:ind w:firstLine="480"/>
        <w:spacing w:line="44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rPr>
        <w:t xml:space="preserve">26</w:t>
      </w:r>
      <w:r>
        <w:rPr>
          <w:rFonts w:hint="eastAsia" w:asciiTheme="minorEastAsia" w:hAnsiTheme="minorEastAsia" w:eastAsiaTheme="minorEastAsia" w:cstheme="minorEastAsia"/>
          <w:bCs/>
          <w:sz w:val="24"/>
          <w:szCs w:val="24"/>
        </w:rPr>
        <w:t xml:space="preserve">.1.1 投标人在</w:t>
      </w:r>
      <w:r>
        <w:rPr>
          <w:rFonts w:hint="eastAsia" w:asciiTheme="minorEastAsia" w:hAnsiTheme="minorEastAsia" w:eastAsiaTheme="minorEastAsia" w:cstheme="minorEastAsia"/>
          <w:sz w:val="24"/>
          <w:szCs w:val="24"/>
        </w:rPr>
        <w:t xml:space="preserve">苏采云系统</w:t>
      </w:r>
      <w:r>
        <w:rPr>
          <w:rFonts w:hint="eastAsia" w:asciiTheme="minorEastAsia" w:hAnsiTheme="minorEastAsia" w:eastAsiaTheme="minorEastAsia" w:cstheme="minorEastAsia"/>
          <w:bCs/>
          <w:sz w:val="24"/>
          <w:szCs w:val="24"/>
        </w:rPr>
        <w:t xml:space="preserve">规定的时间内未成功解密电子投标文件的。</w:t>
      </w:r>
      <w:r/>
    </w:p>
    <w:p>
      <w:pPr>
        <w:ind w:firstLine="480"/>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26.1.2 投标人未按照招标文件要求上传电子投标文件的。</w:t>
      </w:r>
      <w:r/>
    </w:p>
    <w:p>
      <w:pPr>
        <w:ind w:left="479"/>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26.1.3同一投标人提交两个（含两个）以上不同的投标报价的。</w:t>
      </w:r>
      <w:r/>
    </w:p>
    <w:p>
      <w:pPr>
        <w:ind w:left="479"/>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26.1.4投标人不具备招标文件中规定资格要求的。</w:t>
      </w:r>
      <w:r/>
    </w:p>
    <w:p>
      <w:pPr>
        <w:ind w:firstLine="480"/>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26.1.5投标人的报价超过了采购预算或最高限价的。</w:t>
      </w:r>
      <w:r/>
    </w:p>
    <w:p>
      <w:pPr>
        <w:ind w:firstLine="480"/>
        <w:spacing w:line="440" w:lineRule="exact"/>
        <w:rPr>
          <w:rFonts w:hint="eastAsia" w:asciiTheme="minorEastAsia" w:hAnsiTheme="minorEastAsia" w:eastAsiaTheme="minorEastAsia" w:cstheme="minorEastAsia"/>
          <w:bCs/>
          <w:i/>
          <w:sz w:val="24"/>
          <w:u w:val="single"/>
        </w:rPr>
      </w:pPr>
      <w:r>
        <w:rPr>
          <w:rFonts w:hint="eastAsia" w:asciiTheme="minorEastAsia" w:hAnsiTheme="minorEastAsia" w:eastAsiaTheme="minorEastAsia" w:cstheme="minorEastAsia"/>
          <w:bCs/>
          <w:sz w:val="24"/>
        </w:rPr>
        <w:t xml:space="preserve">26.1.6未通过符合性审查的。</w:t>
      </w:r>
      <w:r/>
    </w:p>
    <w:p>
      <w:pPr>
        <w:ind w:firstLine="360"/>
        <w:spacing w:line="440" w:lineRule="exact"/>
        <w:rPr>
          <w:rFonts w:hint="eastAsia" w:asciiTheme="minorEastAsia" w:hAnsiTheme="minorEastAsia" w:eastAsiaTheme="minorEastAsia" w:cstheme="minorEastAsia"/>
          <w:bCs/>
          <w:i/>
          <w:sz w:val="24"/>
          <w:u w:val="single"/>
        </w:rPr>
      </w:pPr>
      <w:r>
        <w:rPr>
          <w:rFonts w:hint="eastAsia" w:asciiTheme="minorEastAsia" w:hAnsiTheme="minorEastAsia" w:eastAsiaTheme="minorEastAsia" w:cstheme="minorEastAsia"/>
          <w:bCs/>
          <w:sz w:val="24"/>
        </w:rPr>
        <w:t xml:space="preserve"> 26.1.7不符合招标文件中规定的实质性要求和条件的</w:t>
      </w:r>
      <w:r>
        <w:rPr>
          <w:rFonts w:hint="eastAsia" w:asciiTheme="minorEastAsia" w:hAnsiTheme="minorEastAsia" w:eastAsiaTheme="minorEastAsia" w:cstheme="minorEastAsia"/>
          <w:b/>
          <w:bCs/>
          <w:sz w:val="24"/>
        </w:rPr>
        <w:t xml:space="preserve">（</w:t>
      </w:r>
      <w:r>
        <w:rPr>
          <w:rFonts w:hint="eastAsia" w:asciiTheme="minorEastAsia" w:hAnsiTheme="minorEastAsia" w:eastAsiaTheme="minorEastAsia" w:cstheme="minorEastAsia"/>
          <w:b/>
          <w:bCs/>
          <w:i/>
          <w:sz w:val="24"/>
          <w:u w:val="single"/>
        </w:rPr>
        <w:t xml:space="preserve">本招标文件加“★”号的内容为实质性要求和条件）。</w:t>
      </w:r>
      <w:r/>
    </w:p>
    <w:p>
      <w:pPr>
        <w:ind w:firstLine="480"/>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26.1.9 投标文件含有采购人不能接受的附加条件的。</w:t>
      </w:r>
      <w:r/>
    </w:p>
    <w:p>
      <w:pPr>
        <w:ind w:firstLine="480"/>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26.1.10评标委员会按照本招标文件规定对投标人进行异常低价投标审查后，认为投标人不能证明其报价合理性的。</w:t>
      </w:r>
      <w:r/>
    </w:p>
    <w:p>
      <w:pPr>
        <w:ind w:firstLine="480"/>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26.1.12 投标文件未按照招标文件要求加盖CA电子公章的。</w:t>
      </w:r>
      <w:r/>
    </w:p>
    <w:p>
      <w:pPr>
        <w:ind w:firstLine="480"/>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26.1.13 投标人所投标产品不符合招标文件中所列国家强制性标准的。</w:t>
      </w:r>
      <w:r/>
    </w:p>
    <w:p>
      <w:pPr>
        <w:ind w:firstLine="480"/>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26.1.14其他法律、法规及本招标文件规定的属无效投标的情形。</w:t>
      </w:r>
      <w:r/>
    </w:p>
    <w:p>
      <w:pPr>
        <w:ind w:left="479"/>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26.2废标条款</w:t>
      </w:r>
      <w:r/>
    </w:p>
    <w:p>
      <w:pPr>
        <w:ind w:left="479"/>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26.2.1符合专业条件的供应商或者对招标文件作实质响应的供应商不足三家的。</w:t>
      </w:r>
      <w:r/>
    </w:p>
    <w:p>
      <w:pPr>
        <w:ind w:left="479"/>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26.2.2出现影响采购公正的违法、违规行为的。</w:t>
      </w:r>
      <w:r/>
    </w:p>
    <w:p>
      <w:pPr>
        <w:ind w:left="479"/>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26.2.3因重大变故，采购任务取消的。</w:t>
      </w:r>
      <w:r/>
    </w:p>
    <w:p>
      <w:pPr>
        <w:ind w:left="479"/>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26.2.4评标委员会认定招标文件存在歧义、重大缺陷导致评审工作无法进行。</w:t>
      </w:r>
      <w:r/>
    </w:p>
    <w:p>
      <w:pPr>
        <w:ind w:left="479"/>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26.2.5 因</w:t>
      </w:r>
      <w:r>
        <w:rPr>
          <w:rFonts w:hint="eastAsia" w:asciiTheme="minorEastAsia" w:hAnsiTheme="minorEastAsia" w:eastAsiaTheme="minorEastAsia" w:cstheme="minorEastAsia"/>
          <w:sz w:val="24"/>
          <w:szCs w:val="24"/>
        </w:rPr>
        <w:t xml:space="preserve">苏采云系统</w:t>
      </w:r>
      <w:r>
        <w:rPr>
          <w:rFonts w:hint="eastAsia" w:asciiTheme="minorEastAsia" w:hAnsiTheme="minorEastAsia" w:eastAsiaTheme="minorEastAsia" w:cstheme="minorEastAsia"/>
          <w:bCs/>
          <w:sz w:val="24"/>
        </w:rPr>
        <w:t xml:space="preserve">系统故障原因造成开标不成功的。</w:t>
      </w:r>
      <w:r/>
    </w:p>
    <w:p>
      <w:pPr>
        <w:ind w:left="479"/>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26.3 投标截止时间结束后参加投标的供应商不足三家的处理：</w:t>
      </w:r>
      <w:r/>
    </w:p>
    <w:p>
      <w:pPr>
        <w:ind w:firstLine="480"/>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26.3.1如出现投标截止时间结束后参加投标的供应商或者在评标期间对招标文件做出实质响应的供应商不足三家情况，按政府采购相关规定执行。</w:t>
      </w:r>
      <w:r/>
    </w:p>
    <w:p>
      <w:pPr>
        <w:pStyle w:val="1004"/>
        <w:ind w:firstLine="482"/>
        <w:spacing w:before="156" w:after="156" w:line="360" w:lineRule="auto"/>
        <w:rPr>
          <w:rFonts w:hint="eastAsia" w:asciiTheme="minorEastAsia" w:hAnsiTheme="minorEastAsia" w:eastAsiaTheme="minorEastAsia" w:cstheme="minorEastAsia"/>
        </w:rPr>
      </w:pPr>
      <w:r/>
      <w:bookmarkStart w:id="175" w:name="_Toc120614219"/>
      <w:r>
        <w:rPr>
          <w:rFonts w:hint="eastAsia" w:asciiTheme="minorEastAsia" w:hAnsiTheme="minorEastAsia" w:eastAsiaTheme="minorEastAsia" w:cstheme="minorEastAsia"/>
        </w:rPr>
        <w:t xml:space="preserve">六、</w:t>
      </w:r>
      <w:bookmarkEnd w:id="172"/>
      <w:r/>
      <w:bookmarkEnd w:id="173"/>
      <w:r/>
      <w:bookmarkEnd w:id="174"/>
      <w:r>
        <w:rPr>
          <w:rFonts w:hint="eastAsia" w:asciiTheme="minorEastAsia" w:hAnsiTheme="minorEastAsia" w:eastAsiaTheme="minorEastAsia" w:cstheme="minorEastAsia"/>
        </w:rPr>
        <w:t xml:space="preserve">定标</w:t>
      </w:r>
      <w:bookmarkEnd w:id="175"/>
      <w:r/>
      <w:r/>
    </w:p>
    <w:p>
      <w:pPr>
        <w:pStyle w:val="1006"/>
        <w:ind w:firstLine="600"/>
        <w:spacing w:before="0" w:after="0" w:line="240" w:lineRule="auto"/>
        <w:rPr>
          <w:rFonts w:hint="eastAsia" w:asciiTheme="minorEastAsia" w:hAnsiTheme="minorEastAsia" w:eastAsiaTheme="minorEastAsia" w:cstheme="minorEastAsia"/>
          <w:b w:val="0"/>
          <w:sz w:val="30"/>
          <w:szCs w:val="30"/>
        </w:rPr>
      </w:pPr>
      <w:r/>
      <w:bookmarkStart w:id="176" w:name="_Toc513029238"/>
      <w:r/>
      <w:bookmarkStart w:id="177" w:name="_Toc16938554"/>
      <w:r/>
      <w:bookmarkStart w:id="178" w:name="_Toc20823310"/>
      <w:r>
        <w:rPr>
          <w:rFonts w:hint="eastAsia" w:asciiTheme="minorEastAsia" w:hAnsiTheme="minorEastAsia" w:eastAsiaTheme="minorEastAsia" w:cstheme="minorEastAsia"/>
          <w:b w:val="0"/>
          <w:sz w:val="30"/>
          <w:szCs w:val="30"/>
        </w:rPr>
        <w:t xml:space="preserve">27、</w:t>
      </w:r>
      <w:bookmarkEnd w:id="176"/>
      <w:r>
        <w:rPr>
          <w:rFonts w:hint="eastAsia" w:asciiTheme="minorEastAsia" w:hAnsiTheme="minorEastAsia" w:eastAsiaTheme="minorEastAsia" w:cstheme="minorEastAsia"/>
          <w:b w:val="0"/>
          <w:sz w:val="30"/>
          <w:szCs w:val="30"/>
        </w:rPr>
        <w:t xml:space="preserve">确定</w:t>
      </w:r>
      <w:bookmarkEnd w:id="177"/>
      <w:r/>
      <w:bookmarkEnd w:id="178"/>
      <w:r>
        <w:rPr>
          <w:rFonts w:hint="eastAsia" w:asciiTheme="minorEastAsia" w:hAnsiTheme="minorEastAsia" w:eastAsiaTheme="minorEastAsia" w:cstheme="minorEastAsia"/>
          <w:b w:val="0"/>
          <w:sz w:val="30"/>
          <w:szCs w:val="30"/>
        </w:rPr>
        <w:t xml:space="preserve">中标单位</w:t>
      </w:r>
      <w:r/>
    </w:p>
    <w:p>
      <w:pPr>
        <w:ind w:firstLine="480"/>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27.1中标候选人的选取原则和数量见招标文件第五章规定。 </w:t>
      </w:r>
      <w:r/>
    </w:p>
    <w:p>
      <w:pPr>
        <w:ind w:firstLine="480"/>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27.2 采购人应根据评委会推荐的中标候选人按顺序确定中标人，中标候选人并列的，由采购人依法确定。</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27.3 </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sz w:val="24"/>
          <w:szCs w:val="24"/>
        </w:rPr>
        <w:t xml:space="preserve">将在“江苏政府采购网、常州市政府采购网”发布中标公告，公告期限为1个工作日。</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27.4  若有充分证据证明，中标人出现下列情况之一的，一经查实，将被取消中标资格：</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27.4.1提供虚假材料谋取中标的。</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27.4.2向采购人、</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sz w:val="24"/>
          <w:szCs w:val="24"/>
        </w:rPr>
        <w:t xml:space="preserve">行贿或者提供其他不正当利益的。</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27.4.3属于本文件规定的无效条件，但在评标过程中又未被评委会发现的。</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27.4.4与采购人或者其他供应商恶意串通的。</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27.4.5采取不正当手段诋毁、排挤其他供应商的。</w:t>
      </w:r>
      <w:r/>
    </w:p>
    <w:p>
      <w:pPr>
        <w:ind w:firstLine="480"/>
        <w:spacing w:line="480" w:lineRule="exact"/>
        <w:rPr>
          <w:rFonts w:hint="eastAsia" w:asciiTheme="minorEastAsia" w:hAnsiTheme="minorEastAsia" w:eastAsiaTheme="minorEastAsia" w:cstheme="minorEastAsia"/>
          <w:sz w:val="24"/>
          <w:szCs w:val="24"/>
        </w:rPr>
      </w:pPr>
      <w:r/>
      <w:bookmarkStart w:id="179" w:name="_Toc200451960"/>
      <w:r>
        <w:rPr>
          <w:rFonts w:hint="eastAsia" w:asciiTheme="minorEastAsia" w:hAnsiTheme="minorEastAsia" w:eastAsiaTheme="minorEastAsia" w:cstheme="minorEastAsia"/>
          <w:sz w:val="24"/>
          <w:szCs w:val="24"/>
        </w:rPr>
        <w:t xml:space="preserve">27.5 有下列情形之一的，视为投标人串通投标，投标无效：</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27.5.1不同投标人的投标文件由同一单位或者个人编制。</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27.5.2不同投标人委托同一单位或者个人办理投标事宜。</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27.5.3 不同投标人的投标文件载明的项目管理成员或者联系人员为同一人。</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27.5.4不同投标人的投标文件异常一致或者投标报价呈规律性差异。</w:t>
      </w:r>
      <w:r/>
    </w:p>
    <w:p>
      <w:pPr>
        <w:pStyle w:val="1006"/>
        <w:ind w:firstLine="600"/>
        <w:spacing w:before="0" w:after="0" w:line="240" w:lineRule="auto"/>
        <w:rPr>
          <w:rFonts w:hint="eastAsia" w:asciiTheme="minorEastAsia" w:hAnsiTheme="minorEastAsia" w:eastAsiaTheme="minorEastAsia" w:cstheme="minorEastAsia"/>
          <w:b w:val="0"/>
          <w:sz w:val="30"/>
          <w:szCs w:val="30"/>
        </w:rPr>
      </w:pPr>
      <w:r>
        <w:rPr>
          <w:rFonts w:hint="eastAsia" w:asciiTheme="minorEastAsia" w:hAnsiTheme="minorEastAsia" w:eastAsiaTheme="minorEastAsia" w:cstheme="minorEastAsia"/>
          <w:b w:val="0"/>
          <w:sz w:val="30"/>
          <w:szCs w:val="30"/>
        </w:rPr>
        <w:t xml:space="preserve">28、质疑处理</w:t>
      </w:r>
      <w:bookmarkEnd w:id="179"/>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28.1 提出质疑的供应商应当是参与所质疑项目采购活动的供应商。潜在供应商依法获取其可质疑的采购文件的，可以对采购文件提出质疑。</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28.2供应商认为采购文件、采购过程和采购结果使自己的权益受到损害的，可以在知道或应知其权益受到损害之日起七个工作日内，以书面形式根据下述28.4条款的规定向</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sz w:val="24"/>
          <w:szCs w:val="24"/>
        </w:rPr>
        <w:t xml:space="preserve">或采购人提出质疑。上述应知其权益受到损害之日，是指：</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28.2.1对可以质疑的采购文件提出质疑的，为收到采购文件之日或者采购文件公告期限届满之日；</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28.2.2对采购过程提出质疑的，为各采购程序环节结束之日；</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28.2.3对中标或者成交结果提出质疑的，为中标或者成交结果公告期限届满之日。</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供应商应当在法定质疑期内一次性提出针对同一采购程序环节的质疑。供应商如在法定期限内对同一采购程序环节提出多次质疑的，</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sz w:val="24"/>
          <w:szCs w:val="24"/>
        </w:rPr>
        <w:t xml:space="preserve">、采购人将只对供应商第一次质疑作出答复。</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8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sz w:val="24"/>
          <w:szCs w:val="24"/>
        </w:rPr>
        <w:t xml:space="preserve">28.4</w:t>
      </w:r>
      <w:r>
        <w:rPr>
          <w:rFonts w:hint="eastAsia" w:asciiTheme="minorEastAsia" w:hAnsiTheme="minorEastAsia" w:eastAsiaTheme="minorEastAsia" w:cstheme="minorEastAsia"/>
          <w:b/>
          <w:bCs/>
          <w:sz w:val="24"/>
          <w:szCs w:val="24"/>
        </w:rPr>
        <w:t xml:space="preserve">供应商（含潜在供应商）对采购方式、采购需求、供应商资格条件及审查结果、评标方法和评标标准、合同文本的询问、质疑请向采购人提出，由采购人负责答复。</w:t>
      </w:r>
      <w:r>
        <w:rPr>
          <w:rFonts w:hint="eastAsia" w:asciiTheme="minorEastAsia" w:hAnsiTheme="minorEastAsia" w:eastAsiaTheme="minorEastAsia" w:cstheme="minorEastAsia"/>
          <w:sz w:val="24"/>
          <w:szCs w:val="24"/>
        </w:rPr>
        <w:t xml:space="preserve">供应商对除上述事项以外其他事项的询问、质疑请向</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sz w:val="24"/>
          <w:szCs w:val="24"/>
        </w:rPr>
        <w:t xml:space="preserve">提出，由</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sz w:val="24"/>
          <w:szCs w:val="24"/>
        </w:rPr>
        <w:t xml:space="preserve">负责答复。</w:t>
      </w:r>
      <w:r/>
    </w:p>
    <w:p>
      <w:pPr>
        <w:ind w:firstLine="480"/>
        <w:spacing w:line="48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采购人及</w:t>
      </w:r>
      <w:r>
        <w:rPr>
          <w:rFonts w:hint="eastAsia" w:asciiTheme="minorEastAsia" w:hAnsiTheme="minorEastAsia" w:eastAsiaTheme="minorEastAsia" w:cstheme="minorEastAsia"/>
          <w:b/>
          <w:bCs/>
          <w:sz w:val="24"/>
        </w:rPr>
        <w:t xml:space="preserve">建装中心</w:t>
      </w:r>
      <w:r>
        <w:rPr>
          <w:rFonts w:hint="eastAsia" w:asciiTheme="minorEastAsia" w:hAnsiTheme="minorEastAsia" w:eastAsiaTheme="minorEastAsia" w:cstheme="minorEastAsia"/>
          <w:b/>
          <w:bCs/>
          <w:sz w:val="24"/>
          <w:szCs w:val="24"/>
        </w:rPr>
        <w:t xml:space="preserve">只接收以纸质原件形式送达的质疑,建议外地供应商尽量通过邮寄方式提交质疑（采购人和</w:t>
      </w:r>
      <w:r>
        <w:rPr>
          <w:rFonts w:hint="eastAsia" w:asciiTheme="minorEastAsia" w:hAnsiTheme="minorEastAsia" w:eastAsiaTheme="minorEastAsia" w:cstheme="minorEastAsia"/>
          <w:b/>
          <w:bCs/>
          <w:sz w:val="24"/>
        </w:rPr>
        <w:t xml:space="preserve">建装中心</w:t>
      </w:r>
      <w:r>
        <w:rPr>
          <w:rFonts w:hint="eastAsia" w:asciiTheme="minorEastAsia" w:hAnsiTheme="minorEastAsia" w:eastAsiaTheme="minorEastAsia" w:cstheme="minorEastAsia"/>
          <w:b/>
          <w:bCs/>
          <w:sz w:val="24"/>
          <w:szCs w:val="24"/>
        </w:rPr>
        <w:t xml:space="preserve">不接受未填写快递运单的快件）。</w:t>
      </w:r>
      <w:r/>
    </w:p>
    <w:p>
      <w:pPr>
        <w:ind w:firstLine="482"/>
        <w:spacing w:line="48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采购人质疑接收部门及联系方式见第一章投标邀请。建装中心质疑接收部门为项目管理科（快递运单上的收件人填写“项目管理科”即可），联系地址：常州市新市路9号，联系电话：0519-86802236。</w:t>
      </w:r>
      <w:r/>
    </w:p>
    <w:p>
      <w:pPr>
        <w:ind w:firstLine="480"/>
        <w:spacing w:line="48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28.5 以下情形的质疑不予受理</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28.5.1 内容不符合《政府采购质疑和投诉办法》第十二条规定的质疑。</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28.5.2 超出政府采购法定期限的质疑。</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28.5.3 以传真、电子邮件等方式递交的非原件形式的质疑。</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28.5.4 未参加投标活动的供应商或在投标活动中自身权益未受到损害的供应商所提出的质疑。</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28.5.5供应商组成联合体参加投标，联合体中任何一方或多方未按要求签字、盖章、加盖公章的质疑。</w:t>
      </w:r>
      <w:r/>
    </w:p>
    <w:p>
      <w:pPr>
        <w:ind w:firstLine="468"/>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28.6  供应商提出书面质疑必须有理、有据，不得捏造事实、提供虚假材料进行恶意质疑。否则，一经查实，</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sz w:val="24"/>
          <w:szCs w:val="24"/>
        </w:rPr>
        <w:t xml:space="preserve">有权依据政府采购的有关规定，报请政府采购监管部门对该供应商进行相应的行政处罚和记录该供应商的失信信息。</w:t>
      </w:r>
      <w:r/>
    </w:p>
    <w:p>
      <w:pPr>
        <w:pStyle w:val="1006"/>
        <w:ind w:firstLine="600"/>
        <w:spacing w:before="0" w:after="0" w:line="240" w:lineRule="auto"/>
        <w:rPr>
          <w:rFonts w:hint="eastAsia" w:asciiTheme="minorEastAsia" w:hAnsiTheme="minorEastAsia" w:eastAsiaTheme="minorEastAsia" w:cstheme="minorEastAsia"/>
          <w:b w:val="0"/>
          <w:sz w:val="30"/>
          <w:szCs w:val="30"/>
        </w:rPr>
      </w:pPr>
      <w:r>
        <w:rPr>
          <w:rFonts w:hint="eastAsia" w:asciiTheme="minorEastAsia" w:hAnsiTheme="minorEastAsia" w:eastAsiaTheme="minorEastAsia" w:cstheme="minorEastAsia"/>
          <w:b w:val="0"/>
          <w:sz w:val="30"/>
          <w:szCs w:val="30"/>
        </w:rPr>
        <w:t xml:space="preserve">29、中标通知书</w:t>
      </w:r>
      <w:r/>
    </w:p>
    <w:p>
      <w:pPr>
        <w:ind w:firstLine="60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29.l</w:t>
      </w:r>
      <w:r>
        <w:rPr>
          <w:rFonts w:hint="eastAsia" w:asciiTheme="minorEastAsia" w:hAnsiTheme="minorEastAsia" w:eastAsiaTheme="minorEastAsia" w:cstheme="minorEastAsia"/>
          <w:b/>
          <w:sz w:val="24"/>
          <w:szCs w:val="24"/>
        </w:rPr>
        <w:t xml:space="preserve"> </w:t>
      </w:r>
      <w:r>
        <w:rPr>
          <w:rFonts w:hint="eastAsia" w:asciiTheme="minorEastAsia" w:hAnsiTheme="minorEastAsia" w:eastAsiaTheme="minorEastAsia" w:cstheme="minorEastAsia"/>
          <w:sz w:val="24"/>
          <w:szCs w:val="24"/>
        </w:rPr>
        <w:t xml:space="preserve">中标结果确定后，</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sz w:val="24"/>
          <w:szCs w:val="24"/>
        </w:rPr>
        <w:t xml:space="preserve">将向中标人发出中标通知书。请中标人在</w:t>
      </w:r>
      <w:r>
        <w:rPr>
          <w:rFonts w:hint="eastAsia" w:asciiTheme="minorEastAsia" w:hAnsiTheme="minorEastAsia" w:eastAsiaTheme="minorEastAsia" w:cstheme="minorEastAsia"/>
          <w:sz w:val="24"/>
        </w:rPr>
        <w:t xml:space="preserve">中标结果公告届满之日起30日内</w:t>
      </w:r>
      <w:r>
        <w:rPr>
          <w:rFonts w:hint="eastAsia" w:asciiTheme="minorEastAsia" w:hAnsiTheme="minorEastAsia" w:eastAsiaTheme="minorEastAsia" w:cstheme="minorEastAsia"/>
          <w:sz w:val="24"/>
          <w:szCs w:val="24"/>
        </w:rPr>
        <w:t xml:space="preserve">,使用CA数字证书登录苏采云系统及时下载中标通知书。因系统存储空间有限，自中标结果公告届满之日起30日后，苏采云系统不再保证提供下载中标通知书服务,因未及时下载而造成的不利后果由中标人自行承担。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29.2中标通知书将是合同的一个组成部分。对采购人和中标人均具有法律效力。中标通知书发出后，采购人改变中标结果的，或者中标人放弃中标项目的，应当依法承担法律责任。</w:t>
      </w:r>
      <w:r/>
    </w:p>
    <w:p>
      <w:pPr>
        <w:pStyle w:val="1004"/>
        <w:spacing w:before="156" w:after="156" w:line="360" w:lineRule="auto"/>
        <w:rPr>
          <w:rFonts w:hint="eastAsia" w:asciiTheme="minorEastAsia" w:hAnsiTheme="minorEastAsia" w:eastAsiaTheme="minorEastAsia" w:cstheme="minorEastAsia"/>
        </w:rPr>
      </w:pPr>
      <w:r/>
      <w:bookmarkStart w:id="180" w:name="_Toc120614220"/>
      <w:r/>
      <w:bookmarkStart w:id="181" w:name="_Toc20823308"/>
      <w:r/>
      <w:bookmarkStart w:id="182" w:name="_Toc513029236"/>
      <w:r/>
      <w:bookmarkStart w:id="183" w:name="_Toc16938552"/>
      <w:r>
        <w:rPr>
          <w:rFonts w:hint="eastAsia" w:asciiTheme="minorEastAsia" w:hAnsiTheme="minorEastAsia" w:eastAsiaTheme="minorEastAsia" w:cstheme="minorEastAsia"/>
        </w:rPr>
        <w:t xml:space="preserve">七、授予合同</w:t>
      </w:r>
      <w:bookmarkEnd w:id="180"/>
      <w:r/>
      <w:bookmarkEnd w:id="181"/>
      <w:r/>
      <w:bookmarkEnd w:id="182"/>
      <w:r/>
      <w:bookmarkEnd w:id="183"/>
      <w:r/>
      <w:r/>
    </w:p>
    <w:p>
      <w:pPr>
        <w:pStyle w:val="1006"/>
        <w:ind w:firstLine="600"/>
        <w:spacing w:before="0" w:after="0" w:line="240" w:lineRule="auto"/>
        <w:rPr>
          <w:rFonts w:hint="eastAsia" w:asciiTheme="minorEastAsia" w:hAnsiTheme="minorEastAsia" w:eastAsiaTheme="minorEastAsia" w:cstheme="minorEastAsia"/>
          <w:b w:val="0"/>
          <w:sz w:val="30"/>
          <w:szCs w:val="30"/>
        </w:rPr>
      </w:pPr>
      <w:r/>
      <w:bookmarkStart w:id="184" w:name="_Toc513029237"/>
      <w:r/>
      <w:bookmarkStart w:id="185" w:name="_Toc20823309"/>
      <w:r/>
      <w:bookmarkStart w:id="186" w:name="_Toc16938553"/>
      <w:r>
        <w:rPr>
          <w:rFonts w:hint="eastAsia" w:asciiTheme="minorEastAsia" w:hAnsiTheme="minorEastAsia" w:eastAsiaTheme="minorEastAsia" w:cstheme="minorEastAsia"/>
          <w:b w:val="0"/>
          <w:sz w:val="30"/>
          <w:szCs w:val="30"/>
        </w:rPr>
        <w:t xml:space="preserve">30. 签订合同</w:t>
      </w:r>
      <w:r/>
    </w:p>
    <w:p>
      <w:pPr>
        <w:ind w:firstLine="60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30</w:t>
      </w:r>
      <w:r>
        <w:rPr>
          <w:rFonts w:hint="eastAsia" w:asciiTheme="minorEastAsia" w:hAnsiTheme="minorEastAsia" w:eastAsiaTheme="minorEastAsia" w:cstheme="minorEastAsia"/>
          <w:sz w:val="24"/>
          <w:szCs w:val="24"/>
        </w:rPr>
        <w:t xml:space="preserve">.l</w:t>
      </w:r>
      <w:r>
        <w:rPr>
          <w:rFonts w:hint="eastAsia" w:asciiTheme="minorEastAsia" w:hAnsiTheme="minorEastAsia" w:eastAsiaTheme="minorEastAsia" w:cstheme="minorEastAsia"/>
          <w:sz w:val="24"/>
        </w:rPr>
        <w:t xml:space="preserve">中标人应当在中标通知书发出之日起三十日内</w:t>
      </w:r>
      <w:r>
        <w:rPr>
          <w:rFonts w:hint="eastAsia" w:asciiTheme="minorEastAsia" w:hAnsiTheme="minorEastAsia" w:eastAsiaTheme="minorEastAsia" w:cstheme="minorEastAsia"/>
          <w:sz w:val="24"/>
          <w:szCs w:val="24"/>
        </w:rPr>
        <w:t xml:space="preserve">，按照招标文件确定的事项与采购人签订政府采购合同。</w:t>
      </w:r>
      <w:r/>
    </w:p>
    <w:p>
      <w:pPr>
        <w:ind w:firstLine="60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30.2</w:t>
      </w:r>
      <w:r>
        <w:rPr>
          <w:rFonts w:hint="eastAsia" w:asciiTheme="minorEastAsia" w:hAnsiTheme="minorEastAsia" w:eastAsiaTheme="minorEastAsia" w:cstheme="minorEastAsia"/>
          <w:b/>
          <w:sz w:val="24"/>
          <w:szCs w:val="24"/>
        </w:rPr>
        <w:t xml:space="preserve"> </w:t>
      </w:r>
      <w:r>
        <w:rPr>
          <w:rFonts w:hint="eastAsia" w:asciiTheme="minorEastAsia" w:hAnsiTheme="minorEastAsia" w:eastAsiaTheme="minorEastAsia" w:cstheme="minorEastAsia"/>
          <w:sz w:val="24"/>
          <w:szCs w:val="24"/>
        </w:rPr>
        <w:t xml:space="preserve">招标文件、中标人的投标文件及招标过程中有关澄清、承诺文件均应作为合同附件。</w:t>
      </w:r>
      <w:r/>
    </w:p>
    <w:p>
      <w:pPr>
        <w:ind w:firstLine="60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30.3 签订合同后，</w:t>
      </w:r>
      <w:r>
        <w:rPr>
          <w:rFonts w:hint="eastAsia" w:asciiTheme="minorEastAsia" w:hAnsiTheme="minorEastAsia" w:eastAsiaTheme="minorEastAsia" w:cstheme="minorEastAsia"/>
          <w:i/>
          <w:sz w:val="24"/>
          <w:szCs w:val="24"/>
          <w:u w:val="single"/>
        </w:rPr>
        <w:t xml:space="preserve">中标人不得将合同标的进行转包</w:t>
      </w:r>
      <w:r>
        <w:rPr>
          <w:rFonts w:hint="eastAsia" w:asciiTheme="minorEastAsia" w:hAnsiTheme="minorEastAsia" w:eastAsiaTheme="minorEastAsia" w:cstheme="minorEastAsia"/>
          <w:sz w:val="24"/>
          <w:szCs w:val="24"/>
        </w:rPr>
        <w:t xml:space="preserve">。未经采购人同意，中标人也不得采用分包的形式履行合同，否则采购人有权终止合同。转包或分包造成采购人损失的，中标人应承担相应赔偿责任。</w:t>
      </w:r>
      <w:r/>
    </w:p>
    <w:p>
      <w:pPr>
        <w:ind w:firstLine="480"/>
        <w:keepLines/>
        <w:keepNext/>
        <w:rPr>
          <w:rFonts w:hint="eastAsia" w:asciiTheme="minorEastAsia" w:hAnsiTheme="minorEastAsia" w:eastAsiaTheme="minorEastAsia" w:cstheme="minorEastAsia"/>
          <w:bCs/>
          <w:sz w:val="24"/>
          <w:szCs w:val="24"/>
        </w:rPr>
        <w:outlineLvl w:val="3"/>
      </w:pPr>
      <w:r>
        <w:rPr>
          <w:rFonts w:hint="eastAsia" w:asciiTheme="minorEastAsia" w:hAnsiTheme="minorEastAsia" w:eastAsiaTheme="minorEastAsia" w:cstheme="minorEastAsia"/>
          <w:sz w:val="24"/>
          <w:szCs w:val="24"/>
        </w:rPr>
        <w:t xml:space="preserve">31</w:t>
      </w:r>
      <w:r>
        <w:rPr>
          <w:rFonts w:hint="eastAsia" w:asciiTheme="minorEastAsia" w:hAnsiTheme="minorEastAsia" w:eastAsiaTheme="minorEastAsia" w:cstheme="minorEastAsia"/>
          <w:bCs/>
          <w:sz w:val="24"/>
          <w:szCs w:val="24"/>
        </w:rPr>
        <w:t xml:space="preserve">、货物（包含与货物相关的服务）的追加</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31.1政府采购合同履行中，采购人需追加与合同标的相同的货物（包含与货物相关的服务）的，在不改变合同其他条款的前提下，可以与中标人协商签订补充合同，但所有补充合同的采购金额不超过原合同金额10%。</w:t>
      </w:r>
      <w:bookmarkEnd w:id="184"/>
      <w:r/>
      <w:bookmarkEnd w:id="185"/>
      <w:r/>
      <w:bookmarkEnd w:id="186"/>
      <w:r/>
      <w:r/>
    </w:p>
    <w:p>
      <w:pPr>
        <w:pStyle w:val="1006"/>
        <w:ind w:firstLine="600"/>
        <w:spacing w:before="0" w:after="0" w:line="240" w:lineRule="auto"/>
        <w:rPr>
          <w:rFonts w:hint="eastAsia" w:asciiTheme="minorEastAsia" w:hAnsiTheme="minorEastAsia" w:eastAsiaTheme="minorEastAsia" w:cstheme="minorEastAsia"/>
          <w:b w:val="0"/>
          <w:sz w:val="24"/>
          <w:szCs w:val="24"/>
        </w:rPr>
      </w:pPr>
      <w:r>
        <w:rPr>
          <w:rFonts w:hint="eastAsia" w:asciiTheme="minorEastAsia" w:hAnsiTheme="minorEastAsia" w:eastAsiaTheme="minorEastAsia" w:cstheme="minorEastAsia"/>
          <w:b w:val="0"/>
          <w:sz w:val="24"/>
          <w:szCs w:val="24"/>
        </w:rPr>
        <w:t xml:space="preserve">32、需要执行的政府采购政策（包括但不限于）</w:t>
      </w:r>
      <w:r/>
    </w:p>
    <w:p>
      <w:pPr>
        <w:ind w:firstLine="482"/>
        <w:spacing w:line="48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32.1履约资金扶持政策</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中标人可凭政府采购合同办理融资贷款，详情请见江苏政府采购网“政采贷”专栏。</w:t>
      </w:r>
      <w:r/>
    </w:p>
    <w:p>
      <w:pPr>
        <w:ind w:firstLine="482"/>
        <w:spacing w:line="480" w:lineRule="exact"/>
        <w:tabs>
          <w:tab w:val="left" w:pos="1381" w:leader="none"/>
        </w:tabs>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32.2进口产品</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8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32.3中小企业、监狱企业及残疾人福利性单位</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32.3.1中小企业定义：</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中小企业是</w:t>
      </w:r>
      <w:r>
        <w:rPr>
          <w:rFonts w:hint="eastAsia" w:asciiTheme="minorEastAsia" w:hAnsiTheme="minorEastAsia" w:eastAsiaTheme="minorEastAsia" w:cstheme="minorEastAsia"/>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32.3.2供应商提供的货物、工程或者服务符合下列情形的，享受中小企业扶持政策：</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32.3.2.1</w:t>
      </w:r>
      <w:r>
        <w:rPr>
          <w:rFonts w:hint="eastAsia" w:asciiTheme="minorEastAsia" w:hAnsiTheme="minorEastAsia" w:eastAsiaTheme="minorEastAsia" w:cstheme="minorEastAsia"/>
          <w:sz w:val="24"/>
        </w:rPr>
        <w:t xml:space="preserve">在货物采购项目中，货物由中小企业制造，即货物由中小企业生产且使用该中小企业商号或者注册商标</w:t>
      </w:r>
      <w:r>
        <w:rPr>
          <w:rFonts w:hint="eastAsia" w:asciiTheme="minorEastAsia" w:hAnsiTheme="minorEastAsia" w:eastAsiaTheme="minorEastAsia" w:cstheme="minorEastAsia"/>
          <w:sz w:val="24"/>
          <w:szCs w:val="24"/>
        </w:rPr>
        <w:t xml:space="preserve">；</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32.3.2.2在工程采购项目中，工程由中小企业承建，即工程施工单位为中小企业；</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32.3.2.3在服务采购项目中，服务由中小企业承接，即提供服务的人员为中小企业依照《中华人民共和国劳动合同法》订立劳动合同的从业人员。</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32.3.3在货物采购项目中，供应商提供的货物既有中小企业制造货物，也有大型企业制造货物的，不享受中小企业扶持政策。</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32.3.4以联合体形式参加政府采购活动，联合体各方均为中小企业的，联合体视同中小企业。其中，联合体各方均为小微企业的，联合体视同小微企业。</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32.3.6残疾人福利单位定义：享受政府采购支持政策的残疾人福利性单位应当同时满足以下条件：</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32.3.6.1安置的残疾人占本单位在职职工人数的比例不低于25%（含25%），并且安置的残疾人人数不少于10 人（含10 人）；</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32.3.6.2依法与安置的每位残疾人签订了一年以上（含一年）的劳动合同或服务协议；</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32.3.6.3为安置的每位残疾人按月足额缴纳了基本养老保险、基本医疗保险、失业保险、工伤保险和生育保险等社会保险费；</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32.3.6.4通过银行等金融机构向安置的每位残疾人，按月支付了不低于单位所在区县适用的经省级人民政府批准的月最低工资标准的工资；</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32.3.6.5提供本单位制造的货物、承担的工程或者服务（以下简称产品），或者提供其他残疾人福利性单位制造的货物（不包括使用非残疾人福利性单位注册商标的货物）；</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32.3.7本项目是否专门面向中小企业预留采购份额见第一章《投标邀请》。</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32.3.8采购标的对应的中小企业划分标准所属行业见第四章《采购需求》。</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32.3.9小微企业价格评审优惠的政策调整：见第五章《评标方法和评标标准》。</w:t>
      </w:r>
      <w:r/>
    </w:p>
    <w:p>
      <w:pPr>
        <w:ind w:firstLine="482"/>
        <w:spacing w:line="48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32.4政府采购节能产品、环境标志产品</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32.4.1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32.4.2采购人拟采购的产品属于品目清单范围的，采购人及其委托的采购代理机构</w:t>
      </w:r>
      <w:r>
        <w:rPr>
          <w:rFonts w:hint="eastAsia" w:asciiTheme="minorEastAsia" w:hAnsiTheme="minorEastAsia" w:eastAsiaTheme="minorEastAsia" w:cstheme="minorEastAsia"/>
          <w:sz w:val="24"/>
        </w:rPr>
        <w:t xml:space="preserve">依据国家确定的认证机构出具的、处于有效期之内的节能产品、环境标志产品认证证书，对获得证书的产品实施政府优先采购或强制采购</w:t>
      </w:r>
      <w:r>
        <w:rPr>
          <w:rFonts w:hint="eastAsia" w:asciiTheme="minorEastAsia" w:hAnsiTheme="minorEastAsia" w:eastAsiaTheme="minorEastAsia" w:cstheme="minorEastAsia"/>
          <w:sz w:val="24"/>
          <w:szCs w:val="24"/>
        </w:rPr>
        <w:t xml:space="preserve">。关于政府采购节能产品、环境标志产品的相关规定依据《关于调整优化节能产品、环境标志产品政府采购执行机制的通知》（财库〔2019〕9号）。 </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32.4.3</w:t>
      </w:r>
      <w:r>
        <w:rPr>
          <w:rFonts w:hint="eastAsia" w:asciiTheme="minorEastAsia" w:hAnsiTheme="minorEastAsia" w:eastAsiaTheme="minorEastAsia" w:cstheme="minorEastAsia"/>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32.4.4非政府强制采购的节能产品或环境标志产品，依据品目清单和认证证书实施政府优先采购。优先采购的具体规定见第五章《评标方法和评标标准》（如涉及）。</w:t>
      </w:r>
      <w:r/>
    </w:p>
    <w:p>
      <w:pPr>
        <w:ind w:firstLine="482"/>
        <w:spacing w:line="48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32.5绿色包装</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spacing w:line="48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32.6支持乡村产业振兴管理</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ind w:firstLine="482"/>
        <w:spacing w:line="48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32.7正版软件</w:t>
      </w:r>
      <w:r/>
    </w:p>
    <w:p>
      <w:pPr>
        <w:ind w:firstLine="480"/>
        <w:spacing w:line="48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sz w:val="24"/>
          <w:szCs w:val="24"/>
        </w:rPr>
        <w:t xml:space="preserve">32.7.1采购无线局域网产品和含有无线局域网功能的计算机、通信设备、打印机、复印机、投影仪等产品的，优先采购符合国家无线局域网安全标准（GB 15629.11/1102）并通过国家产品认证的产品。</w:t>
      </w:r>
      <w:r>
        <w:rPr>
          <w:rFonts w:hint="eastAsia" w:asciiTheme="minorEastAsia" w:hAnsiTheme="minorEastAsia" w:eastAsiaTheme="minorEastAsia" w:cstheme="minorEastAsia"/>
          <w:b/>
          <w:sz w:val="24"/>
          <w:szCs w:val="24"/>
        </w:rPr>
        <w:t xml:space="preserve">其中，国家有特殊信息安全要求的项目必须采购认证产品，否则投标无效。</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32.7.2各级政府部门在购置计算机办公设备时，必须采购预装正版操作系统软件的计算机产品，相关规定依据《国家版权局、信息产业部、财政部、国务院机关事务管理局关于政府部门购置计算机办公设备必须采购</w:t>
      </w:r>
      <w:r>
        <w:rPr>
          <w:rFonts w:hint="eastAsia" w:asciiTheme="minorEastAsia" w:hAnsiTheme="minorEastAsia" w:eastAsiaTheme="minorEastAsia" w:cstheme="minorEastAsia"/>
          <w:sz w:val="24"/>
        </w:rPr>
        <w:t xml:space="preserve">已预装正版操作系统软件</w:t>
      </w:r>
      <w:r>
        <w:rPr>
          <w:rFonts w:hint="eastAsia" w:asciiTheme="minorEastAsia" w:hAnsiTheme="minorEastAsia" w:eastAsiaTheme="minorEastAsia" w:cstheme="minorEastAsia"/>
          <w:sz w:val="24"/>
          <w:szCs w:val="24"/>
        </w:rPr>
        <w:t xml:space="preserve">产品的通知》（国权联〔2006〕1 号）、《国务院办公厅关于进一步做好政府机关使用正版软件工作的通知》（国办发〔2010〕47 号）、《财政部关于进一步做好政府机关使用正版软件工作的通知》（财预〔2010〕536 号）。</w:t>
      </w:r>
      <w:r/>
    </w:p>
    <w:p>
      <w:pPr>
        <w:ind w:firstLine="482"/>
        <w:spacing w:line="48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32.8政府采购创新产品政策</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采购人要将创新要求嵌入采购项目需求，可在采购文件中设定评审规则，优先采购各级政府部门公开发布的</w:t>
      </w:r>
      <w:r>
        <w:rPr>
          <w:rFonts w:hint="eastAsia" w:asciiTheme="minorEastAsia" w:hAnsiTheme="minorEastAsia" w:eastAsiaTheme="minorEastAsia" w:cstheme="minorEastAsia"/>
          <w:sz w:val="24"/>
        </w:rPr>
        <w:t xml:space="preserve">有效期内的创新产品、创新服务、首台套、首购首用等《目录》的创新产品</w:t>
      </w:r>
      <w:r>
        <w:rPr>
          <w:rFonts w:hint="eastAsia" w:asciiTheme="minorEastAsia" w:hAnsiTheme="minorEastAsia" w:eastAsiaTheme="minorEastAsia" w:cstheme="minorEastAsia"/>
          <w:sz w:val="24"/>
          <w:szCs w:val="24"/>
        </w:rPr>
        <w:t xml:space="preserve">，上述《目录》内创新产品，</w:t>
      </w:r>
      <w:r>
        <w:rPr>
          <w:rFonts w:hint="eastAsia" w:asciiTheme="minorEastAsia" w:hAnsiTheme="minorEastAsia" w:eastAsiaTheme="minorEastAsia" w:cstheme="minorEastAsia"/>
          <w:sz w:val="24"/>
        </w:rPr>
        <w:t xml:space="preserve">自认定之日起2年内视同已具备相应销售业绩，参加政府采购活动时业绩分值为满分。</w:t>
      </w:r>
      <w:r>
        <w:rPr>
          <w:rFonts w:hint="eastAsia" w:asciiTheme="minorEastAsia" w:hAnsiTheme="minorEastAsia" w:eastAsiaTheme="minorEastAsia" w:cstheme="minorEastAsia"/>
          <w:sz w:val="24"/>
          <w:szCs w:val="24"/>
        </w:rPr>
        <w:t xml:space="preserve">（如涉及）</w:t>
      </w:r>
      <w:r/>
    </w:p>
    <w:p>
      <w:pPr>
        <w:ind w:firstLine="482"/>
        <w:spacing w:line="48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32.9绿色数据中心政策 </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依据《绿色数据中心政府采购需求标准（试行）》（财办库〔2023〕7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w:t>
      </w:r>
      <w:r>
        <w:rPr>
          <w:rFonts w:hint="eastAsia" w:asciiTheme="minorEastAsia" w:hAnsiTheme="minorEastAsia" w:eastAsiaTheme="minorEastAsia" w:cstheme="minorEastAsia"/>
          <w:sz w:val="24"/>
        </w:rPr>
        <w:t xml:space="preserve">采购人应当在履约验收中对供应商提供的产品或服务进行抽查检测，必要时可委托取得相关资质的第三方机构对其进行检测、认证。</w:t>
      </w:r>
      <w:r>
        <w:rPr>
          <w:rFonts w:hint="eastAsia" w:asciiTheme="minorEastAsia" w:hAnsiTheme="minorEastAsia" w:eastAsiaTheme="minorEastAsia" w:cstheme="minorEastAsia"/>
          <w:sz w:val="24"/>
          <w:szCs w:val="24"/>
        </w:rPr>
        <w:t xml:space="preserve">因检测、认证涉及生产过程或检测时间长等原因，不能在验收过程中开展检测、认证的，可要求供应商在验收阶段提供相关检测报告、认证报告。</w:t>
      </w:r>
      <w:r/>
    </w:p>
    <w:p>
      <w:pPr>
        <w:ind w:firstLine="482"/>
        <w:spacing w:line="479"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b/>
          <w:bCs/>
          <w:sz w:val="24"/>
          <w:szCs w:val="24"/>
        </w:rPr>
        <w:t xml:space="preserve">32.10履约保证金相关政策</w:t>
      </w:r>
      <w:r/>
    </w:p>
    <w:p>
      <w:pPr>
        <w:ind w:firstLine="480"/>
        <w:spacing w:line="479"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本项目不收履约保证金。</w:t>
      </w:r>
      <w:r/>
    </w:p>
    <w:p>
      <w:pPr>
        <w:pStyle w:val="1001"/>
        <w:rPr>
          <w:rFonts w:hint="eastAsia" w:asciiTheme="minorEastAsia" w:hAnsiTheme="minorEastAsia" w:eastAsiaTheme="minorEastAsia" w:cstheme="minorEastAsia"/>
        </w:rPr>
      </w:pPr>
      <w:r>
        <w:rPr>
          <w:rFonts w:hint="eastAsia" w:asciiTheme="minorEastAsia" w:hAnsiTheme="minorEastAsia" w:eastAsiaTheme="minorEastAsia" w:cstheme="minorEastAsia"/>
        </w:rPr>
      </w:r>
      <w:bookmarkEnd w:id="47"/>
      <w:r/>
      <w:bookmarkEnd w:id="48"/>
      <w:r/>
      <w:bookmarkEnd w:id="49"/>
      <w:r/>
      <w:bookmarkEnd w:id="50"/>
      <w:r/>
      <w:bookmarkEnd w:id="51"/>
      <w:r/>
      <w:r/>
    </w:p>
    <w:p>
      <w:pPr>
        <w:jc w:val="center"/>
        <w:keepNext/>
        <w:rPr>
          <w:rFonts w:hint="eastAsia" w:asciiTheme="minorEastAsia" w:hAnsiTheme="minorEastAsia" w:eastAsiaTheme="minorEastAsia" w:cstheme="minorEastAsia"/>
          <w:bCs/>
          <w:sz w:val="44"/>
          <w:szCs w:val="28"/>
        </w:rPr>
        <w:outlineLvl w:val="0"/>
      </w:pPr>
      <w:r/>
      <w:bookmarkStart w:id="187" w:name="_Toc513029243"/>
      <w:r/>
      <w:bookmarkStart w:id="188" w:name="_Toc20823315"/>
      <w:r/>
      <w:bookmarkStart w:id="189" w:name="_Toc16938559"/>
      <w:r>
        <w:rPr>
          <w:rFonts w:hint="eastAsia" w:asciiTheme="minorEastAsia" w:hAnsiTheme="minorEastAsia" w:eastAsiaTheme="minorEastAsia" w:cstheme="minorEastAsia"/>
          <w:bCs/>
          <w:sz w:val="44"/>
          <w:szCs w:val="28"/>
        </w:rPr>
        <w:t xml:space="preserve">第三章  合同文本</w:t>
      </w:r>
      <w:r/>
    </w:p>
    <w:p>
      <w:pPr>
        <w:ind w:firstLine="480"/>
        <w:spacing w:line="50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以下为中标后签定本项目合同的通用条款，中标人不得提出实质性的修改。</w:t>
      </w:r>
      <w:r/>
    </w:p>
    <w:p>
      <w:pPr>
        <w:jc w:val="center"/>
        <w:spacing w:before="120" w:after="120"/>
        <w:rPr>
          <w:rFonts w:hint="eastAsia" w:asciiTheme="minorEastAsia" w:hAnsiTheme="minorEastAsia" w:eastAsiaTheme="minorEastAsia" w:cstheme="minorEastAsia"/>
          <w:b/>
          <w:bCs/>
          <w:sz w:val="30"/>
          <w:szCs w:val="20"/>
        </w:rPr>
        <w:outlineLvl w:val="0"/>
      </w:pPr>
      <w:r>
        <w:rPr>
          <w:rFonts w:hint="eastAsia" w:asciiTheme="minorEastAsia" w:hAnsiTheme="minorEastAsia" w:eastAsiaTheme="minorEastAsia" w:cstheme="minorEastAsia"/>
          <w:b/>
          <w:sz w:val="30"/>
        </w:rPr>
        <w:t xml:space="preserve">江苏省政府采购合同（货物）（合同编号）</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项目名称：                                       项目编号：</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甲方：（买方）_________</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乙方：（卖方）_________</w:t>
      </w:r>
      <w:r/>
    </w:p>
    <w:p>
      <w:pPr>
        <w:spacing w:before="120" w:after="12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   </w:t>
      </w:r>
      <w:r>
        <w:rPr>
          <w:rFonts w:hint="eastAsia" w:asciiTheme="minorEastAsia" w:hAnsiTheme="minorEastAsia" w:eastAsiaTheme="minorEastAsia" w:cstheme="minorEastAsia"/>
          <w:sz w:val="24"/>
          <w:szCs w:val="24"/>
        </w:rPr>
        <w:t xml:space="preserve">甲、乙双方根据江苏省政府采购中心</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项目公开招标的结果，签署本合同。</w:t>
      </w:r>
      <w:r/>
    </w:p>
    <w:p>
      <w:pPr>
        <w:spacing w:before="120" w:after="12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一、合同内容</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 标的名称：</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 标的质量：</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1.3 标的数量（规模）：</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1.4 履行时间（期限）：</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1.5 履行地点：</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1.6 履行方式：</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1.7 包装方式：</w:t>
      </w:r>
      <w:r/>
    </w:p>
    <w:p>
      <w:pPr>
        <w:spacing w:before="120" w:after="12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二、合同金额</w:t>
      </w:r>
      <w:r/>
    </w:p>
    <w:p>
      <w:pPr>
        <w:ind w:left="410" w:hanging="410"/>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 本合同金额为（大写）：_______圆（___元）人民币或其他币种。</w:t>
      </w:r>
      <w:r/>
    </w:p>
    <w:p>
      <w:pPr>
        <w:spacing w:before="120" w:after="12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三、技术资料</w:t>
      </w:r>
      <w:r/>
    </w:p>
    <w:p>
      <w:pPr>
        <w:ind w:left="410" w:hanging="410"/>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3.1乙方应按招标文件规定的时间向甲方提供使用货物(包含与货物相关的服务)的有关技术资料。</w:t>
      </w:r>
      <w:r/>
    </w:p>
    <w:p>
      <w:pPr>
        <w:ind w:left="410" w:hanging="410"/>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hanging="412"/>
        <w:spacing w:before="120" w:after="12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四、知识产权</w:t>
      </w:r>
      <w:r/>
    </w:p>
    <w:p>
      <w:pPr>
        <w:spacing w:line="0" w:lineRule="atLeas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szCs w:val="24"/>
        </w:rPr>
        <w:t xml:space="preserve">4.1乙</w:t>
      </w:r>
      <w:r>
        <w:rPr>
          <w:rFonts w:hint="eastAsia" w:asciiTheme="minorEastAsia" w:hAnsiTheme="minorEastAsia" w:eastAsiaTheme="minorEastAsia" w:cstheme="minorEastAsia"/>
          <w:sz w:val="24"/>
        </w:rPr>
        <w:t xml:space="preserve">方应保证甲方在使用、接受本合同货物</w:t>
      </w:r>
      <w:r>
        <w:rPr>
          <w:rFonts w:hint="eastAsia" w:asciiTheme="minorEastAsia" w:hAnsiTheme="minorEastAsia" w:eastAsiaTheme="minorEastAsia" w:cstheme="minorEastAsia"/>
          <w:sz w:val="24"/>
          <w:szCs w:val="24"/>
        </w:rPr>
        <w:t xml:space="preserve">（包含与货物相关的服务）</w:t>
      </w:r>
      <w:r>
        <w:rPr>
          <w:rFonts w:hint="eastAsia" w:asciiTheme="minorEastAsia" w:hAnsiTheme="minorEastAsia" w:eastAsiaTheme="minorEastAsia" w:cstheme="minorEastAsia"/>
          <w:sz w:val="24"/>
        </w:rPr>
        <w:t xml:space="preserve">或其任何一部分时不受第三方提出侵犯其专利权、版权、商标权和工业设计权等知识产权的起诉。一旦出现侵权，由乙方负全部责任。</w:t>
      </w:r>
      <w:r/>
    </w:p>
    <w:p>
      <w:pPr>
        <w:spacing w:before="120" w:after="120"/>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b/>
          <w:sz w:val="24"/>
          <w:szCs w:val="24"/>
        </w:rPr>
        <w:t xml:space="preserve">五、产权担保</w:t>
      </w:r>
      <w:r/>
    </w:p>
    <w:p>
      <w:pPr>
        <w:ind w:left="408" w:hanging="408"/>
        <w:spacing w:before="120" w:after="120"/>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5.1 乙方保证所交付的货物（包含与货物相关的服务）的所有权完全属于乙方且无任何抵押、查封等产权瑕疵。</w:t>
      </w:r>
      <w:r/>
    </w:p>
    <w:p>
      <w:pPr>
        <w:ind w:left="410" w:hanging="410"/>
        <w:spacing w:before="120" w:after="12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六、履约保证金</w:t>
      </w:r>
      <w:r/>
    </w:p>
    <w:p>
      <w:pPr>
        <w:ind w:left="408"/>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本项目不收履约保证金。</w:t>
      </w:r>
      <w:r/>
    </w:p>
    <w:p>
      <w:pPr>
        <w:spacing w:before="120" w:after="12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七、合同转包或分包</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7.1乙方不得将合同标的转包给他人履行。</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7.2乙方不得将合同标的分包给他人履行。</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7.3乙方如有转包或未经甲方同意的分包行为，甲方有权给予终止合同。</w:t>
      </w:r>
      <w:r/>
    </w:p>
    <w:p>
      <w:pPr>
        <w:spacing w:before="120" w:after="12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八、合同款项支付</w:t>
      </w:r>
      <w:r/>
    </w:p>
    <w:p>
      <w:pPr>
        <w:spacing w:before="120" w:after="120"/>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8.1合同款项的支付方式及进度安排：本合同货物在规定的时间内供货，验收合格，自验收合格之日起十个工作日内一次性付清。</w:t>
      </w:r>
      <w:r/>
    </w:p>
    <w:p>
      <w:pPr>
        <w:spacing w:before="120" w:after="12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九、税费</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9.1本合同执行中相关的一切税费均由乙方负担。</w:t>
      </w:r>
      <w:r/>
    </w:p>
    <w:p>
      <w:pPr>
        <w:ind w:left="412" w:hanging="412"/>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 xml:space="preserve">十、质量保修范围和保修期及售后服务</w:t>
      </w:r>
      <w:r/>
    </w:p>
    <w:p>
      <w:pPr>
        <w:ind w:left="410" w:hanging="410"/>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10.1 乙方应按招标文件规定的货物性能、技术要求、质量标准向甲方提供未经使用的全新产品。</w:t>
      </w:r>
      <w:r/>
    </w:p>
    <w:p>
      <w:pPr>
        <w:ind w:left="480" w:hanging="480"/>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10.2 乙方提供的货物在质量期内因货物本身的质量问题发生故障，乙方应负责免费更换。对达不到技术要求者，根据实际情况，经双方协商，可按以下办法处理：</w:t>
      </w:r>
      <w:r/>
    </w:p>
    <w:p>
      <w:pPr>
        <w:ind w:firstLine="420"/>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⑴更换：由乙方承担所发生的全部费用。</w:t>
      </w:r>
      <w:r/>
    </w:p>
    <w:p>
      <w:pPr>
        <w:ind w:firstLine="420"/>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⑵贬值处理：由甲乙双方合议定价。</w:t>
      </w:r>
      <w:r/>
    </w:p>
    <w:p>
      <w:pPr>
        <w:ind w:left="420"/>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⑶退货处理：乙方应退还甲方支付的合同款，同时应承担该货物的直接费用（运输、保险、检验、货款利息及银行手续费等）。</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10.3 如在使用过程中发生质量问题，乙方在接到甲方通知后在_________小时内到达甲方现场。</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10.4 在质保期内，乙方应对货物出现的质量及安全问题负责处理解决并承担一切费用。</w:t>
      </w:r>
      <w:r/>
    </w:p>
    <w:p>
      <w:pPr>
        <w:ind w:left="480" w:hanging="480"/>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10.5上述的货物免费保修期为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年（自</w:t>
      </w:r>
      <w:r>
        <w:rPr>
          <w:rFonts w:hint="eastAsia" w:asciiTheme="minorEastAsia" w:hAnsiTheme="minorEastAsia" w:eastAsiaTheme="minorEastAsia" w:cstheme="minorEastAsia"/>
          <w:sz w:val="24"/>
          <w:szCs w:val="24"/>
          <w:lang w:val="en-US" w:eastAsia="zh-CN"/>
        </w:rPr>
        <w:t xml:space="preserve">项目</w:t>
      </w:r>
      <w:r>
        <w:rPr>
          <w:rFonts w:hint="eastAsia" w:asciiTheme="minorEastAsia" w:hAnsiTheme="minorEastAsia" w:eastAsiaTheme="minorEastAsia" w:cstheme="minorEastAsia"/>
          <w:sz w:val="24"/>
          <w:szCs w:val="24"/>
        </w:rPr>
        <w:t xml:space="preserve">验收合格之日起计），因人为因素出现的故障不在免费保修范围内。超过保修期的机器设备，终生维修，维修时只收部件成本费。</w:t>
      </w:r>
      <w:r/>
    </w:p>
    <w:p>
      <w:pPr>
        <w:spacing w:before="120" w:after="12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十一、项目验收</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11.1 甲方依法组织履约验收工作。</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11.3 对于实际使用人和甲方分离的项目，甲方邀请实际使用人参与验收。</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11.4 如有必要，甲方邀请参加本项目的其他供应商或第三方专业机构及专家参与验收，相关意见将作为验收书的参考资料。</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spacing w:before="120" w:after="12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十二、货物的包装、发运及运输</w:t>
      </w:r>
      <w:r/>
    </w:p>
    <w:p>
      <w:pPr>
        <w:ind w:left="480" w:hanging="480"/>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left="480" w:hanging="480"/>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12.2 使用说明书、质量检验证明书、随配附件和工具以及清单一并附于货物内。</w:t>
      </w:r>
      <w:r/>
    </w:p>
    <w:p>
      <w:pPr>
        <w:ind w:left="480" w:hanging="480"/>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12.3 乙方在货物发运手续办理完毕后24小时内或货到甲方48小时前通知甲方，以准备接货。</w:t>
      </w:r>
      <w:r/>
    </w:p>
    <w:p>
      <w:pPr>
        <w:ind w:left="480" w:hanging="480"/>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12.4 货物在交付甲方前发生的风险均由乙方负责。</w:t>
      </w:r>
      <w:r/>
    </w:p>
    <w:p>
      <w:pPr>
        <w:ind w:left="480" w:right="26" w:hanging="480"/>
        <w:spacing w:before="156" w:after="156"/>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12.5 货物在规定的交付期限内由乙方送达甲方指定的地点视为交付，乙方同时需通知甲方货物已送达。</w:t>
      </w:r>
      <w:r/>
    </w:p>
    <w:p>
      <w:pPr>
        <w:spacing w:before="120" w:after="12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十三、违约责任</w:t>
      </w:r>
      <w:r/>
    </w:p>
    <w:p>
      <w:pPr>
        <w:ind w:left="410" w:hanging="410"/>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13.1 甲方无正当理由拒收货物的，甲方向乙方偿付拒收货款总值</w:t>
      </w:r>
      <w:r>
        <w:rPr>
          <w:rFonts w:hint="eastAsia" w:asciiTheme="minorEastAsia" w:hAnsiTheme="minorEastAsia" w:eastAsiaTheme="minorEastAsia" w:cstheme="minorEastAsia"/>
          <w:sz w:val="24"/>
          <w:szCs w:val="24"/>
          <w:u w:val="single"/>
        </w:rPr>
        <w:t xml:space="preserve">  </w:t>
      </w:r>
      <w:r>
        <w:rPr>
          <w:rFonts w:hint="eastAsia" w:ascii="宋体" w:hAnsi="宋体" w:cs="Courier New"/>
          <w:color w:val="auto"/>
          <w:sz w:val="24"/>
          <w:szCs w:val="24"/>
          <w:u w:val="single"/>
          <w:lang w:val="en-US" w:eastAsia="zh-CN"/>
        </w:rPr>
        <w:t xml:space="preserve">5%</w:t>
      </w:r>
      <w:r>
        <w:rPr>
          <w:rFonts w:hint="eastAsia" w:ascii="宋体" w:hAnsi="宋体" w:cs="Courier New"/>
          <w:color w:val="auto"/>
          <w:sz w:val="24"/>
          <w:szCs w:val="24"/>
          <w:u w:val="single"/>
        </w:rPr>
        <w:t xml:space="preserve">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的违约金。</w:t>
      </w:r>
      <w:r/>
    </w:p>
    <w:p>
      <w:pPr>
        <w:ind w:left="410" w:hanging="410"/>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13.2 甲方无故逾期验收和办理货款支付手续的,甲方应按逾期付款总额每日</w:t>
      </w:r>
      <w:r>
        <w:rPr>
          <w:rFonts w:hint="eastAsia" w:asciiTheme="minorEastAsia" w:hAnsiTheme="minorEastAsia" w:eastAsiaTheme="minorEastAsia" w:cstheme="minorEastAsia"/>
          <w:sz w:val="24"/>
          <w:szCs w:val="24"/>
          <w:u w:val="single"/>
        </w:rPr>
        <w:t xml:space="preserve">    </w:t>
      </w:r>
      <w:r>
        <w:rPr>
          <w:rFonts w:hint="eastAsia" w:ascii="宋体" w:hAnsi="宋体" w:cs="Courier New"/>
          <w:color w:val="auto"/>
          <w:sz w:val="24"/>
          <w:szCs w:val="24"/>
          <w:u w:val="single"/>
          <w:lang w:val="en-US" w:eastAsia="zh-CN"/>
        </w:rPr>
        <w:t xml:space="preserve">‌6‰‌</w:t>
      </w:r>
      <w:r>
        <w:rPr>
          <w:rFonts w:hint="eastAsia" w:ascii="宋体" w:hAnsi="宋体" w:cs="Courier New"/>
          <w:color w:val="auto"/>
          <w:sz w:val="24"/>
          <w:szCs w:val="24"/>
          <w:u w:val="single"/>
        </w:rPr>
        <w:t xml:space="preserve">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向乙方支付违约金。</w:t>
      </w:r>
      <w:r/>
    </w:p>
    <w:p>
      <w:pPr>
        <w:ind w:left="410" w:hanging="410"/>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13.3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Theme="minorEastAsia" w:hAnsiTheme="minorEastAsia" w:eastAsiaTheme="minorEastAsia" w:cstheme="minorEastAsia"/>
          <w:sz w:val="24"/>
          <w:szCs w:val="24"/>
          <w:u w:val="single"/>
        </w:rPr>
        <w:t xml:space="preserve">  </w:t>
      </w:r>
      <w:r>
        <w:rPr>
          <w:rFonts w:hint="eastAsia" w:ascii="宋体" w:hAnsi="宋体" w:cs="Courier New"/>
          <w:color w:val="auto"/>
          <w:sz w:val="24"/>
          <w:szCs w:val="24"/>
          <w:u w:val="single"/>
          <w:lang w:val="en-US" w:eastAsia="zh-CN"/>
        </w:rPr>
        <w:t xml:space="preserve">5%</w:t>
      </w:r>
      <w:r>
        <w:rPr>
          <w:rFonts w:hint="eastAsia" w:ascii="宋体" w:hAnsi="宋体" w:cs="Courier New"/>
          <w:color w:val="auto"/>
          <w:sz w:val="24"/>
          <w:szCs w:val="24"/>
          <w:u w:val="single"/>
        </w:rPr>
        <w:t xml:space="preserve">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的违约金，如造成甲方损失超过违约金的，超出部分由乙方继续承担赔偿责任。 </w:t>
      </w:r>
      <w:r/>
    </w:p>
    <w:p>
      <w:pPr>
        <w:ind w:left="410" w:hanging="410"/>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13.4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spacing w:before="120" w:after="12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十四、不可抗力事件处理</w:t>
      </w:r>
      <w:r/>
    </w:p>
    <w:p>
      <w:pPr>
        <w:ind w:left="480" w:hanging="480"/>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14.1 在合同有效期内，任何一方因不可抗力事件导致不能履行合同，则合同履行期可延长，其延长期与不可抗力影响期相同。</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14.2 不可抗力事件发生后，应立即通知对方，并寄送有关权威机构出具的证明。</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14.3 不可抗力事件延续120天以上，双方应通过友好协商，确定是否继续履行合同。</w:t>
      </w:r>
      <w:r/>
    </w:p>
    <w:p>
      <w:pPr>
        <w:spacing w:before="120" w:after="12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十五、解决争议的方法</w:t>
      </w:r>
      <w:r/>
    </w:p>
    <w:p>
      <w:pPr>
        <w:ind w:left="480" w:hanging="480"/>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15.1甲乙双方因合同签订、履行而发生的一切争议，应通过友好协商解决。如协商不成由甲方住所地人民法院管辖。</w:t>
      </w:r>
      <w:r/>
    </w:p>
    <w:p>
      <w:pPr>
        <w:spacing w:before="120" w:after="12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十六、合同生效及其它</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16.1 合同经双方法定代表人或授权委托代表人签字并加盖单位公章后生效。</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16.2本合同未尽事宜，遵照《民法典》、《政府采购法》有关条文执行。</w:t>
      </w:r>
      <w:r/>
    </w:p>
    <w:p>
      <w:pPr>
        <w:ind w:left="480" w:hanging="480"/>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16.3 本合同正本一式两份，具有同等法律效力，甲方、乙方各执一份。</w:t>
      </w:r>
      <w:r/>
    </w:p>
    <w:p>
      <w:pPr>
        <w:ind w:left="480" w:hanging="480"/>
        <w:spacing w:before="120" w:after="120"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甲方：                        乙方： </w:t>
      </w:r>
      <w:r/>
    </w:p>
    <w:p>
      <w:pPr>
        <w:spacing w:before="120" w:after="120"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地址：                        地址： </w:t>
      </w:r>
      <w:r/>
    </w:p>
    <w:p>
      <w:pPr>
        <w:spacing w:before="120" w:after="120"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法定代表人或授权代表：        法定代表人或授权代表：</w:t>
      </w:r>
      <w:r/>
    </w:p>
    <w:p>
      <w:pPr>
        <w:ind w:firstLine="240"/>
        <w:spacing w:before="120" w:after="120" w:line="0"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szCs w:val="24"/>
        </w:rPr>
        <w:t xml:space="preserve">联系电话：                    联系电话：          </w:t>
      </w:r>
      <w:r/>
    </w:p>
    <w:p>
      <w:pPr>
        <w:jc w:val="center"/>
        <w:spacing w:before="120" w:after="120"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sz w:val="24"/>
          <w:szCs w:val="24"/>
        </w:rPr>
        <w:t xml:space="preserve">   </w:t>
      </w:r>
      <w:r/>
    </w:p>
    <w:p>
      <w:pPr>
        <w:jc w:val="center"/>
        <w:spacing w:before="120" w:after="120"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rPr>
          <w:rFonts w:hint="eastAsia" w:asciiTheme="minorEastAsia" w:hAnsiTheme="minorEastAsia" w:eastAsiaTheme="minorEastAsia" w:cstheme="minorEastAsia"/>
          <w:bCs/>
          <w:sz w:val="32"/>
          <w:szCs w:val="32"/>
        </w:rPr>
      </w:pPr>
      <w:r>
        <w:rPr>
          <w:rFonts w:hint="eastAsia" w:asciiTheme="minorEastAsia" w:hAnsiTheme="minorEastAsia" w:eastAsiaTheme="minorEastAsia" w:cstheme="minorEastAsia"/>
          <w:sz w:val="24"/>
          <w:szCs w:val="24"/>
        </w:rPr>
        <w:t xml:space="preserve">                    签订日期：      年    月   日</w:t>
      </w:r>
      <w:bookmarkStart w:id="190" w:name="_Hlt16619369"/>
      <w:r/>
      <w:bookmarkEnd w:id="190"/>
      <w:r>
        <w:rPr>
          <w:rFonts w:hint="eastAsia" w:asciiTheme="minorEastAsia" w:hAnsiTheme="minorEastAsia" w:eastAsiaTheme="minorEastAsia" w:cstheme="minorEastAsia"/>
          <w:bCs/>
          <w:sz w:val="44"/>
        </w:rPr>
        <w:br w:type="page" w:clear="all"/>
      </w:r>
      <w:bookmarkEnd w:id="187"/>
      <w:r/>
      <w:bookmarkEnd w:id="188"/>
      <w:r/>
      <w:bookmarkEnd w:id="189"/>
      <w:r/>
      <w:r/>
    </w:p>
    <w:p>
      <w:pPr>
        <w:pStyle w:val="998"/>
        <w:rPr>
          <w:rFonts w:hint="eastAsia" w:asciiTheme="minorEastAsia" w:hAnsiTheme="minorEastAsia" w:eastAsiaTheme="minorEastAsia" w:cstheme="minorEastAsia"/>
          <w:b/>
          <w:bCs/>
          <w:sz w:val="44"/>
        </w:rPr>
      </w:pPr>
      <w:r/>
      <w:bookmarkStart w:id="191" w:name="_Toc17950"/>
      <w:r/>
      <w:bookmarkStart w:id="192" w:name="_Toc49090575"/>
      <w:r/>
      <w:bookmarkStart w:id="193" w:name="_Toc120614281"/>
      <w:r/>
      <w:bookmarkStart w:id="194" w:name="_Toc26554093"/>
      <w:r/>
      <w:bookmarkStart w:id="195" w:name="_Toc462564139"/>
      <w:r/>
      <w:bookmarkStart w:id="196" w:name="_Toc479757211"/>
      <w:r>
        <w:rPr>
          <w:rFonts w:hint="eastAsia" w:asciiTheme="minorEastAsia" w:hAnsiTheme="minorEastAsia" w:eastAsiaTheme="minorEastAsia" w:cstheme="minorEastAsia"/>
          <w:b/>
          <w:bCs/>
          <w:sz w:val="44"/>
        </w:rPr>
        <w:t xml:space="preserve">第四章 采购需求</w:t>
      </w:r>
      <w:bookmarkEnd w:id="191"/>
      <w:r/>
      <w:r/>
    </w:p>
    <w:p>
      <w:pPr>
        <w:pStyle w:val="1088"/>
        <w:numPr>
          <w:ilvl w:val="0"/>
          <w:numId w:val="4"/>
        </w:numPr>
        <w:jc w:val="both"/>
        <w:spacing w:line="400" w:lineRule="exact"/>
        <w:widowControl w:val="off"/>
        <w:rPr>
          <w:rFonts w:hint="eastAsia" w:asciiTheme="minorEastAsia" w:hAnsiTheme="minorEastAsia" w:eastAsiaTheme="minorEastAsia" w:cstheme="minorEastAsia"/>
          <w:b/>
        </w:rPr>
      </w:pPr>
      <w:r>
        <w:rPr>
          <w:rFonts w:hint="eastAsia" w:asciiTheme="minorEastAsia" w:hAnsiTheme="minorEastAsia" w:eastAsiaTheme="minorEastAsia" w:cstheme="minorEastAsia"/>
          <w:b/>
        </w:rPr>
        <w:t xml:space="preserve">采购标的</w:t>
      </w:r>
      <w:r/>
    </w:p>
    <w:p>
      <w:pPr>
        <w:numPr>
          <w:ilvl w:val="0"/>
          <w:numId w:val="5"/>
        </w:numPr>
        <w:spacing w:line="360" w:lineRule="auto"/>
        <w:rPr>
          <w:rFonts w:hint="eastAsia" w:ascii="宋体" w:hAnsi="宋体"/>
          <w:sz w:val="24"/>
          <w:szCs w:val="24"/>
        </w:rPr>
      </w:pPr>
      <w:r>
        <w:rPr>
          <w:rFonts w:hint="eastAsia" w:ascii="宋体" w:hAnsi="宋体"/>
          <w:bCs/>
          <w:sz w:val="24"/>
          <w:szCs w:val="24"/>
        </w:rPr>
        <w:t xml:space="preserve">项目名称：</w:t>
      </w:r>
      <w:r>
        <w:rPr>
          <w:rFonts w:hint="eastAsia" w:ascii="宋体" w:hAnsi="宋体"/>
          <w:sz w:val="24"/>
          <w:szCs w:val="24"/>
        </w:rPr>
        <w:t xml:space="preserve">常州市教育局直属单位智慧安防建设设备及安装采购项目</w:t>
      </w:r>
      <w:r/>
    </w:p>
    <w:p>
      <w:pPr>
        <w:numPr>
          <w:ilvl w:val="0"/>
          <w:numId w:val="5"/>
        </w:numPr>
        <w:spacing w:line="360" w:lineRule="auto"/>
        <w:rPr>
          <w:rFonts w:hint="eastAsia" w:ascii="宋体" w:hAnsi="宋体"/>
          <w:sz w:val="24"/>
          <w:szCs w:val="24"/>
        </w:rPr>
      </w:pPr>
      <w:r>
        <w:rPr>
          <w:rFonts w:hint="eastAsia" w:ascii="宋体" w:hAnsi="宋体"/>
          <w:sz w:val="24"/>
          <w:szCs w:val="24"/>
        </w:rPr>
        <w:t xml:space="preserve">预算金额：</w:t>
      </w:r>
      <w:r>
        <w:rPr>
          <w:rFonts w:hint="eastAsia" w:ascii="宋体" w:hAnsi="宋体"/>
          <w:sz w:val="24"/>
          <w:szCs w:val="24"/>
          <w:lang w:val="en-US" w:eastAsia="zh-CN"/>
        </w:rPr>
        <w:t xml:space="preserve">745.76</w:t>
      </w:r>
      <w:r>
        <w:rPr>
          <w:rFonts w:hint="eastAsia" w:ascii="宋体" w:hAnsi="宋体"/>
          <w:sz w:val="24"/>
          <w:szCs w:val="24"/>
        </w:rPr>
        <w:t xml:space="preserve"> 万元</w:t>
      </w:r>
      <w:r/>
    </w:p>
    <w:tbl>
      <w:tblPr>
        <w:tblStyle w:val="806"/>
        <w:tblW w:w="4538" w:type="pct"/>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7"/>
        <w:gridCol w:w="3324"/>
        <w:gridCol w:w="1263"/>
        <w:gridCol w:w="1070"/>
        <w:gridCol w:w="1241"/>
      </w:tblGrid>
      <w:tr>
        <w:trPr>
          <w:trHeight w:val="600"/>
        </w:trPr>
        <w:tc>
          <w:tcPr>
            <w:tcW w:w="541" w:type="pct"/>
            <w:vAlign w:val="center"/>
            <w:textDirection w:val="lrTb"/>
            <w:noWrap w:val="false"/>
          </w:tcPr>
          <w:p>
            <w:pPr>
              <w:jc w:val="center"/>
              <w:keepLines w:val="0"/>
              <w:keepNext w:val="0"/>
              <w:pageBreakBefore w:val="0"/>
              <w:spacing w:line="240" w:lineRule="exact"/>
              <w:widowControl/>
              <w:rPr>
                <w:rFonts w:hint="eastAsia" w:ascii="宋体" w:hAnsi="宋体" w:cs="宋体"/>
                <w:lang w:bidi="ar"/>
              </w:rPr>
            </w:pPr>
            <w:r>
              <w:rPr>
                <w:rFonts w:hint="eastAsia" w:ascii="宋体" w:hAnsi="宋体" w:cs="宋体"/>
                <w:lang w:bidi="ar"/>
              </w:rPr>
              <w:t xml:space="preserve">包号</w:t>
            </w:r>
            <w:r/>
          </w:p>
        </w:tc>
        <w:tc>
          <w:tcPr>
            <w:tcW w:w="2148" w:type="pct"/>
            <w:vAlign w:val="center"/>
            <w:textDirection w:val="lrTb"/>
            <w:noWrap w:val="false"/>
          </w:tcPr>
          <w:p>
            <w:pPr>
              <w:jc w:val="center"/>
              <w:keepLines w:val="0"/>
              <w:keepNext w:val="0"/>
              <w:pageBreakBefore w:val="0"/>
              <w:spacing w:line="240" w:lineRule="exact"/>
              <w:widowControl/>
              <w:rPr>
                <w:rFonts w:hint="eastAsia" w:ascii="宋体" w:hAnsi="宋体" w:cs="宋体"/>
                <w:lang w:bidi="ar"/>
              </w:rPr>
            </w:pPr>
            <w:r>
              <w:rPr>
                <w:bCs/>
              </w:rPr>
              <w:t xml:space="preserve">标的名称</w:t>
            </w:r>
            <w:r/>
          </w:p>
        </w:tc>
        <w:tc>
          <w:tcPr>
            <w:shd w:val="clear" w:color="auto" w:fill="auto"/>
            <w:tcW w:w="816" w:type="pct"/>
            <w:vAlign w:val="center"/>
            <w:textDirection w:val="lrTb"/>
            <w:noWrap/>
          </w:tcPr>
          <w:p>
            <w:pPr>
              <w:jc w:val="center"/>
              <w:keepLines w:val="0"/>
              <w:keepNext w:val="0"/>
              <w:pageBreakBefore w:val="0"/>
              <w:spacing w:line="240" w:lineRule="exact"/>
              <w:rPr>
                <w:bCs/>
              </w:rPr>
            </w:pPr>
            <w:r>
              <w:rPr>
                <w:bCs/>
              </w:rPr>
              <w:t xml:space="preserve">采购包</w:t>
            </w:r>
            <w:r/>
          </w:p>
          <w:p>
            <w:pPr>
              <w:jc w:val="center"/>
              <w:keepLines w:val="0"/>
              <w:keepNext w:val="0"/>
              <w:pageBreakBefore w:val="0"/>
              <w:spacing w:line="240" w:lineRule="exact"/>
              <w:rPr>
                <w:bCs/>
              </w:rPr>
            </w:pPr>
            <w:r>
              <w:rPr>
                <w:bCs/>
              </w:rPr>
              <w:t xml:space="preserve">预算金额</w:t>
            </w:r>
            <w:r/>
          </w:p>
          <w:p>
            <w:pPr>
              <w:jc w:val="center"/>
              <w:keepLines w:val="0"/>
              <w:keepNext w:val="0"/>
              <w:pageBreakBefore w:val="0"/>
              <w:spacing w:line="240" w:lineRule="exact"/>
              <w:widowControl/>
              <w:rPr>
                <w:rFonts w:hint="eastAsia" w:ascii="宋体" w:hAnsi="宋体" w:eastAsia="宋体" w:cs="宋体"/>
                <w:sz w:val="21"/>
                <w:szCs w:val="21"/>
                <w:lang w:val="en-US" w:eastAsia="zh-CN" w:bidi="ar"/>
              </w:rPr>
            </w:pPr>
            <w:r>
              <w:rPr>
                <w:bCs/>
              </w:rPr>
              <w:t xml:space="preserve">（万元）</w:t>
            </w:r>
            <w:r/>
          </w:p>
        </w:tc>
        <w:tc>
          <w:tcPr>
            <w:shd w:val="clear" w:color="auto" w:fill="auto"/>
            <w:tcW w:w="691" w:type="pct"/>
            <w:vAlign w:val="center"/>
            <w:textDirection w:val="lrTb"/>
            <w:noWrap/>
          </w:tcPr>
          <w:p>
            <w:pPr>
              <w:jc w:val="center"/>
              <w:keepLines w:val="0"/>
              <w:keepNext w:val="0"/>
              <w:pageBreakBefore w:val="0"/>
              <w:spacing w:line="240" w:lineRule="exact"/>
              <w:widowControl/>
              <w:rPr>
                <w:bCs/>
              </w:rPr>
            </w:pPr>
            <w:r>
              <w:rPr>
                <w:bCs/>
              </w:rPr>
              <w:t xml:space="preserve">采购包</w:t>
            </w:r>
            <w:r/>
          </w:p>
          <w:p>
            <w:pPr>
              <w:jc w:val="center"/>
              <w:keepLines w:val="0"/>
              <w:keepNext w:val="0"/>
              <w:pageBreakBefore w:val="0"/>
              <w:spacing w:line="240" w:lineRule="exact"/>
              <w:widowControl/>
              <w:rPr>
                <w:rFonts w:hint="eastAsia" w:ascii="宋体" w:hAnsi="宋体" w:cs="宋体"/>
                <w:lang w:bidi="ar"/>
              </w:rPr>
            </w:pPr>
            <w:r>
              <w:rPr>
                <w:rFonts w:hint="eastAsia" w:ascii="宋体" w:hAnsi="宋体" w:cs="宋体"/>
                <w:lang w:bidi="ar"/>
              </w:rPr>
              <w:t xml:space="preserve">最高限额</w:t>
            </w:r>
            <w:r/>
          </w:p>
          <w:p>
            <w:pPr>
              <w:jc w:val="center"/>
              <w:keepLines w:val="0"/>
              <w:keepNext w:val="0"/>
              <w:pageBreakBefore w:val="0"/>
              <w:spacing w:line="240" w:lineRule="exact"/>
              <w:widowControl/>
              <w:rPr>
                <w:rFonts w:hint="eastAsia" w:ascii="宋体" w:hAnsi="宋体" w:eastAsia="宋体" w:cs="宋体"/>
                <w:sz w:val="21"/>
                <w:szCs w:val="21"/>
                <w:lang w:val="en-US" w:eastAsia="zh-CN" w:bidi="ar"/>
              </w:rPr>
            </w:pPr>
            <w:r>
              <w:rPr>
                <w:rFonts w:hint="eastAsia" w:ascii="宋体" w:hAnsi="宋体" w:cs="宋体"/>
                <w:lang w:bidi="ar"/>
              </w:rPr>
              <w:t xml:space="preserve">（万元）</w:t>
            </w:r>
            <w:r/>
          </w:p>
        </w:tc>
        <w:tc>
          <w:tcPr>
            <w:tcW w:w="802" w:type="pct"/>
            <w:vAlign w:val="center"/>
            <w:textDirection w:val="lrTb"/>
            <w:noWrap/>
          </w:tcPr>
          <w:p>
            <w:pPr>
              <w:jc w:val="center"/>
              <w:keepLines w:val="0"/>
              <w:keepNext w:val="0"/>
              <w:pageBreakBefore w:val="0"/>
              <w:spacing w:line="240" w:lineRule="exact"/>
              <w:widowControl/>
              <w:rPr>
                <w:rFonts w:hint="eastAsia" w:ascii="宋体" w:hAnsi="宋体" w:cs="宋体"/>
                <w:lang w:val="en-US" w:eastAsia="zh-CN" w:bidi="ar"/>
              </w:rPr>
            </w:pPr>
            <w:r>
              <w:rPr>
                <w:rFonts w:hint="eastAsia" w:ascii="宋体" w:hAnsi="宋体" w:cs="宋体"/>
                <w:lang w:val="en-US" w:eastAsia="zh-CN" w:bidi="ar"/>
              </w:rPr>
              <w:t xml:space="preserve">采购单位</w:t>
            </w:r>
            <w:r/>
          </w:p>
          <w:p>
            <w:pPr>
              <w:jc w:val="center"/>
              <w:keepLines w:val="0"/>
              <w:keepNext w:val="0"/>
              <w:pageBreakBefore w:val="0"/>
              <w:spacing w:line="240" w:lineRule="exact"/>
              <w:widowControl/>
              <w:rPr>
                <w:rFonts w:hint="eastAsia" w:ascii="宋体" w:hAnsi="宋体" w:cs="宋体"/>
                <w:lang w:bidi="ar"/>
              </w:rPr>
            </w:pPr>
            <w:r>
              <w:rPr>
                <w:rFonts w:hint="eastAsia" w:ascii="宋体" w:hAnsi="宋体" w:cs="宋体"/>
                <w:lang w:val="en-US" w:eastAsia="zh-CN" w:bidi="ar"/>
              </w:rPr>
              <w:t xml:space="preserve">预算金额</w:t>
            </w:r>
            <w:r>
              <w:rPr>
                <w:rFonts w:hint="eastAsia" w:ascii="宋体" w:hAnsi="宋体" w:cs="宋体"/>
                <w:lang w:bidi="ar"/>
              </w:rPr>
              <w:t xml:space="preserve">（万元）</w:t>
            </w:r>
            <w:r/>
          </w:p>
        </w:tc>
      </w:tr>
      <w:tr>
        <w:trPr>
          <w:trHeight w:val="600"/>
        </w:trPr>
        <w:tc>
          <w:tcPr>
            <w:tcW w:w="541" w:type="pct"/>
            <w:vAlign w:val="center"/>
            <w:vMerge w:val="restart"/>
            <w:textDirection w:val="lrTb"/>
            <w:noWrap w:val="false"/>
          </w:tcPr>
          <w:p>
            <w:pPr>
              <w:jc w:val="center"/>
              <w:keepLines w:val="0"/>
              <w:keepNext w:val="0"/>
              <w:pageBreakBefore w:val="0"/>
              <w:spacing w:line="240" w:lineRule="exact"/>
              <w:widowControl/>
              <w:rPr>
                <w:rFonts w:hint="eastAsia" w:ascii="宋体" w:hAnsi="宋体" w:cs="宋体"/>
                <w:sz w:val="21"/>
                <w:szCs w:val="21"/>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3324"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ff"/>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江苏省常州高级中学</w:t>
            </w:r>
            <w:r/>
          </w:p>
        </w:tc>
        <w:tc>
          <w:tcPr>
            <w:shd w:val="clear" w:color="auto" w:fill="auto"/>
            <w:tcW w:w="816" w:type="pct"/>
            <w:vAlign w:val="center"/>
            <w:vMerge w:val="restart"/>
            <w:textDirection w:val="lrTb"/>
            <w:noWrap/>
          </w:tcPr>
          <w:p>
            <w:pPr>
              <w:jc w:val="center"/>
              <w:keepLines w:val="0"/>
              <w:keepNext w:val="0"/>
              <w:pageBreakBefore w:val="0"/>
              <w:spacing w:line="240" w:lineRule="exact"/>
              <w:widowControl/>
              <w:rPr>
                <w:rFonts w:hint="default" w:ascii="宋体" w:hAnsi="宋体" w:eastAsia="宋体" w:cs="宋体"/>
                <w:i w:val="0"/>
                <w:iCs w:val="0"/>
                <w:color w:val="000000"/>
                <w:sz w:val="21"/>
                <w:szCs w:val="21"/>
                <w:u w:val="none"/>
                <w:lang w:val="en-US" w:eastAsia="zh-CN" w:bidi="ar"/>
              </w:rPr>
              <w:suppressLineNumbers w:val="0"/>
            </w:pPr>
            <w:r>
              <w:rPr>
                <w:rFonts w:hint="default" w:ascii="宋体" w:hAnsi="宋体" w:eastAsia="宋体" w:cs="宋体"/>
                <w:i w:val="0"/>
                <w:iCs w:val="0"/>
                <w:color w:val="000000"/>
                <w:sz w:val="21"/>
                <w:szCs w:val="21"/>
                <w:u w:val="none"/>
                <w:lang w:val="en-US" w:eastAsia="zh-CN" w:bidi="ar"/>
              </w:rPr>
              <w:t xml:space="preserve">745.76</w:t>
            </w:r>
            <w:r/>
          </w:p>
        </w:tc>
        <w:tc>
          <w:tcPr>
            <w:shd w:val="clear" w:color="auto" w:fill="auto"/>
            <w:tcW w:w="691" w:type="pct"/>
            <w:vAlign w:val="center"/>
            <w:vMerge w:val="restart"/>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sz w:val="21"/>
                <w:szCs w:val="21"/>
                <w:lang w:val="en-US" w:eastAsia="zh-CN" w:bidi="ar-SA"/>
              </w:rPr>
              <w:suppressLineNumbers w:val="0"/>
            </w:pPr>
            <w:r>
              <w:rPr>
                <w:rFonts w:hint="eastAsia" w:asciiTheme="minorEastAsia" w:hAnsiTheme="minorEastAsia" w:eastAsiaTheme="minorEastAsia" w:cstheme="minorEastAsia"/>
                <w:sz w:val="21"/>
                <w:szCs w:val="21"/>
                <w:lang w:val="en-US" w:eastAsia="zh-CN" w:bidi="ar-SA"/>
              </w:rPr>
              <w:t xml:space="preserve">745.76</w:t>
            </w:r>
            <w:r/>
          </w:p>
        </w:tc>
        <w:tc>
          <w:tcPr>
            <w:shd w:val="clear" w:color="auto" w:fill="auto"/>
            <w:tcW w:w="802" w:type="pct"/>
            <w:vAlign w:val="center"/>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29.28</w:t>
            </w:r>
            <w:r/>
          </w:p>
        </w:tc>
      </w:tr>
      <w:tr>
        <w:trPr>
          <w:trHeight w:val="600"/>
        </w:trPr>
        <w:tc>
          <w:tcPr>
            <w:tcW w:w="541" w:type="pct"/>
            <w:vAlign w:val="center"/>
            <w:vMerge w:val="continue"/>
            <w:textDirection w:val="lrTb"/>
            <w:noWrap w:val="false"/>
          </w:tcPr>
          <w:p>
            <w:pPr>
              <w:jc w:val="center"/>
              <w:keepLines w:val="0"/>
              <w:keepNext w:val="0"/>
              <w:pageBreakBefore w:val="0"/>
              <w:spacing w:line="240" w:lineRule="exact"/>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常州市第一中学</w:t>
            </w:r>
            <w:r/>
          </w:p>
        </w:tc>
        <w:tc>
          <w:tcPr>
            <w:shd w:val="clear" w:color="auto" w:fill="auto"/>
            <w:tcW w:w="816" w:type="pct"/>
            <w:vAlign w:val="center"/>
            <w:vMerge w:val="continue"/>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691" w:type="pct"/>
            <w:vAlign w:val="center"/>
            <w:vMerge w:val="continue"/>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802" w:type="pct"/>
            <w:vAlign w:val="center"/>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40.11</w:t>
            </w:r>
            <w:r/>
          </w:p>
        </w:tc>
      </w:tr>
      <w:tr>
        <w:trPr>
          <w:trHeight w:val="600"/>
        </w:trPr>
        <w:tc>
          <w:tcPr>
            <w:tcW w:w="541" w:type="pct"/>
            <w:vAlign w:val="center"/>
            <w:vMerge w:val="continue"/>
            <w:textDirection w:val="lrTb"/>
            <w:noWrap w:val="false"/>
          </w:tcPr>
          <w:p>
            <w:pPr>
              <w:jc w:val="center"/>
              <w:keepLines w:val="0"/>
              <w:keepNext w:val="0"/>
              <w:pageBreakBefore w:val="0"/>
              <w:spacing w:line="240" w:lineRule="exact"/>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常州市北郊高级中学</w:t>
            </w:r>
            <w:r/>
          </w:p>
        </w:tc>
        <w:tc>
          <w:tcPr>
            <w:shd w:val="clear" w:color="auto" w:fill="auto"/>
            <w:tcW w:w="816" w:type="pct"/>
            <w:vAlign w:val="center"/>
            <w:vMerge w:val="continue"/>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691" w:type="pct"/>
            <w:vAlign w:val="center"/>
            <w:vMerge w:val="continue"/>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802" w:type="pct"/>
            <w:vAlign w:val="center"/>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39.59</w:t>
            </w:r>
            <w:r/>
          </w:p>
        </w:tc>
      </w:tr>
      <w:tr>
        <w:trPr>
          <w:trHeight w:val="600"/>
        </w:trPr>
        <w:tc>
          <w:tcPr>
            <w:tcW w:w="541" w:type="pct"/>
            <w:vAlign w:val="center"/>
            <w:vMerge w:val="continue"/>
            <w:textDirection w:val="lrTb"/>
            <w:noWrap w:val="false"/>
          </w:tcPr>
          <w:p>
            <w:pPr>
              <w:jc w:val="center"/>
              <w:keepLines w:val="0"/>
              <w:keepNext w:val="0"/>
              <w:pageBreakBefore w:val="0"/>
              <w:spacing w:line="240" w:lineRule="exact"/>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常州市第二中学</w:t>
            </w:r>
            <w:r/>
          </w:p>
        </w:tc>
        <w:tc>
          <w:tcPr>
            <w:shd w:val="clear" w:color="auto" w:fill="auto"/>
            <w:tcW w:w="816" w:type="pct"/>
            <w:vAlign w:val="center"/>
            <w:vMerge w:val="continue"/>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691" w:type="pct"/>
            <w:vAlign w:val="center"/>
            <w:vMerge w:val="continue"/>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802" w:type="pct"/>
            <w:vAlign w:val="center"/>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21.43</w:t>
            </w:r>
            <w:r/>
          </w:p>
        </w:tc>
      </w:tr>
      <w:tr>
        <w:trPr>
          <w:trHeight w:val="600"/>
        </w:trPr>
        <w:tc>
          <w:tcPr>
            <w:tcW w:w="541" w:type="pct"/>
            <w:vAlign w:val="center"/>
            <w:vMerge w:val="continue"/>
            <w:textDirection w:val="lrTb"/>
            <w:noWrap w:val="false"/>
          </w:tcPr>
          <w:p>
            <w:pPr>
              <w:jc w:val="center"/>
              <w:keepLines w:val="0"/>
              <w:keepNext w:val="0"/>
              <w:pageBreakBefore w:val="0"/>
              <w:spacing w:line="240" w:lineRule="exact"/>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常州市第三中学</w:t>
            </w:r>
            <w:r/>
          </w:p>
        </w:tc>
        <w:tc>
          <w:tcPr>
            <w:shd w:val="clear" w:color="auto" w:fill="auto"/>
            <w:tcW w:w="816" w:type="pct"/>
            <w:vAlign w:val="center"/>
            <w:vMerge w:val="continue"/>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691" w:type="pct"/>
            <w:vAlign w:val="center"/>
            <w:vMerge w:val="continue"/>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802" w:type="pct"/>
            <w:vAlign w:val="center"/>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25.65</w:t>
            </w:r>
            <w:r/>
          </w:p>
        </w:tc>
      </w:tr>
      <w:tr>
        <w:trPr>
          <w:trHeight w:val="600"/>
        </w:trPr>
        <w:tc>
          <w:tcPr>
            <w:tcW w:w="541" w:type="pct"/>
            <w:vAlign w:val="center"/>
            <w:vMerge w:val="continue"/>
            <w:textDirection w:val="lrTb"/>
            <w:noWrap w:val="false"/>
          </w:tcPr>
          <w:p>
            <w:pPr>
              <w:jc w:val="center"/>
              <w:keepLines w:val="0"/>
              <w:keepNext w:val="0"/>
              <w:pageBreakBefore w:val="0"/>
              <w:spacing w:line="240" w:lineRule="exact"/>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常州市田家炳高级中学</w:t>
            </w:r>
            <w:r/>
          </w:p>
        </w:tc>
        <w:tc>
          <w:tcPr>
            <w:shd w:val="clear" w:color="auto" w:fill="auto"/>
            <w:tcW w:w="816" w:type="pct"/>
            <w:vAlign w:val="center"/>
            <w:vMerge w:val="continue"/>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691" w:type="pct"/>
            <w:vAlign w:val="center"/>
            <w:vMerge w:val="continue"/>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802" w:type="pct"/>
            <w:vAlign w:val="center"/>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31.11</w:t>
            </w:r>
            <w:r/>
          </w:p>
        </w:tc>
      </w:tr>
      <w:tr>
        <w:trPr>
          <w:trHeight w:val="600"/>
        </w:trPr>
        <w:tc>
          <w:tcPr>
            <w:tcW w:w="541" w:type="pct"/>
            <w:vAlign w:val="center"/>
            <w:vMerge w:val="continue"/>
            <w:textDirection w:val="lrTb"/>
            <w:noWrap w:val="false"/>
          </w:tcPr>
          <w:p>
            <w:pPr>
              <w:jc w:val="center"/>
              <w:keepLines w:val="0"/>
              <w:keepNext w:val="0"/>
              <w:pageBreakBefore w:val="0"/>
              <w:spacing w:line="240" w:lineRule="exact"/>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常州市第五中学</w:t>
            </w:r>
            <w:r/>
          </w:p>
        </w:tc>
        <w:tc>
          <w:tcPr>
            <w:shd w:val="clear" w:color="auto" w:fill="auto"/>
            <w:tcW w:w="816" w:type="pct"/>
            <w:vAlign w:val="center"/>
            <w:vMerge w:val="continue"/>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691" w:type="pct"/>
            <w:vAlign w:val="center"/>
            <w:vMerge w:val="continue"/>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802" w:type="pct"/>
            <w:vAlign w:val="center"/>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27.25</w:t>
            </w:r>
            <w:r/>
          </w:p>
        </w:tc>
      </w:tr>
      <w:tr>
        <w:trPr>
          <w:trHeight w:val="600"/>
        </w:trPr>
        <w:tc>
          <w:tcPr>
            <w:tcW w:w="541" w:type="pct"/>
            <w:vAlign w:val="center"/>
            <w:vMerge w:val="continue"/>
            <w:textDirection w:val="lrTb"/>
            <w:noWrap w:val="false"/>
          </w:tcPr>
          <w:p>
            <w:pPr>
              <w:jc w:val="center"/>
              <w:keepLines w:val="0"/>
              <w:keepNext w:val="0"/>
              <w:pageBreakBefore w:val="0"/>
              <w:spacing w:line="240" w:lineRule="exact"/>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常州市戚墅堰高级中学</w:t>
            </w:r>
            <w:r/>
          </w:p>
        </w:tc>
        <w:tc>
          <w:tcPr>
            <w:shd w:val="clear" w:color="auto" w:fill="auto"/>
            <w:tcW w:w="816" w:type="pct"/>
            <w:vAlign w:val="center"/>
            <w:vMerge w:val="continue"/>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691" w:type="pct"/>
            <w:vAlign w:val="center"/>
            <w:vMerge w:val="continue"/>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802" w:type="pct"/>
            <w:vAlign w:val="center"/>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33.39</w:t>
            </w:r>
            <w:r/>
          </w:p>
        </w:tc>
      </w:tr>
      <w:tr>
        <w:trPr>
          <w:trHeight w:val="600"/>
        </w:trPr>
        <w:tc>
          <w:tcPr>
            <w:tcW w:w="541" w:type="pct"/>
            <w:vAlign w:val="center"/>
            <w:vMerge w:val="continue"/>
            <w:textDirection w:val="lrTb"/>
            <w:noWrap w:val="false"/>
          </w:tcPr>
          <w:p>
            <w:pPr>
              <w:jc w:val="center"/>
              <w:keepLines w:val="0"/>
              <w:keepNext w:val="0"/>
              <w:pageBreakBefore w:val="0"/>
              <w:spacing w:line="240" w:lineRule="exact"/>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常州市正行中学</w:t>
            </w:r>
            <w:r/>
          </w:p>
        </w:tc>
        <w:tc>
          <w:tcPr>
            <w:shd w:val="clear" w:color="auto" w:fill="auto"/>
            <w:tcW w:w="816" w:type="pct"/>
            <w:vAlign w:val="center"/>
            <w:vMerge w:val="continue"/>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691" w:type="pct"/>
            <w:vAlign w:val="center"/>
            <w:vMerge w:val="continue"/>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802" w:type="pct"/>
            <w:vAlign w:val="center"/>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27.59 </w:t>
            </w:r>
            <w:r/>
          </w:p>
        </w:tc>
      </w:tr>
      <w:tr>
        <w:trPr>
          <w:trHeight w:val="600"/>
        </w:trPr>
        <w:tc>
          <w:tcPr>
            <w:tcW w:w="541" w:type="pct"/>
            <w:vAlign w:val="center"/>
            <w:vMerge w:val="continue"/>
            <w:textDirection w:val="lrTb"/>
            <w:noWrap w:val="false"/>
          </w:tcPr>
          <w:p>
            <w:pPr>
              <w:jc w:val="center"/>
              <w:keepLines w:val="0"/>
              <w:keepNext w:val="0"/>
              <w:pageBreakBefore w:val="0"/>
              <w:spacing w:line="240" w:lineRule="exact"/>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常州市教科院附属高级中学</w:t>
            </w:r>
            <w:r/>
          </w:p>
        </w:tc>
        <w:tc>
          <w:tcPr>
            <w:shd w:val="clear" w:color="auto" w:fill="auto"/>
            <w:tcW w:w="816" w:type="pct"/>
            <w:vAlign w:val="center"/>
            <w:vMerge w:val="continue"/>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691" w:type="pct"/>
            <w:vAlign w:val="center"/>
            <w:vMerge w:val="continue"/>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802" w:type="pct"/>
            <w:vAlign w:val="center"/>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21.68</w:t>
            </w:r>
            <w:r/>
          </w:p>
        </w:tc>
      </w:tr>
      <w:tr>
        <w:trPr>
          <w:trHeight w:val="600"/>
        </w:trPr>
        <w:tc>
          <w:tcPr>
            <w:tcW w:w="541" w:type="pct"/>
            <w:vAlign w:val="center"/>
            <w:vMerge w:val="continue"/>
            <w:textDirection w:val="lrTb"/>
            <w:noWrap w:val="false"/>
          </w:tcPr>
          <w:p>
            <w:pPr>
              <w:jc w:val="center"/>
              <w:keepLines w:val="0"/>
              <w:keepNext w:val="0"/>
              <w:pageBreakBefore w:val="0"/>
              <w:spacing w:line="240" w:lineRule="exact"/>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常州市龙城高级中学</w:t>
            </w:r>
            <w:r/>
          </w:p>
        </w:tc>
        <w:tc>
          <w:tcPr>
            <w:shd w:val="clear" w:color="auto" w:fill="auto"/>
            <w:tcW w:w="816" w:type="pct"/>
            <w:vAlign w:val="center"/>
            <w:vMerge w:val="continue"/>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691" w:type="pct"/>
            <w:vAlign w:val="center"/>
            <w:vMerge w:val="continue"/>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802" w:type="pct"/>
            <w:vAlign w:val="center"/>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28.37</w:t>
            </w:r>
            <w:r/>
          </w:p>
        </w:tc>
      </w:tr>
      <w:tr>
        <w:trPr>
          <w:trHeight w:val="600"/>
        </w:trPr>
        <w:tc>
          <w:tcPr>
            <w:tcW w:w="541" w:type="pct"/>
            <w:vAlign w:val="center"/>
            <w:vMerge w:val="continue"/>
            <w:textDirection w:val="lrTb"/>
            <w:noWrap w:val="false"/>
          </w:tcPr>
          <w:p>
            <w:pPr>
              <w:jc w:val="center"/>
              <w:keepLines w:val="0"/>
              <w:keepNext w:val="0"/>
              <w:pageBreakBefore w:val="0"/>
              <w:spacing w:line="240" w:lineRule="exact"/>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常州市三河口高级中学</w:t>
            </w:r>
            <w:r/>
          </w:p>
        </w:tc>
        <w:tc>
          <w:tcPr>
            <w:shd w:val="clear" w:color="auto" w:fill="auto"/>
            <w:tcW w:w="816" w:type="pct"/>
            <w:vAlign w:val="center"/>
            <w:vMerge w:val="continue"/>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691" w:type="pct"/>
            <w:vAlign w:val="center"/>
            <w:vMerge w:val="continue"/>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802" w:type="pct"/>
            <w:vAlign w:val="center"/>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6.07</w:t>
            </w:r>
            <w:r/>
          </w:p>
        </w:tc>
      </w:tr>
      <w:tr>
        <w:trPr>
          <w:trHeight w:val="600"/>
        </w:trPr>
        <w:tc>
          <w:tcPr>
            <w:tcW w:w="541" w:type="pct"/>
            <w:vAlign w:val="center"/>
            <w:vMerge w:val="continue"/>
            <w:textDirection w:val="lrTb"/>
            <w:noWrap w:val="false"/>
          </w:tcPr>
          <w:p>
            <w:pPr>
              <w:jc w:val="center"/>
              <w:keepLines w:val="0"/>
              <w:keepNext w:val="0"/>
              <w:pageBreakBefore w:val="0"/>
              <w:spacing w:line="240" w:lineRule="exact"/>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常州刘国钧高等职业技术学校</w:t>
            </w:r>
            <w:r/>
          </w:p>
        </w:tc>
        <w:tc>
          <w:tcPr>
            <w:shd w:val="clear" w:color="auto" w:fill="auto"/>
            <w:tcW w:w="816" w:type="pct"/>
            <w:vAlign w:val="center"/>
            <w:vMerge w:val="continue"/>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691" w:type="pct"/>
            <w:vAlign w:val="center"/>
            <w:vMerge w:val="continue"/>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802" w:type="pct"/>
            <w:vAlign w:val="center"/>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53.92</w:t>
            </w:r>
            <w:r/>
          </w:p>
        </w:tc>
      </w:tr>
      <w:tr>
        <w:trPr>
          <w:trHeight w:val="600"/>
        </w:trPr>
        <w:tc>
          <w:tcPr>
            <w:tcW w:w="541" w:type="pct"/>
            <w:vAlign w:val="center"/>
            <w:vMerge w:val="continue"/>
            <w:textDirection w:val="lrTb"/>
            <w:noWrap w:val="false"/>
          </w:tcPr>
          <w:p>
            <w:pPr>
              <w:jc w:val="center"/>
              <w:keepLines w:val="0"/>
              <w:keepNext w:val="0"/>
              <w:pageBreakBefore w:val="0"/>
              <w:spacing w:line="240" w:lineRule="exact"/>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常州开放大学</w:t>
            </w:r>
            <w:r/>
          </w:p>
        </w:tc>
        <w:tc>
          <w:tcPr>
            <w:shd w:val="clear" w:color="auto" w:fill="auto"/>
            <w:tcW w:w="816" w:type="pct"/>
            <w:vAlign w:val="center"/>
            <w:vMerge w:val="continue"/>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691" w:type="pct"/>
            <w:vAlign w:val="center"/>
            <w:vMerge w:val="continue"/>
            <w:textDirection w:val="lrTb"/>
            <w:noWrap/>
          </w:tcPr>
          <w:p>
            <w:pPr>
              <w:jc w:val="center"/>
              <w:keepLines w:val="0"/>
              <w:keepNext w:val="0"/>
              <w:pageBreakBefore w:val="0"/>
              <w:spacing w:line="240" w:lineRule="exact"/>
              <w:rPr>
                <w:rFonts w:hint="default"/>
                <w:lang w:val="en-US" w:eastAsia="zh-CN"/>
              </w:rPr>
            </w:pPr>
            <w:r>
              <w:rPr>
                <w:rFonts w:hint="default"/>
                <w:lang w:val="en-US" w:eastAsia="zh-CN"/>
              </w:rPr>
            </w:r>
            <w:r/>
          </w:p>
        </w:tc>
        <w:tc>
          <w:tcPr>
            <w:shd w:val="clear" w:color="auto" w:fill="auto"/>
            <w:tcW w:w="802" w:type="pct"/>
            <w:vAlign w:val="center"/>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19.4</w:t>
            </w:r>
            <w:r/>
          </w:p>
        </w:tc>
      </w:tr>
      <w:tr>
        <w:trPr>
          <w:trHeight w:val="600"/>
        </w:trPr>
        <w:tc>
          <w:tcPr>
            <w:tcW w:w="541" w:type="pct"/>
            <w:vAlign w:val="center"/>
            <w:vMerge w:val="continue"/>
            <w:textDirection w:val="lrTb"/>
            <w:noWrap w:val="false"/>
          </w:tcPr>
          <w:p>
            <w:pPr>
              <w:jc w:val="center"/>
              <w:keepLines w:val="0"/>
              <w:keepNext w:val="0"/>
              <w:pageBreakBefore w:val="0"/>
              <w:spacing w:line="240" w:lineRule="exact"/>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w:t>
            </w:r>
            <w:r>
              <w:rPr>
                <w:rFonts w:hint="eastAsia" w:ascii="宋体" w:hAnsi="宋体" w:cs="宋体"/>
                <w:i w:val="0"/>
                <w:iCs w:val="0"/>
                <w:color w:val="000000"/>
                <w:sz w:val="21"/>
                <w:szCs w:val="21"/>
                <w:u w:val="none"/>
                <w:lang w:val="en-US" w:eastAsia="zh-CN" w:bidi="ar"/>
              </w:rPr>
              <w:t xml:space="preserve">旅游</w:t>
            </w:r>
            <w:r>
              <w:rPr>
                <w:rFonts w:hint="eastAsia" w:ascii="宋体" w:hAnsi="宋体" w:eastAsia="宋体" w:cs="宋体"/>
                <w:i w:val="0"/>
                <w:iCs w:val="0"/>
                <w:color w:val="000000"/>
                <w:sz w:val="21"/>
                <w:szCs w:val="21"/>
                <w:u w:val="none"/>
                <w:lang w:val="en-US" w:eastAsia="zh-CN" w:bidi="ar"/>
              </w:rPr>
              <w:t xml:space="preserve">商贸高等职业技术学校</w:t>
            </w:r>
            <w:r/>
          </w:p>
        </w:tc>
        <w:tc>
          <w:tcPr>
            <w:shd w:val="clear" w:color="auto" w:fill="auto"/>
            <w:tcW w:w="816" w:type="pct"/>
            <w:vAlign w:val="center"/>
            <w:vMerge w:val="continue"/>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691" w:type="pct"/>
            <w:vAlign w:val="center"/>
            <w:vMerge w:val="continue"/>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802" w:type="pct"/>
            <w:vAlign w:val="center"/>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64.05</w:t>
            </w:r>
            <w:r/>
          </w:p>
        </w:tc>
      </w:tr>
      <w:tr>
        <w:trPr>
          <w:trHeight w:val="600"/>
        </w:trPr>
        <w:tc>
          <w:tcPr>
            <w:tcW w:w="541" w:type="pct"/>
            <w:vAlign w:val="center"/>
            <w:vMerge w:val="continue"/>
            <w:textDirection w:val="lrTb"/>
            <w:noWrap w:val="false"/>
          </w:tcPr>
          <w:p>
            <w:pPr>
              <w:jc w:val="center"/>
              <w:keepLines w:val="0"/>
              <w:keepNext w:val="0"/>
              <w:pageBreakBefore w:val="0"/>
              <w:spacing w:line="240" w:lineRule="exact"/>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常州市中吴实验学校</w:t>
            </w:r>
            <w:r/>
          </w:p>
        </w:tc>
        <w:tc>
          <w:tcPr>
            <w:shd w:val="clear" w:color="auto" w:fill="auto"/>
            <w:tcW w:w="816" w:type="pct"/>
            <w:vAlign w:val="center"/>
            <w:vMerge w:val="continue"/>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691" w:type="pct"/>
            <w:vAlign w:val="center"/>
            <w:vMerge w:val="continue"/>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802" w:type="pct"/>
            <w:vAlign w:val="center"/>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15.88</w:t>
            </w:r>
            <w:r/>
          </w:p>
        </w:tc>
      </w:tr>
      <w:tr>
        <w:trPr>
          <w:trHeight w:val="600"/>
        </w:trPr>
        <w:tc>
          <w:tcPr>
            <w:tcW w:w="541" w:type="pct"/>
            <w:vAlign w:val="center"/>
            <w:vMerge w:val="continue"/>
            <w:textDirection w:val="lrTb"/>
            <w:noWrap w:val="false"/>
          </w:tcPr>
          <w:p>
            <w:pPr>
              <w:jc w:val="center"/>
              <w:keepLines w:val="0"/>
              <w:keepNext w:val="0"/>
              <w:pageBreakBefore w:val="0"/>
              <w:spacing w:line="240" w:lineRule="exact"/>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常州市市北实验初级中学</w:t>
            </w:r>
            <w:r/>
          </w:p>
        </w:tc>
        <w:tc>
          <w:tcPr>
            <w:shd w:val="clear" w:color="auto" w:fill="auto"/>
            <w:tcW w:w="816" w:type="pct"/>
            <w:vAlign w:val="center"/>
            <w:vMerge w:val="continue"/>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691" w:type="pct"/>
            <w:vAlign w:val="center"/>
            <w:vMerge w:val="continue"/>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802" w:type="pct"/>
            <w:vAlign w:val="center"/>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12.82</w:t>
            </w:r>
            <w:r/>
          </w:p>
        </w:tc>
      </w:tr>
      <w:tr>
        <w:trPr>
          <w:trHeight w:val="600"/>
        </w:trPr>
        <w:tc>
          <w:tcPr>
            <w:tcW w:w="541" w:type="pct"/>
            <w:vAlign w:val="center"/>
            <w:vMerge w:val="continue"/>
            <w:textDirection w:val="lrTb"/>
            <w:noWrap w:val="false"/>
          </w:tcPr>
          <w:p>
            <w:pPr>
              <w:jc w:val="center"/>
              <w:keepLines w:val="0"/>
              <w:keepNext w:val="0"/>
              <w:pageBreakBefore w:val="0"/>
              <w:spacing w:line="240" w:lineRule="exact"/>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常州市虹景中学</w:t>
            </w:r>
            <w:r/>
          </w:p>
        </w:tc>
        <w:tc>
          <w:tcPr>
            <w:shd w:val="clear" w:color="auto" w:fill="auto"/>
            <w:tcW w:w="816" w:type="pct"/>
            <w:vAlign w:val="center"/>
            <w:vMerge w:val="continue"/>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691" w:type="pct"/>
            <w:vAlign w:val="center"/>
            <w:vMerge w:val="continue"/>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802" w:type="pct"/>
            <w:vAlign w:val="center"/>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16.2</w:t>
            </w:r>
            <w:r/>
          </w:p>
        </w:tc>
      </w:tr>
      <w:tr>
        <w:trPr>
          <w:trHeight w:val="600"/>
        </w:trPr>
        <w:tc>
          <w:tcPr>
            <w:tcW w:w="541" w:type="pct"/>
            <w:vAlign w:val="center"/>
            <w:vMerge w:val="continue"/>
            <w:textDirection w:val="lrTb"/>
            <w:noWrap w:val="false"/>
          </w:tcPr>
          <w:p>
            <w:pPr>
              <w:jc w:val="center"/>
              <w:keepLines w:val="0"/>
              <w:keepNext w:val="0"/>
              <w:pageBreakBefore w:val="0"/>
              <w:spacing w:line="240" w:lineRule="exact"/>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常州市田家炳初</w:t>
            </w:r>
            <w:r>
              <w:rPr>
                <w:rFonts w:hint="eastAsia" w:ascii="宋体" w:hAnsi="宋体" w:cs="宋体"/>
                <w:i w:val="0"/>
                <w:iCs w:val="0"/>
                <w:color w:val="000000"/>
                <w:sz w:val="21"/>
                <w:szCs w:val="21"/>
                <w:u w:val="none"/>
                <w:lang w:val="en-US" w:eastAsia="zh-CN" w:bidi="ar"/>
              </w:rPr>
              <w:t xml:space="preserve">级</w:t>
            </w:r>
            <w:r>
              <w:rPr>
                <w:rFonts w:hint="eastAsia" w:ascii="宋体" w:hAnsi="宋体" w:eastAsia="宋体" w:cs="宋体"/>
                <w:i w:val="0"/>
                <w:iCs w:val="0"/>
                <w:color w:val="000000"/>
                <w:sz w:val="21"/>
                <w:szCs w:val="21"/>
                <w:u w:val="none"/>
                <w:lang w:val="en-US" w:eastAsia="zh-CN" w:bidi="ar"/>
              </w:rPr>
              <w:t xml:space="preserve">中</w:t>
            </w:r>
            <w:r>
              <w:rPr>
                <w:rFonts w:hint="eastAsia" w:ascii="宋体" w:hAnsi="宋体" w:cs="宋体"/>
                <w:i w:val="0"/>
                <w:iCs w:val="0"/>
                <w:color w:val="000000"/>
                <w:sz w:val="21"/>
                <w:szCs w:val="21"/>
                <w:u w:val="none"/>
                <w:lang w:val="en-US" w:eastAsia="zh-CN" w:bidi="ar"/>
              </w:rPr>
              <w:t xml:space="preserve">学</w:t>
            </w:r>
            <w:r/>
          </w:p>
        </w:tc>
        <w:tc>
          <w:tcPr>
            <w:shd w:val="clear" w:color="auto" w:fill="auto"/>
            <w:tcW w:w="816" w:type="pct"/>
            <w:vAlign w:val="center"/>
            <w:vMerge w:val="continue"/>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691" w:type="pct"/>
            <w:vAlign w:val="center"/>
            <w:vMerge w:val="continue"/>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802" w:type="pct"/>
            <w:vAlign w:val="center"/>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4.96</w:t>
            </w:r>
            <w:r/>
          </w:p>
        </w:tc>
      </w:tr>
      <w:tr>
        <w:trPr>
          <w:trHeight w:val="600"/>
        </w:trPr>
        <w:tc>
          <w:tcPr>
            <w:tcW w:w="541" w:type="pct"/>
            <w:vAlign w:val="center"/>
            <w:vMerge w:val="continue"/>
            <w:textDirection w:val="lrTb"/>
            <w:noWrap w:val="false"/>
          </w:tcPr>
          <w:p>
            <w:pPr>
              <w:jc w:val="center"/>
              <w:keepLines w:val="0"/>
              <w:keepNext w:val="0"/>
              <w:pageBreakBefore w:val="0"/>
              <w:spacing w:line="240" w:lineRule="exact"/>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常州市北环中学</w:t>
            </w:r>
            <w:r/>
          </w:p>
        </w:tc>
        <w:tc>
          <w:tcPr>
            <w:shd w:val="clear" w:color="auto" w:fill="auto"/>
            <w:tcW w:w="816" w:type="pct"/>
            <w:vAlign w:val="center"/>
            <w:vMerge w:val="continue"/>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691" w:type="pct"/>
            <w:vAlign w:val="center"/>
            <w:vMerge w:val="continue"/>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802" w:type="pct"/>
            <w:vAlign w:val="center"/>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10.47</w:t>
            </w:r>
            <w:r/>
          </w:p>
        </w:tc>
      </w:tr>
      <w:tr>
        <w:trPr>
          <w:trHeight w:val="600"/>
        </w:trPr>
        <w:tc>
          <w:tcPr>
            <w:tcW w:w="541" w:type="pct"/>
            <w:vAlign w:val="center"/>
            <w:vMerge w:val="continue"/>
            <w:textDirection w:val="lrTb"/>
            <w:noWrap w:val="false"/>
          </w:tcPr>
          <w:p>
            <w:pPr>
              <w:jc w:val="center"/>
              <w:keepLines w:val="0"/>
              <w:keepNext w:val="0"/>
              <w:pageBreakBefore w:val="0"/>
              <w:spacing w:line="240" w:lineRule="exact"/>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常州市兰陵中学</w:t>
            </w:r>
            <w:r/>
          </w:p>
        </w:tc>
        <w:tc>
          <w:tcPr>
            <w:shd w:val="clear" w:color="auto" w:fill="auto"/>
            <w:tcW w:w="816" w:type="pct"/>
            <w:vAlign w:val="center"/>
            <w:vMerge w:val="continue"/>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691" w:type="pct"/>
            <w:vAlign w:val="center"/>
            <w:vMerge w:val="continue"/>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802" w:type="pct"/>
            <w:vAlign w:val="center"/>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5.21</w:t>
            </w:r>
            <w:r/>
          </w:p>
        </w:tc>
      </w:tr>
      <w:tr>
        <w:trPr>
          <w:trHeight w:val="600"/>
        </w:trPr>
        <w:tc>
          <w:tcPr>
            <w:tcW w:w="541" w:type="pct"/>
            <w:vAlign w:val="center"/>
            <w:vMerge w:val="continue"/>
            <w:textDirection w:val="lrTb"/>
            <w:noWrap w:val="false"/>
          </w:tcPr>
          <w:p>
            <w:pPr>
              <w:jc w:val="center"/>
              <w:keepLines w:val="0"/>
              <w:keepNext w:val="0"/>
              <w:pageBreakBefore w:val="0"/>
              <w:spacing w:line="240" w:lineRule="exact"/>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常州市勤业中学</w:t>
            </w:r>
            <w:r/>
          </w:p>
        </w:tc>
        <w:tc>
          <w:tcPr>
            <w:shd w:val="clear" w:color="auto" w:fill="auto"/>
            <w:tcW w:w="816" w:type="pct"/>
            <w:vAlign w:val="center"/>
            <w:vMerge w:val="continue"/>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691" w:type="pct"/>
            <w:vAlign w:val="center"/>
            <w:vMerge w:val="continue"/>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802" w:type="pct"/>
            <w:vAlign w:val="center"/>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10.72</w:t>
            </w:r>
            <w:r/>
          </w:p>
        </w:tc>
      </w:tr>
      <w:tr>
        <w:trPr>
          <w:trHeight w:val="600"/>
        </w:trPr>
        <w:tc>
          <w:tcPr>
            <w:tcW w:w="541" w:type="pct"/>
            <w:vAlign w:val="center"/>
            <w:vMerge w:val="continue"/>
            <w:textDirection w:val="lrTb"/>
            <w:noWrap w:val="false"/>
          </w:tcPr>
          <w:p>
            <w:pPr>
              <w:jc w:val="center"/>
              <w:keepLines w:val="0"/>
              <w:keepNext w:val="0"/>
              <w:pageBreakBefore w:val="0"/>
              <w:spacing w:line="240" w:lineRule="exact"/>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常州市实验</w:t>
            </w:r>
            <w:r>
              <w:rPr>
                <w:rFonts w:hint="eastAsia" w:ascii="宋体" w:hAnsi="宋体" w:cs="宋体"/>
                <w:i w:val="0"/>
                <w:iCs w:val="0"/>
                <w:color w:val="000000"/>
                <w:sz w:val="21"/>
                <w:szCs w:val="21"/>
                <w:u w:val="none"/>
                <w:lang w:val="en-US" w:eastAsia="zh-CN" w:bidi="ar"/>
              </w:rPr>
              <w:t xml:space="preserve">初级中学</w:t>
            </w:r>
            <w:r/>
          </w:p>
        </w:tc>
        <w:tc>
          <w:tcPr>
            <w:shd w:val="clear" w:color="auto" w:fill="auto"/>
            <w:tcW w:w="816" w:type="pct"/>
            <w:vAlign w:val="center"/>
            <w:vMerge w:val="continue"/>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691" w:type="pct"/>
            <w:vAlign w:val="center"/>
            <w:vMerge w:val="continue"/>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802" w:type="pct"/>
            <w:vAlign w:val="center"/>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22.63</w:t>
            </w:r>
            <w:r/>
          </w:p>
        </w:tc>
      </w:tr>
      <w:tr>
        <w:trPr>
          <w:trHeight w:val="600"/>
        </w:trPr>
        <w:tc>
          <w:tcPr>
            <w:tcW w:w="541" w:type="pct"/>
            <w:vAlign w:val="center"/>
            <w:vMerge w:val="continue"/>
            <w:textDirection w:val="lrTb"/>
            <w:noWrap w:val="false"/>
          </w:tcPr>
          <w:p>
            <w:pPr>
              <w:jc w:val="center"/>
              <w:keepLines w:val="0"/>
              <w:keepNext w:val="0"/>
              <w:pageBreakBefore w:val="0"/>
              <w:spacing w:line="240" w:lineRule="exact"/>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常州市翠竹中学</w:t>
            </w:r>
            <w:r/>
          </w:p>
        </w:tc>
        <w:tc>
          <w:tcPr>
            <w:shd w:val="clear" w:color="auto" w:fill="auto"/>
            <w:tcW w:w="816" w:type="pct"/>
            <w:vAlign w:val="center"/>
            <w:vMerge w:val="continue"/>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691" w:type="pct"/>
            <w:vAlign w:val="center"/>
            <w:vMerge w:val="continue"/>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802" w:type="pct"/>
            <w:vAlign w:val="center"/>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10.91</w:t>
            </w:r>
            <w:r/>
          </w:p>
        </w:tc>
      </w:tr>
      <w:tr>
        <w:trPr>
          <w:trHeight w:val="600"/>
        </w:trPr>
        <w:tc>
          <w:tcPr>
            <w:tcW w:w="541" w:type="pct"/>
            <w:vAlign w:val="center"/>
            <w:vMerge w:val="continue"/>
            <w:textDirection w:val="lrTb"/>
            <w:noWrap w:val="false"/>
          </w:tcPr>
          <w:p>
            <w:pPr>
              <w:jc w:val="center"/>
              <w:keepLines w:val="0"/>
              <w:keepNext w:val="0"/>
              <w:pageBreakBefore w:val="0"/>
              <w:spacing w:line="240" w:lineRule="exact"/>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常州市清潭中学</w:t>
            </w:r>
            <w:r/>
          </w:p>
        </w:tc>
        <w:tc>
          <w:tcPr>
            <w:shd w:val="clear" w:color="auto" w:fill="auto"/>
            <w:tcW w:w="816" w:type="pct"/>
            <w:vAlign w:val="center"/>
            <w:vMerge w:val="continue"/>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691" w:type="pct"/>
            <w:vAlign w:val="center"/>
            <w:vMerge w:val="continue"/>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802" w:type="pct"/>
            <w:vAlign w:val="center"/>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22.67</w:t>
            </w:r>
            <w:r/>
          </w:p>
        </w:tc>
      </w:tr>
      <w:tr>
        <w:trPr>
          <w:trHeight w:val="600"/>
        </w:trPr>
        <w:tc>
          <w:tcPr>
            <w:tcW w:w="541" w:type="pct"/>
            <w:vAlign w:val="center"/>
            <w:vMerge w:val="continue"/>
            <w:textDirection w:val="lrTb"/>
            <w:noWrap w:val="false"/>
          </w:tcPr>
          <w:p>
            <w:pPr>
              <w:jc w:val="center"/>
              <w:keepLines w:val="0"/>
              <w:keepNext w:val="0"/>
              <w:pageBreakBefore w:val="0"/>
              <w:spacing w:line="240" w:lineRule="exact"/>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常州市同济中学</w:t>
            </w:r>
            <w:r/>
          </w:p>
        </w:tc>
        <w:tc>
          <w:tcPr>
            <w:shd w:val="clear" w:color="auto" w:fill="auto"/>
            <w:tcW w:w="816" w:type="pct"/>
            <w:vAlign w:val="center"/>
            <w:vMerge w:val="continue"/>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691" w:type="pct"/>
            <w:vAlign w:val="center"/>
            <w:vMerge w:val="continue"/>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802" w:type="pct"/>
            <w:vAlign w:val="center"/>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12.41</w:t>
            </w:r>
            <w:r/>
          </w:p>
        </w:tc>
      </w:tr>
      <w:tr>
        <w:trPr>
          <w:trHeight w:val="600"/>
        </w:trPr>
        <w:tc>
          <w:tcPr>
            <w:tcW w:w="541" w:type="pct"/>
            <w:vAlign w:val="center"/>
            <w:vMerge w:val="continue"/>
            <w:textDirection w:val="lrTb"/>
            <w:noWrap w:val="false"/>
          </w:tcPr>
          <w:p>
            <w:pPr>
              <w:jc w:val="center"/>
              <w:keepLines w:val="0"/>
              <w:keepNext w:val="0"/>
              <w:pageBreakBefore w:val="0"/>
              <w:spacing w:line="240" w:lineRule="exact"/>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常州西藏民族中学</w:t>
            </w:r>
            <w:r/>
          </w:p>
        </w:tc>
        <w:tc>
          <w:tcPr>
            <w:shd w:val="clear" w:color="auto" w:fill="auto"/>
            <w:tcW w:w="816" w:type="pct"/>
            <w:vAlign w:val="center"/>
            <w:vMerge w:val="continue"/>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691" w:type="pct"/>
            <w:vAlign w:val="center"/>
            <w:vMerge w:val="continue"/>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802" w:type="pct"/>
            <w:vAlign w:val="center"/>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11.13</w:t>
            </w:r>
            <w:r/>
          </w:p>
        </w:tc>
      </w:tr>
      <w:tr>
        <w:trPr>
          <w:trHeight w:val="600"/>
        </w:trPr>
        <w:tc>
          <w:tcPr>
            <w:tcW w:w="541" w:type="pct"/>
            <w:vAlign w:val="center"/>
            <w:vMerge w:val="continue"/>
            <w:textDirection w:val="lrTb"/>
            <w:noWrap w:val="false"/>
          </w:tcPr>
          <w:p>
            <w:pPr>
              <w:jc w:val="center"/>
              <w:keepLines w:val="0"/>
              <w:keepNext w:val="0"/>
              <w:pageBreakBefore w:val="0"/>
              <w:spacing w:line="240" w:lineRule="exact"/>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常州市青少年活动中心</w:t>
            </w:r>
            <w:r/>
          </w:p>
        </w:tc>
        <w:tc>
          <w:tcPr>
            <w:shd w:val="clear" w:color="auto" w:fill="auto"/>
            <w:tcW w:w="816" w:type="pct"/>
            <w:vAlign w:val="center"/>
            <w:vMerge w:val="continue"/>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691" w:type="pct"/>
            <w:vAlign w:val="center"/>
            <w:vMerge w:val="continue"/>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802" w:type="pct"/>
            <w:vAlign w:val="center"/>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18.87</w:t>
            </w:r>
            <w:r/>
          </w:p>
        </w:tc>
      </w:tr>
      <w:tr>
        <w:trPr>
          <w:trHeight w:val="600"/>
        </w:trPr>
        <w:tc>
          <w:tcPr>
            <w:tcW w:w="541" w:type="pct"/>
            <w:vAlign w:val="center"/>
            <w:vMerge w:val="continue"/>
            <w:textDirection w:val="lrTb"/>
            <w:noWrap w:val="false"/>
          </w:tcPr>
          <w:p>
            <w:pPr>
              <w:jc w:val="center"/>
              <w:keepLines w:val="0"/>
              <w:keepNext w:val="0"/>
              <w:pageBreakBefore w:val="0"/>
              <w:spacing w:line="240" w:lineRule="exact"/>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常州市北郊</w:t>
            </w:r>
            <w:r>
              <w:rPr>
                <w:rFonts w:hint="eastAsia" w:ascii="宋体" w:hAnsi="宋体" w:cs="宋体"/>
                <w:i w:val="0"/>
                <w:iCs w:val="0"/>
                <w:color w:val="000000"/>
                <w:sz w:val="21"/>
                <w:szCs w:val="21"/>
                <w:u w:val="none"/>
                <w:lang w:val="en-US" w:eastAsia="zh-CN" w:bidi="ar"/>
              </w:rPr>
              <w:t xml:space="preserve">初级中学</w:t>
            </w:r>
            <w:r/>
          </w:p>
        </w:tc>
        <w:tc>
          <w:tcPr>
            <w:shd w:val="clear" w:color="auto" w:fill="auto"/>
            <w:tcW w:w="816" w:type="pct"/>
            <w:vAlign w:val="center"/>
            <w:vMerge w:val="continue"/>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691" w:type="pct"/>
            <w:vAlign w:val="center"/>
            <w:vMerge w:val="continue"/>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802" w:type="pct"/>
            <w:vAlign w:val="center"/>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12.1</w:t>
            </w:r>
            <w:r/>
          </w:p>
        </w:tc>
      </w:tr>
      <w:tr>
        <w:trPr>
          <w:trHeight w:val="600"/>
        </w:trPr>
        <w:tc>
          <w:tcPr>
            <w:tcW w:w="541" w:type="pct"/>
            <w:vAlign w:val="center"/>
            <w:vMerge w:val="continue"/>
            <w:textDirection w:val="lrTb"/>
            <w:noWrap w:val="false"/>
          </w:tcPr>
          <w:p>
            <w:pPr>
              <w:jc w:val="center"/>
              <w:keepLines w:val="0"/>
              <w:keepNext w:val="0"/>
              <w:pageBreakBefore w:val="0"/>
              <w:spacing w:line="240" w:lineRule="exact"/>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常州市明德实验中学</w:t>
            </w:r>
            <w:r/>
          </w:p>
        </w:tc>
        <w:tc>
          <w:tcPr>
            <w:shd w:val="clear" w:color="auto" w:fill="auto"/>
            <w:tcW w:w="816" w:type="pct"/>
            <w:vAlign w:val="center"/>
            <w:vMerge w:val="continue"/>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691" w:type="pct"/>
            <w:vAlign w:val="center"/>
            <w:vMerge w:val="continue"/>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802" w:type="pct"/>
            <w:vAlign w:val="center"/>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18.71</w:t>
            </w:r>
            <w:r/>
          </w:p>
        </w:tc>
      </w:tr>
      <w:tr>
        <w:trPr>
          <w:trHeight w:val="600"/>
        </w:trPr>
        <w:tc>
          <w:tcPr>
            <w:tcW w:w="541" w:type="pct"/>
            <w:vAlign w:val="center"/>
            <w:vMerge w:val="continue"/>
            <w:textDirection w:val="lrTb"/>
            <w:noWrap w:val="false"/>
          </w:tcPr>
          <w:p>
            <w:pPr>
              <w:jc w:val="center"/>
              <w:keepLines w:val="0"/>
              <w:keepNext w:val="0"/>
              <w:pageBreakBefore w:val="0"/>
              <w:spacing w:line="240" w:lineRule="exact"/>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常州市朝阳中学</w:t>
            </w:r>
            <w:r/>
          </w:p>
        </w:tc>
        <w:tc>
          <w:tcPr>
            <w:shd w:val="clear" w:color="auto" w:fill="auto"/>
            <w:tcW w:w="816" w:type="pct"/>
            <w:vAlign w:val="center"/>
            <w:vMerge w:val="continue"/>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691" w:type="pct"/>
            <w:vAlign w:val="center"/>
            <w:vMerge w:val="continue"/>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802" w:type="pct"/>
            <w:vAlign w:val="center"/>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15.53</w:t>
            </w:r>
            <w:r/>
          </w:p>
        </w:tc>
      </w:tr>
      <w:tr>
        <w:trPr>
          <w:trHeight w:val="600"/>
        </w:trPr>
        <w:tc>
          <w:tcPr>
            <w:tcW w:w="541" w:type="pct"/>
            <w:vAlign w:val="center"/>
            <w:vMerge w:val="continue"/>
            <w:textDirection w:val="lrTb"/>
            <w:noWrap w:val="false"/>
          </w:tcPr>
          <w:p>
            <w:pPr>
              <w:jc w:val="center"/>
              <w:keepLines w:val="0"/>
              <w:keepNext w:val="0"/>
              <w:pageBreakBefore w:val="0"/>
              <w:spacing w:line="240" w:lineRule="exact"/>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常州市第二十四中学</w:t>
            </w:r>
            <w:r/>
          </w:p>
        </w:tc>
        <w:tc>
          <w:tcPr>
            <w:shd w:val="clear" w:color="auto" w:fill="auto"/>
            <w:tcW w:w="816" w:type="pct"/>
            <w:vAlign w:val="center"/>
            <w:vMerge w:val="continue"/>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691" w:type="pct"/>
            <w:vAlign w:val="center"/>
            <w:vMerge w:val="continue"/>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802" w:type="pct"/>
            <w:vAlign w:val="center"/>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11.3</w:t>
            </w:r>
            <w:r/>
          </w:p>
        </w:tc>
      </w:tr>
      <w:tr>
        <w:trPr>
          <w:trHeight w:val="600"/>
        </w:trPr>
        <w:tc>
          <w:tcPr>
            <w:tcW w:w="541" w:type="pct"/>
            <w:vAlign w:val="center"/>
            <w:vMerge w:val="continue"/>
            <w:textDirection w:val="lrTb"/>
            <w:noWrap w:val="false"/>
          </w:tcPr>
          <w:p>
            <w:pPr>
              <w:jc w:val="center"/>
              <w:keepLines w:val="0"/>
              <w:keepNext w:val="0"/>
              <w:pageBreakBefore w:val="0"/>
              <w:spacing w:line="240" w:lineRule="exact"/>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常州市花园中学</w:t>
            </w:r>
            <w:r/>
          </w:p>
        </w:tc>
        <w:tc>
          <w:tcPr>
            <w:shd w:val="clear" w:color="auto" w:fill="auto"/>
            <w:tcW w:w="816" w:type="pct"/>
            <w:vAlign w:val="center"/>
            <w:vMerge w:val="continue"/>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691" w:type="pct"/>
            <w:vAlign w:val="center"/>
            <w:vMerge w:val="continue"/>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802" w:type="pct"/>
            <w:vAlign w:val="center"/>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9.81</w:t>
            </w:r>
            <w:r/>
          </w:p>
        </w:tc>
      </w:tr>
      <w:tr>
        <w:trPr>
          <w:trHeight w:val="600"/>
        </w:trPr>
        <w:tc>
          <w:tcPr>
            <w:tcW w:w="541" w:type="pct"/>
            <w:vAlign w:val="center"/>
            <w:vMerge w:val="continue"/>
            <w:textDirection w:val="lrTb"/>
            <w:noWrap w:val="false"/>
          </w:tcPr>
          <w:p>
            <w:pPr>
              <w:jc w:val="center"/>
              <w:keepLines w:val="0"/>
              <w:keepNext w:val="0"/>
              <w:pageBreakBefore w:val="0"/>
              <w:spacing w:line="240" w:lineRule="exact"/>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常州市丽华中学</w:t>
            </w:r>
            <w:r/>
          </w:p>
        </w:tc>
        <w:tc>
          <w:tcPr>
            <w:shd w:val="clear" w:color="auto" w:fill="auto"/>
            <w:tcW w:w="816" w:type="pct"/>
            <w:vAlign w:val="center"/>
            <w:vMerge w:val="continue"/>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691" w:type="pct"/>
            <w:vAlign w:val="center"/>
            <w:vMerge w:val="continue"/>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802" w:type="pct"/>
            <w:vAlign w:val="center"/>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10.57</w:t>
            </w:r>
            <w:r/>
          </w:p>
        </w:tc>
      </w:tr>
      <w:tr>
        <w:trPr>
          <w:trHeight w:val="600"/>
        </w:trPr>
        <w:tc>
          <w:tcPr>
            <w:tcW w:w="541" w:type="pct"/>
            <w:vAlign w:val="center"/>
            <w:vMerge w:val="continue"/>
            <w:textDirection w:val="lrTb"/>
            <w:noWrap w:val="false"/>
          </w:tcPr>
          <w:p>
            <w:pPr>
              <w:jc w:val="center"/>
              <w:keepLines w:val="0"/>
              <w:keepNext w:val="0"/>
              <w:pageBreakBefore w:val="0"/>
              <w:spacing w:line="240" w:lineRule="exact"/>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常州市教科院附属初级中学</w:t>
            </w:r>
            <w:r/>
          </w:p>
        </w:tc>
        <w:tc>
          <w:tcPr>
            <w:shd w:val="clear" w:color="auto" w:fill="auto"/>
            <w:tcW w:w="816" w:type="pct"/>
            <w:vAlign w:val="center"/>
            <w:vMerge w:val="continue"/>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691" w:type="pct"/>
            <w:vAlign w:val="center"/>
            <w:vMerge w:val="continue"/>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802" w:type="pct"/>
            <w:vAlign w:val="center"/>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23.97</w:t>
            </w:r>
            <w:r/>
          </w:p>
        </w:tc>
      </w:tr>
    </w:tbl>
    <w:p>
      <w:pPr>
        <w:pStyle w:val="810"/>
      </w:pPr>
      <w:r>
        <w:rPr>
          <w:rFonts w:hint="eastAsia"/>
          <w:b/>
          <w:bCs/>
          <w:color w:val="ff0000"/>
          <w:lang w:val="en-US" w:eastAsia="zh-CN"/>
        </w:rPr>
        <w:t xml:space="preserve">投标时应根据所有单位的基本要求汇总表提供采购包的总的报价表，同时根据附件中各单位的采购清单提供各个单位的报价表。</w:t>
      </w:r>
      <w:r/>
    </w:p>
    <w:p>
      <w:pPr>
        <w:numPr>
          <w:ilvl w:val="0"/>
          <w:numId w:val="6"/>
        </w:numPr>
        <w:spacing w:line="360" w:lineRule="auto"/>
        <w:rPr>
          <w:rFonts w:hint="eastAsia" w:ascii="宋体" w:hAnsi="宋体"/>
          <w:sz w:val="24"/>
          <w:szCs w:val="24"/>
        </w:rPr>
      </w:pPr>
      <w:r>
        <w:rPr>
          <w:rFonts w:hint="eastAsia" w:ascii="宋体" w:hAnsi="宋体"/>
          <w:sz w:val="24"/>
          <w:szCs w:val="24"/>
        </w:rPr>
        <w:t xml:space="preserve">采购项目概况：</w:t>
      </w:r>
      <w:r/>
    </w:p>
    <w:p>
      <w:pPr>
        <w:ind w:firstLine="480"/>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为补齐校园安全监管短板，筑牢校园人身安全与消防安全双重防护防线，针对我市35所直属学校现存监管盲区，本次计划统一采购智能拾音器、火焰识别物联网监测设备，搭建一体化校园智能安防预警系统，全面消除校园安全隐患，保障师生人身及校园财产安全。</w:t>
      </w:r>
      <w:r/>
    </w:p>
    <w:p>
      <w:pPr>
        <w:ind w:firstLine="480"/>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针对校园厕所无监控、霸凌事件隐蔽难监管的痛点，本次为各校厕所部署专用智能拾音器设备。设备支持实时声音直播、全程录音回放，填补厕所视频监控盲区；搭载智能异响识别、霸凌敏感词语音识别算法，可自动识别异常声响，精准抓取欺凌辱骂类敏感词汇，一旦监测到违规语音信息，立即推送预警信息，帮助校方第一时间介入处置，遏制隐蔽性校园霸凌行为。</w:t>
      </w:r>
      <w:r/>
    </w:p>
    <w:p>
      <w:pPr>
        <w:ind w:firstLine="480"/>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针对校园电瓶车充电区、汽车充电桩火灾高发风险，全域加装火焰智能识别物联网相关设备。设备7×24小时不间断值守监测，可极速识别明火火苗，触发本地声光报警，同时自动拨打应急联系电话、推送移动端预警消息，联动校园安保人员快速处置，实现火灾早发现、早预警、早处置。</w:t>
      </w:r>
      <w:r/>
    </w:p>
    <w:p>
      <w:pPr>
        <w:spacing w:line="360" w:lineRule="auto"/>
        <w:rPr>
          <w:rFonts w:hint="eastAsia" w:ascii="宋体" w:hAnsi="宋体"/>
          <w:sz w:val="24"/>
          <w:szCs w:val="24"/>
        </w:rPr>
      </w:pPr>
      <w:r>
        <w:rPr>
          <w:rFonts w:hint="eastAsia" w:ascii="宋体" w:hAnsi="宋体"/>
          <w:sz w:val="24"/>
          <w:szCs w:val="24"/>
          <w:lang w:val="en-US" w:eastAsia="zh-CN"/>
        </w:rPr>
        <w:t xml:space="preserve">4.本项目为包干制，供应商报价为完成本项目的总报价</w:t>
      </w:r>
      <w:r>
        <w:rPr>
          <w:rFonts w:hint="eastAsia" w:ascii="宋体" w:hAnsi="宋体"/>
          <w:b/>
          <w:bCs/>
          <w:color w:val="auto"/>
          <w:sz w:val="24"/>
          <w:szCs w:val="24"/>
          <w:lang w:val="en-US" w:eastAsia="zh-CN"/>
        </w:rPr>
        <w:t xml:space="preserve">（含供货、安装集成、开挖、回填、辅材、FLUKE铜缆链路级测试及其他费用）</w:t>
      </w:r>
      <w:r>
        <w:rPr>
          <w:rFonts w:hint="eastAsia" w:ascii="宋体" w:hAnsi="宋体"/>
          <w:sz w:val="24"/>
          <w:szCs w:val="24"/>
          <w:lang w:val="en-US" w:eastAsia="zh-CN"/>
        </w:rPr>
        <w:t xml:space="preserve">，不再另外收取任何费用。</w:t>
      </w:r>
      <w:r/>
    </w:p>
    <w:p>
      <w:pPr>
        <w:spacing w:line="360" w:lineRule="auto"/>
        <w:rPr>
          <w:rFonts w:hint="eastAsia" w:ascii="宋体" w:hAnsi="宋体"/>
          <w:sz w:val="24"/>
          <w:szCs w:val="24"/>
        </w:rPr>
      </w:pPr>
      <w:r>
        <w:rPr>
          <w:rFonts w:hint="eastAsia" w:ascii="宋体" w:hAnsi="宋体"/>
          <w:sz w:val="24"/>
          <w:szCs w:val="24"/>
          <w:lang w:val="en-US" w:eastAsia="zh-CN"/>
        </w:rPr>
        <w:t xml:space="preserve">5</w:t>
      </w:r>
      <w:r>
        <w:rPr>
          <w:rFonts w:hint="eastAsia" w:ascii="宋体" w:hAnsi="宋体"/>
          <w:sz w:val="24"/>
          <w:szCs w:val="24"/>
        </w:rPr>
        <w:t xml:space="preserve">.合同履行期限：自合同签订生效之日起、项目验收合格之日止；</w:t>
      </w:r>
      <w:r/>
    </w:p>
    <w:p>
      <w:pPr>
        <w:spacing w:line="360" w:lineRule="auto"/>
        <w:rPr>
          <w:rFonts w:hint="eastAsia" w:ascii="宋体" w:hAnsi="宋体"/>
          <w:sz w:val="24"/>
          <w:szCs w:val="24"/>
        </w:rPr>
      </w:pPr>
      <w:r>
        <w:rPr>
          <w:rFonts w:hint="eastAsia" w:ascii="宋体" w:hAnsi="宋体"/>
          <w:sz w:val="24"/>
          <w:szCs w:val="24"/>
          <w:lang w:val="en-US" w:eastAsia="zh-CN"/>
        </w:rPr>
        <w:t xml:space="preserve">6</w:t>
      </w:r>
      <w:r>
        <w:rPr>
          <w:rFonts w:hint="eastAsia" w:ascii="宋体" w:hAnsi="宋体"/>
          <w:sz w:val="24"/>
          <w:szCs w:val="24"/>
        </w:rPr>
        <w:t xml:space="preserve">.</w:t>
      </w:r>
      <w:r>
        <w:rPr>
          <w:rFonts w:hint="eastAsia" w:ascii="宋体" w:hAnsi="宋体"/>
          <w:sz w:val="24"/>
        </w:rPr>
        <w:t xml:space="preserve">是/否接受联合体投标： 否  ；</w:t>
      </w:r>
      <w:r/>
    </w:p>
    <w:p>
      <w:pPr>
        <w:spacing w:line="360" w:lineRule="auto"/>
        <w:rPr>
          <w:rFonts w:hint="eastAsia" w:ascii="宋体" w:hAnsi="宋体"/>
          <w:bCs/>
          <w:sz w:val="24"/>
          <w:szCs w:val="24"/>
        </w:rPr>
      </w:pPr>
      <w:r>
        <w:rPr>
          <w:rFonts w:hint="eastAsia" w:ascii="宋体" w:hAnsi="宋体"/>
          <w:sz w:val="24"/>
          <w:szCs w:val="24"/>
          <w:lang w:val="en-US" w:eastAsia="zh-CN"/>
        </w:rPr>
        <w:t xml:space="preserve">7</w:t>
      </w:r>
      <w:r>
        <w:rPr>
          <w:rFonts w:hint="eastAsia" w:ascii="宋体" w:hAnsi="宋体"/>
          <w:sz w:val="24"/>
          <w:szCs w:val="24"/>
        </w:rPr>
        <w:t xml:space="preserve">.</w:t>
      </w:r>
      <w:r>
        <w:rPr>
          <w:sz w:val="24"/>
        </w:rPr>
        <w:t xml:space="preserve">是</w:t>
      </w:r>
      <w:r>
        <w:rPr>
          <w:rFonts w:hint="eastAsia"/>
          <w:sz w:val="24"/>
        </w:rPr>
        <w:t xml:space="preserve">/</w:t>
      </w:r>
      <w:r>
        <w:rPr>
          <w:sz w:val="24"/>
        </w:rPr>
        <w:t xml:space="preserve">否接受分支机构参与响应</w:t>
      </w:r>
      <w:r>
        <w:rPr>
          <w:rFonts w:ascii="宋体" w:hAnsi="宋体"/>
          <w:sz w:val="24"/>
          <w:szCs w:val="24"/>
        </w:rPr>
        <w:t xml:space="preserve">：</w:t>
      </w:r>
      <w:r>
        <w:rPr>
          <w:rFonts w:ascii="宋体" w:hAnsi="宋体"/>
          <w:bCs/>
          <w:sz w:val="24"/>
          <w:szCs w:val="24"/>
        </w:rPr>
        <w:t xml:space="preserve">否</w:t>
      </w:r>
      <w:r>
        <w:rPr>
          <w:rFonts w:hint="eastAsia" w:ascii="宋体" w:hAnsi="宋体"/>
          <w:bCs/>
          <w:sz w:val="24"/>
          <w:szCs w:val="24"/>
        </w:rPr>
        <w:t xml:space="preserve">；</w:t>
      </w:r>
      <w:r/>
    </w:p>
    <w:p>
      <w:pPr>
        <w:spacing w:line="360" w:lineRule="auto"/>
        <w:rPr>
          <w:rFonts w:hint="eastAsia" w:ascii="宋体" w:hAnsi="宋体"/>
          <w:sz w:val="24"/>
          <w:szCs w:val="24"/>
        </w:rPr>
      </w:pPr>
      <w:r>
        <w:rPr>
          <w:rFonts w:hint="eastAsia" w:ascii="宋体" w:hAnsi="宋体"/>
          <w:sz w:val="24"/>
          <w:szCs w:val="24"/>
          <w:lang w:val="en-US" w:eastAsia="zh-CN"/>
        </w:rPr>
        <w:t xml:space="preserve">8</w:t>
      </w:r>
      <w:r>
        <w:rPr>
          <w:rFonts w:hint="eastAsia" w:ascii="宋体" w:hAnsi="宋体"/>
          <w:sz w:val="24"/>
          <w:szCs w:val="24"/>
        </w:rPr>
        <w:t xml:space="preserve">.</w:t>
      </w:r>
      <w:r>
        <w:rPr>
          <w:rFonts w:ascii="宋体" w:hAnsi="宋体"/>
          <w:sz w:val="24"/>
        </w:rPr>
        <w:t xml:space="preserve">是</w:t>
      </w:r>
      <w:r>
        <w:rPr>
          <w:rFonts w:hint="eastAsia" w:ascii="宋体" w:hAnsi="宋体"/>
          <w:sz w:val="24"/>
        </w:rPr>
        <w:t xml:space="preserve">/</w:t>
      </w:r>
      <w:r>
        <w:rPr>
          <w:rFonts w:ascii="宋体" w:hAnsi="宋体"/>
          <w:sz w:val="24"/>
        </w:rPr>
        <w:t xml:space="preserve">否属于政府购买服务</w:t>
      </w:r>
      <w:r>
        <w:rPr>
          <w:rFonts w:ascii="宋体" w:hAnsi="宋体"/>
          <w:sz w:val="24"/>
          <w:szCs w:val="24"/>
        </w:rPr>
        <w:t xml:space="preserve">：</w:t>
      </w:r>
      <w:r>
        <w:rPr>
          <w:rFonts w:hint="eastAsia" w:ascii="宋体" w:hAnsi="宋体"/>
          <w:sz w:val="24"/>
          <w:szCs w:val="24"/>
        </w:rPr>
        <w:t xml:space="preserve">否；</w:t>
      </w:r>
      <w:r/>
    </w:p>
    <w:p>
      <w:pPr>
        <w:spacing w:line="360" w:lineRule="auto"/>
        <w:rPr>
          <w:rFonts w:hint="eastAsia" w:ascii="宋体" w:hAnsi="宋体"/>
          <w:sz w:val="24"/>
          <w:szCs w:val="24"/>
        </w:rPr>
      </w:pPr>
      <w:r>
        <w:rPr>
          <w:rFonts w:hint="eastAsia" w:ascii="宋体" w:hAnsi="宋体"/>
          <w:sz w:val="24"/>
          <w:szCs w:val="24"/>
          <w:lang w:val="en-US" w:eastAsia="zh-CN"/>
        </w:rPr>
        <w:t xml:space="preserve">9</w:t>
      </w:r>
      <w:r>
        <w:rPr>
          <w:rFonts w:hint="eastAsia" w:ascii="宋体" w:hAnsi="宋体"/>
          <w:sz w:val="24"/>
          <w:szCs w:val="24"/>
        </w:rPr>
        <w:t xml:space="preserve">.</w:t>
      </w:r>
      <w:r>
        <w:rPr>
          <w:sz w:val="24"/>
        </w:rPr>
        <w:t xml:space="preserve">是</w:t>
      </w:r>
      <w:r>
        <w:rPr>
          <w:rFonts w:hint="eastAsia"/>
          <w:sz w:val="24"/>
        </w:rPr>
        <w:t xml:space="preserve">/</w:t>
      </w:r>
      <w:r>
        <w:rPr>
          <w:sz w:val="24"/>
        </w:rPr>
        <w:t xml:space="preserve">否接受</w:t>
      </w:r>
      <w:r>
        <w:rPr>
          <w:rFonts w:hint="eastAsia"/>
          <w:sz w:val="24"/>
        </w:rPr>
        <w:t xml:space="preserve">进口产品投标</w:t>
      </w:r>
      <w:r>
        <w:rPr>
          <w:rFonts w:hint="eastAsia" w:ascii="宋体" w:hAnsi="宋体"/>
          <w:sz w:val="24"/>
          <w:szCs w:val="24"/>
        </w:rPr>
        <w:t xml:space="preserve">：</w:t>
      </w:r>
      <w:r>
        <w:rPr>
          <w:rFonts w:ascii="宋体" w:hAnsi="宋体"/>
          <w:sz w:val="24"/>
          <w:szCs w:val="24"/>
        </w:rPr>
        <w:t xml:space="preserve">否</w:t>
      </w:r>
      <w:r>
        <w:rPr>
          <w:rFonts w:hint="eastAsia" w:ascii="宋体" w:hAnsi="宋体"/>
          <w:sz w:val="24"/>
          <w:szCs w:val="24"/>
        </w:rPr>
        <w:t xml:space="preserve">；</w:t>
      </w:r>
      <w:r/>
    </w:p>
    <w:p>
      <w:pPr>
        <w:spacing w:line="360" w:lineRule="auto"/>
        <w:rPr>
          <w:rFonts w:hint="eastAsia" w:ascii="宋体" w:hAnsi="宋体"/>
          <w:sz w:val="24"/>
          <w:szCs w:val="24"/>
        </w:rPr>
      </w:pPr>
      <w:r>
        <w:rPr>
          <w:rFonts w:hint="eastAsia" w:ascii="宋体" w:hAnsi="宋体"/>
          <w:sz w:val="24"/>
          <w:szCs w:val="24"/>
          <w:lang w:val="en-US" w:eastAsia="zh-CN"/>
        </w:rPr>
        <w:t xml:space="preserve">10</w:t>
      </w:r>
      <w:r>
        <w:rPr>
          <w:rFonts w:hint="eastAsia" w:ascii="宋体" w:hAnsi="宋体"/>
          <w:sz w:val="24"/>
          <w:szCs w:val="24"/>
        </w:rPr>
        <w:t xml:space="preserve">.</w:t>
      </w:r>
      <w:r>
        <w:rPr>
          <w:rFonts w:hint="eastAsia"/>
          <w:sz w:val="24"/>
        </w:rPr>
        <w:t xml:space="preserve">是/否</w:t>
      </w:r>
      <w:r>
        <w:rPr>
          <w:sz w:val="24"/>
        </w:rPr>
        <w:t xml:space="preserve">专门面向中小企业预留采购份额</w:t>
      </w:r>
      <w:r>
        <w:rPr>
          <w:rFonts w:hint="eastAsia" w:ascii="宋体" w:hAnsi="宋体"/>
          <w:sz w:val="24"/>
          <w:szCs w:val="24"/>
        </w:rPr>
        <w:t xml:space="preserve">：否；</w:t>
      </w:r>
      <w:r/>
    </w:p>
    <w:p>
      <w:pPr>
        <w:spacing w:line="360" w:lineRule="auto"/>
        <w:rPr>
          <w:sz w:val="24"/>
        </w:rPr>
      </w:pPr>
      <w:r>
        <w:rPr>
          <w:rFonts w:hint="eastAsia"/>
          <w:sz w:val="24"/>
        </w:rPr>
        <w:t xml:space="preserve">1</w:t>
      </w:r>
      <w:r>
        <w:rPr>
          <w:rFonts w:hint="eastAsia"/>
          <w:sz w:val="24"/>
          <w:lang w:val="en-US" w:eastAsia="zh-CN"/>
        </w:rPr>
        <w:t xml:space="preserve">1</w:t>
      </w:r>
      <w:r>
        <w:rPr>
          <w:rFonts w:hint="eastAsia"/>
          <w:sz w:val="24"/>
        </w:rPr>
        <w:t xml:space="preserve">.本项目的特定资格要求：无；</w:t>
      </w:r>
      <w:r/>
    </w:p>
    <w:p>
      <w:pPr>
        <w:spacing w:line="360" w:lineRule="auto"/>
        <w:rPr>
          <w:sz w:val="24"/>
        </w:rPr>
      </w:pPr>
      <w:r>
        <w:rPr>
          <w:rFonts w:hint="eastAsia"/>
          <w:sz w:val="24"/>
        </w:rPr>
        <w:t xml:space="preserve">1</w:t>
      </w:r>
      <w:r>
        <w:rPr>
          <w:rFonts w:hint="eastAsia"/>
          <w:sz w:val="24"/>
          <w:lang w:val="en-US" w:eastAsia="zh-CN"/>
        </w:rPr>
        <w:t xml:space="preserve">2</w:t>
      </w:r>
      <w:r>
        <w:rPr>
          <w:rFonts w:hint="eastAsia"/>
          <w:sz w:val="24"/>
        </w:rPr>
        <w:t xml:space="preserve">.项目类别：货物类；</w:t>
      </w:r>
      <w:r/>
    </w:p>
    <w:p>
      <w:pPr>
        <w:spacing w:line="400" w:lineRule="exact"/>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t xml:space="preserve">1</w:t>
      </w:r>
      <w:r>
        <w:rPr>
          <w:rFonts w:hint="eastAsia" w:asciiTheme="minorEastAsia" w:hAnsiTheme="minorEastAsia" w:eastAsiaTheme="minorEastAsia" w:cstheme="minorEastAsia"/>
          <w:b/>
          <w:bCs/>
          <w:color w:val="auto"/>
          <w:sz w:val="24"/>
          <w:lang w:val="en-US" w:eastAsia="zh-CN"/>
        </w:rPr>
        <w:t xml:space="preserve">3</w:t>
      </w:r>
      <w:r>
        <w:rPr>
          <w:rFonts w:hint="eastAsia" w:asciiTheme="minorEastAsia" w:hAnsiTheme="minorEastAsia" w:eastAsiaTheme="minorEastAsia" w:cstheme="minorEastAsia"/>
          <w:b/>
          <w:bCs/>
          <w:color w:val="auto"/>
          <w:sz w:val="24"/>
        </w:rPr>
        <w:t xml:space="preserve">.其他，统一安排现场踏勘，时间</w:t>
      </w:r>
      <w:r>
        <w:rPr>
          <w:rFonts w:hint="eastAsia" w:asciiTheme="minorEastAsia" w:hAnsiTheme="minorEastAsia" w:eastAsiaTheme="minorEastAsia" w:cstheme="minorEastAsia"/>
          <w:b/>
          <w:bCs/>
          <w:color w:val="auto"/>
          <w:sz w:val="24"/>
          <w:lang w:eastAsia="zh-CN"/>
        </w:rPr>
        <w:t xml:space="preserve">、</w:t>
      </w:r>
      <w:r>
        <w:rPr>
          <w:rFonts w:hint="eastAsia" w:asciiTheme="minorEastAsia" w:hAnsiTheme="minorEastAsia" w:eastAsiaTheme="minorEastAsia" w:cstheme="minorEastAsia"/>
          <w:b/>
          <w:bCs/>
          <w:color w:val="auto"/>
          <w:sz w:val="24"/>
          <w:lang w:val="en-US" w:eastAsia="zh-CN"/>
        </w:rPr>
        <w:t xml:space="preserve">地点、联系人详见以下安排表</w:t>
      </w:r>
      <w:r>
        <w:rPr>
          <w:rFonts w:hint="eastAsia" w:asciiTheme="minorEastAsia" w:hAnsiTheme="minorEastAsia" w:eastAsiaTheme="minorEastAsia" w:cstheme="minorEastAsia"/>
          <w:b/>
          <w:bCs/>
          <w:color w:val="auto"/>
          <w:sz w:val="24"/>
        </w:rPr>
        <w:t xml:space="preserve">。</w:t>
      </w:r>
      <w:r/>
    </w:p>
    <w:tbl>
      <w:tblPr>
        <w:tblStyle w:val="8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7"/>
        <w:gridCol w:w="3238"/>
        <w:gridCol w:w="1788"/>
        <w:gridCol w:w="1121"/>
        <w:gridCol w:w="1704"/>
      </w:tblGrid>
      <w:tr>
        <w:trPr/>
        <w:tc>
          <w:tcPr>
            <w:tcW w:w="667" w:type="dxa"/>
            <w:vAlign w:val="center"/>
            <w:textDirection w:val="lrTb"/>
            <w:noWrap w:val="false"/>
          </w:tcPr>
          <w:p>
            <w:pPr>
              <w:pStyle w:val="810"/>
              <w:ind w:left="0" w:firstLine="0"/>
              <w:jc w:val="center"/>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序号</w:t>
            </w:r>
            <w:r/>
          </w:p>
        </w:tc>
        <w:tc>
          <w:tcPr>
            <w:tcW w:w="3238" w:type="dxa"/>
            <w:vAlign w:val="center"/>
            <w:textDirection w:val="lrTb"/>
            <w:noWrap w:val="false"/>
          </w:tcPr>
          <w:p>
            <w:pPr>
              <w:pStyle w:val="810"/>
              <w:ind w:left="0" w:firstLine="0"/>
              <w:jc w:val="center"/>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单位名称</w:t>
            </w:r>
            <w:r/>
          </w:p>
        </w:tc>
        <w:tc>
          <w:tcPr>
            <w:tcW w:w="1788" w:type="dxa"/>
            <w:vAlign w:val="center"/>
            <w:textDirection w:val="lrTb"/>
            <w:noWrap w:val="false"/>
          </w:tcPr>
          <w:p>
            <w:pPr>
              <w:pStyle w:val="810"/>
              <w:ind w:left="0" w:firstLine="0"/>
              <w:jc w:val="center"/>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时间</w:t>
            </w:r>
            <w:r/>
          </w:p>
        </w:tc>
        <w:tc>
          <w:tcPr>
            <w:tcW w:w="1121" w:type="dxa"/>
            <w:vAlign w:val="center"/>
            <w:textDirection w:val="lrTb"/>
            <w:noWrap w:val="false"/>
          </w:tcPr>
          <w:p>
            <w:pPr>
              <w:pStyle w:val="810"/>
              <w:ind w:left="0" w:firstLine="0"/>
              <w:jc w:val="center"/>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联系人</w:t>
            </w:r>
            <w:r/>
          </w:p>
        </w:tc>
        <w:tc>
          <w:tcPr>
            <w:tcW w:w="1704" w:type="dxa"/>
            <w:vAlign w:val="center"/>
            <w:textDirection w:val="lrTb"/>
            <w:noWrap w:val="false"/>
          </w:tcPr>
          <w:p>
            <w:pPr>
              <w:pStyle w:val="810"/>
              <w:ind w:left="0" w:firstLine="0"/>
              <w:jc w:val="center"/>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联系电话</w:t>
            </w:r>
            <w:r/>
          </w:p>
        </w:tc>
      </w:tr>
      <w:tr>
        <w:trPr/>
        <w:tc>
          <w:tcPr>
            <w:tcW w:w="667" w:type="dxa"/>
            <w:vAlign w:val="center"/>
            <w:textDirection w:val="lrTb"/>
            <w:noWrap w:val="false"/>
          </w:tcPr>
          <w:p>
            <w:pPr>
              <w:pStyle w:val="810"/>
              <w:ind w:left="0" w:firstLine="0"/>
              <w:jc w:val="center"/>
              <w:rPr>
                <w:rFonts w:hint="default"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1</w:t>
            </w:r>
            <w:r/>
          </w:p>
        </w:tc>
        <w:tc>
          <w:tcPr>
            <w:shd w:val="clear" w:color="auto" w:fill="auto"/>
            <w:tcW w:w="3238" w:type="dxa"/>
            <w:vAlign w:val="center"/>
            <w:textDirection w:val="lrTb"/>
            <w:noWrap w:val="false"/>
          </w:tcPr>
          <w:p>
            <w:pPr>
              <w:jc w:val="center"/>
              <w:keepLines w:val="0"/>
              <w:keepNext w:val="0"/>
              <w:widowControl/>
              <w:rPr>
                <w:rFonts w:hint="eastAsia" w:ascii="宋体" w:hAnsi="宋体" w:eastAsia="宋体" w:cs="宋体"/>
                <w:color w:val="0000ff"/>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江苏省常州高级中学</w:t>
            </w:r>
            <w:r/>
          </w:p>
        </w:tc>
        <w:tc>
          <w:tcPr>
            <w:tcW w:w="1788" w:type="dxa"/>
            <w:vAlign w:val="center"/>
            <w:textDirection w:val="lrTb"/>
            <w:noWrap w:val="false"/>
          </w:tcPr>
          <w:p>
            <w:pPr>
              <w:pStyle w:val="810"/>
              <w:ind w:left="0" w:firstLine="0"/>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2026年7月1日</w:t>
            </w:r>
            <w:r/>
          </w:p>
        </w:tc>
        <w:tc>
          <w:tcPr>
            <w:tcW w:w="1121" w:type="dxa"/>
            <w:vAlign w:val="center"/>
            <w:textDirection w:val="lrTb"/>
            <w:noWrap w:val="false"/>
          </w:tcPr>
          <w:p>
            <w:pPr>
              <w:pStyle w:val="810"/>
              <w:ind w:left="0" w:firstLine="0"/>
              <w:jc w:val="center"/>
              <w:rPr>
                <w:rFonts w:hint="default" w:ascii="宋体" w:hAnsi="宋体" w:eastAsia="宋体" w:cs="宋体"/>
                <w:sz w:val="21"/>
                <w:szCs w:val="21"/>
                <w:vertAlign w:val="baseline"/>
                <w:lang w:val="en-US" w:eastAsia="zh-CN"/>
              </w:rPr>
            </w:pPr>
            <w:r>
              <w:rPr>
                <w:rFonts w:hint="eastAsia" w:ascii="宋体" w:hAnsi="宋体" w:cs="宋体"/>
                <w:sz w:val="21"/>
                <w:szCs w:val="21"/>
                <w:vertAlign w:val="baseline"/>
                <w:lang w:val="en-US" w:eastAsia="zh-CN"/>
              </w:rPr>
              <w:t xml:space="preserve">石老师</w:t>
            </w:r>
            <w:r/>
          </w:p>
        </w:tc>
        <w:tc>
          <w:tcPr>
            <w:tcW w:w="1704" w:type="dxa"/>
            <w:vAlign w:val="center"/>
            <w:textDirection w:val="lrTb"/>
            <w:noWrap w:val="false"/>
          </w:tcPr>
          <w:p>
            <w:pPr>
              <w:pStyle w:val="810"/>
              <w:ind w:left="0" w:firstLine="0"/>
              <w:jc w:val="center"/>
              <w:rPr>
                <w:rFonts w:hint="default" w:ascii="宋体" w:hAnsi="宋体" w:eastAsia="宋体" w:cs="宋体"/>
                <w:sz w:val="21"/>
                <w:szCs w:val="21"/>
                <w:vertAlign w:val="baseline"/>
                <w:lang w:val="en-US" w:eastAsia="zh-CN"/>
              </w:rPr>
            </w:pPr>
            <w:r>
              <w:rPr>
                <w:rFonts w:hint="eastAsia" w:ascii="宋体" w:hAnsi="宋体" w:cs="宋体"/>
                <w:sz w:val="21"/>
                <w:szCs w:val="21"/>
                <w:vertAlign w:val="baseline"/>
                <w:lang w:val="en-US" w:eastAsia="zh-CN"/>
              </w:rPr>
              <w:t xml:space="preserve">18961189230</w:t>
            </w:r>
            <w:r/>
          </w:p>
        </w:tc>
      </w:tr>
      <w:tr>
        <w:trPr/>
        <w:tc>
          <w:tcPr>
            <w:tcW w:w="667" w:type="dxa"/>
            <w:vAlign w:val="center"/>
            <w:textDirection w:val="lrTb"/>
            <w:noWrap w:val="false"/>
          </w:tcPr>
          <w:p>
            <w:pPr>
              <w:pStyle w:val="810"/>
              <w:ind w:left="0" w:firstLine="0"/>
              <w:jc w:val="center"/>
              <w:rPr>
                <w:rFonts w:hint="default" w:ascii="宋体" w:hAnsi="宋体" w:eastAsia="宋体" w:cs="宋体"/>
                <w:b w:val="0"/>
                <w:bCs w:val="0"/>
                <w:sz w:val="21"/>
                <w:szCs w:val="21"/>
                <w:vertAlign w:val="baseline"/>
                <w:lang w:val="en-US" w:eastAsia="zh-CN"/>
              </w:rPr>
            </w:pPr>
            <w:r>
              <w:rPr>
                <w:rFonts w:hint="eastAsia" w:ascii="宋体" w:hAnsi="宋体" w:cs="宋体"/>
                <w:b w:val="0"/>
                <w:bCs w:val="0"/>
                <w:sz w:val="21"/>
                <w:szCs w:val="21"/>
                <w:vertAlign w:val="baseline"/>
                <w:lang w:val="en-US" w:eastAsia="zh-CN"/>
              </w:rPr>
              <w:t xml:space="preserve">2</w:t>
            </w:r>
            <w:r/>
          </w:p>
        </w:tc>
        <w:tc>
          <w:tcPr>
            <w:shd w:val="clear" w:color="auto" w:fill="auto"/>
            <w:tcW w:w="3238"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常州市第一中学</w:t>
            </w:r>
            <w:r/>
          </w:p>
        </w:tc>
        <w:tc>
          <w:tcPr>
            <w:tcW w:w="1788" w:type="dxa"/>
            <w:vAlign w:val="center"/>
            <w:textDirection w:val="lrTb"/>
            <w:noWrap w:val="false"/>
          </w:tcPr>
          <w:p>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2026年7月1日</w:t>
            </w:r>
            <w:r/>
          </w:p>
        </w:tc>
        <w:tc>
          <w:tcPr>
            <w:tcW w:w="1121" w:type="dxa"/>
            <w:vAlign w:val="center"/>
            <w:textDirection w:val="lrTb"/>
            <w:noWrap w:val="false"/>
          </w:tcPr>
          <w:p>
            <w:pPr>
              <w:pStyle w:val="810"/>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朱老师</w:t>
            </w:r>
            <w:r/>
          </w:p>
        </w:tc>
        <w:tc>
          <w:tcPr>
            <w:tcW w:w="1704" w:type="dxa"/>
            <w:vAlign w:val="center"/>
            <w:textDirection w:val="lrTb"/>
            <w:noWrap w:val="false"/>
          </w:tcPr>
          <w:p>
            <w:pPr>
              <w:pStyle w:val="810"/>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13815054588</w:t>
            </w:r>
            <w:r/>
          </w:p>
        </w:tc>
      </w:tr>
      <w:tr>
        <w:trPr/>
        <w:tc>
          <w:tcPr>
            <w:tcW w:w="667" w:type="dxa"/>
            <w:vAlign w:val="center"/>
            <w:textDirection w:val="lrTb"/>
            <w:noWrap w:val="false"/>
          </w:tcPr>
          <w:p>
            <w:pPr>
              <w:pStyle w:val="810"/>
              <w:ind w:left="0" w:firstLine="0"/>
              <w:jc w:val="center"/>
              <w:rPr>
                <w:rFonts w:hint="default" w:ascii="宋体" w:hAnsi="宋体" w:eastAsia="宋体" w:cs="宋体"/>
                <w:b w:val="0"/>
                <w:bCs w:val="0"/>
                <w:sz w:val="21"/>
                <w:szCs w:val="21"/>
                <w:vertAlign w:val="baseline"/>
                <w:lang w:val="en-US" w:eastAsia="zh-CN"/>
              </w:rPr>
            </w:pPr>
            <w:r>
              <w:rPr>
                <w:rFonts w:hint="eastAsia" w:ascii="宋体" w:hAnsi="宋体" w:cs="宋体"/>
                <w:b w:val="0"/>
                <w:bCs w:val="0"/>
                <w:sz w:val="21"/>
                <w:szCs w:val="21"/>
                <w:vertAlign w:val="baseline"/>
                <w:lang w:val="en-US" w:eastAsia="zh-CN"/>
              </w:rPr>
              <w:t xml:space="preserve">3</w:t>
            </w:r>
            <w:r/>
          </w:p>
        </w:tc>
        <w:tc>
          <w:tcPr>
            <w:shd w:val="clear" w:color="auto" w:fill="auto"/>
            <w:tcW w:w="3238"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常州市北郊高级中学</w:t>
            </w:r>
            <w:r/>
          </w:p>
        </w:tc>
        <w:tc>
          <w:tcPr>
            <w:tcW w:w="1788" w:type="dxa"/>
            <w:vAlign w:val="center"/>
            <w:textDirection w:val="lrTb"/>
            <w:noWrap w:val="false"/>
          </w:tcPr>
          <w:p>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2026年7月1日</w:t>
            </w:r>
            <w:r/>
          </w:p>
        </w:tc>
        <w:tc>
          <w:tcPr>
            <w:tcW w:w="1121" w:type="dxa"/>
            <w:vAlign w:val="center"/>
            <w:textDirection w:val="lrTb"/>
            <w:noWrap w:val="false"/>
          </w:tcPr>
          <w:p>
            <w:pPr>
              <w:pStyle w:val="810"/>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钱老师</w:t>
            </w:r>
            <w:r/>
          </w:p>
        </w:tc>
        <w:tc>
          <w:tcPr>
            <w:tcW w:w="1704" w:type="dxa"/>
            <w:vAlign w:val="center"/>
            <w:textDirection w:val="lrTb"/>
            <w:noWrap w:val="false"/>
          </w:tcPr>
          <w:p>
            <w:pPr>
              <w:pStyle w:val="810"/>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13861022523</w:t>
            </w:r>
            <w:r/>
          </w:p>
        </w:tc>
      </w:tr>
      <w:tr>
        <w:trPr/>
        <w:tc>
          <w:tcPr>
            <w:tcW w:w="667" w:type="dxa"/>
            <w:vAlign w:val="center"/>
            <w:textDirection w:val="lrTb"/>
            <w:noWrap w:val="false"/>
          </w:tcPr>
          <w:p>
            <w:pPr>
              <w:pStyle w:val="810"/>
              <w:ind w:left="0" w:firstLine="0"/>
              <w:jc w:val="center"/>
              <w:rPr>
                <w:rFonts w:hint="default" w:ascii="宋体" w:hAnsi="宋体" w:eastAsia="宋体" w:cs="宋体"/>
                <w:b w:val="0"/>
                <w:bCs w:val="0"/>
                <w:sz w:val="21"/>
                <w:szCs w:val="21"/>
                <w:vertAlign w:val="baseline"/>
                <w:lang w:val="en-US" w:eastAsia="zh-CN"/>
              </w:rPr>
            </w:pPr>
            <w:r>
              <w:rPr>
                <w:rFonts w:hint="eastAsia" w:ascii="宋体" w:hAnsi="宋体" w:cs="宋体"/>
                <w:b w:val="0"/>
                <w:bCs w:val="0"/>
                <w:sz w:val="21"/>
                <w:szCs w:val="21"/>
                <w:vertAlign w:val="baseline"/>
                <w:lang w:val="en-US" w:eastAsia="zh-CN"/>
              </w:rPr>
              <w:t xml:space="preserve">4</w:t>
            </w:r>
            <w:r/>
          </w:p>
        </w:tc>
        <w:tc>
          <w:tcPr>
            <w:shd w:val="clear" w:color="auto" w:fill="auto"/>
            <w:tcW w:w="3238"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常州市第二中学</w:t>
            </w:r>
            <w:r/>
          </w:p>
        </w:tc>
        <w:tc>
          <w:tcPr>
            <w:tcW w:w="1788" w:type="dxa"/>
            <w:vAlign w:val="center"/>
            <w:textDirection w:val="lrTb"/>
            <w:noWrap w:val="false"/>
          </w:tcPr>
          <w:p>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2026年7月1日</w:t>
            </w:r>
            <w:r/>
          </w:p>
        </w:tc>
        <w:tc>
          <w:tcPr>
            <w:tcW w:w="1121" w:type="dxa"/>
            <w:vAlign w:val="center"/>
            <w:textDirection w:val="lrTb"/>
            <w:noWrap w:val="false"/>
          </w:tcPr>
          <w:p>
            <w:pPr>
              <w:pStyle w:val="810"/>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赵老师</w:t>
            </w:r>
            <w:r/>
          </w:p>
        </w:tc>
        <w:tc>
          <w:tcPr>
            <w:tcW w:w="1704" w:type="dxa"/>
            <w:vAlign w:val="center"/>
            <w:textDirection w:val="lrTb"/>
            <w:noWrap w:val="false"/>
          </w:tcPr>
          <w:p>
            <w:pPr>
              <w:pStyle w:val="810"/>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15206121652</w:t>
            </w:r>
            <w:r/>
          </w:p>
        </w:tc>
      </w:tr>
      <w:tr>
        <w:trPr/>
        <w:tc>
          <w:tcPr>
            <w:tcW w:w="667" w:type="dxa"/>
            <w:vAlign w:val="center"/>
            <w:textDirection w:val="lrTb"/>
            <w:noWrap w:val="false"/>
          </w:tcPr>
          <w:p>
            <w:pPr>
              <w:pStyle w:val="810"/>
              <w:ind w:left="0" w:firstLine="0"/>
              <w:jc w:val="center"/>
              <w:rPr>
                <w:rFonts w:hint="default" w:ascii="宋体" w:hAnsi="宋体" w:eastAsia="宋体" w:cs="宋体"/>
                <w:b w:val="0"/>
                <w:bCs w:val="0"/>
                <w:sz w:val="21"/>
                <w:szCs w:val="21"/>
                <w:vertAlign w:val="baseline"/>
                <w:lang w:val="en-US" w:eastAsia="zh-CN"/>
              </w:rPr>
            </w:pPr>
            <w:r>
              <w:rPr>
                <w:rFonts w:hint="eastAsia" w:ascii="宋体" w:hAnsi="宋体" w:cs="宋体"/>
                <w:b w:val="0"/>
                <w:bCs w:val="0"/>
                <w:sz w:val="21"/>
                <w:szCs w:val="21"/>
                <w:vertAlign w:val="baseline"/>
                <w:lang w:val="en-US" w:eastAsia="zh-CN"/>
              </w:rPr>
              <w:t xml:space="preserve">5</w:t>
            </w:r>
            <w:r/>
          </w:p>
        </w:tc>
        <w:tc>
          <w:tcPr>
            <w:shd w:val="clear" w:color="auto" w:fill="auto"/>
            <w:tcW w:w="3238"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常州市第三中学</w:t>
            </w:r>
            <w:r/>
          </w:p>
        </w:tc>
        <w:tc>
          <w:tcPr>
            <w:tcW w:w="1788" w:type="dxa"/>
            <w:vAlign w:val="center"/>
            <w:textDirection w:val="lrTb"/>
            <w:noWrap w:val="false"/>
          </w:tcPr>
          <w:p>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2026年7月1日</w:t>
            </w:r>
            <w:r/>
          </w:p>
        </w:tc>
        <w:tc>
          <w:tcPr>
            <w:tcW w:w="1121" w:type="dxa"/>
            <w:vAlign w:val="center"/>
            <w:textDirection w:val="lrTb"/>
            <w:noWrap w:val="false"/>
          </w:tcPr>
          <w:p>
            <w:pPr>
              <w:pStyle w:val="810"/>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夏老师</w:t>
            </w:r>
            <w:r/>
          </w:p>
        </w:tc>
        <w:tc>
          <w:tcPr>
            <w:tcW w:w="1704" w:type="dxa"/>
            <w:vAlign w:val="center"/>
            <w:textDirection w:val="lrTb"/>
            <w:noWrap w:val="false"/>
          </w:tcPr>
          <w:p>
            <w:pPr>
              <w:pStyle w:val="810"/>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13776858317</w:t>
            </w:r>
            <w:r/>
          </w:p>
        </w:tc>
      </w:tr>
      <w:tr>
        <w:trPr/>
        <w:tc>
          <w:tcPr>
            <w:tcW w:w="667" w:type="dxa"/>
            <w:vAlign w:val="center"/>
            <w:textDirection w:val="lrTb"/>
            <w:noWrap w:val="false"/>
          </w:tcPr>
          <w:p>
            <w:pPr>
              <w:pStyle w:val="810"/>
              <w:ind w:left="0" w:firstLine="0"/>
              <w:jc w:val="center"/>
              <w:rPr>
                <w:rFonts w:hint="default" w:ascii="宋体" w:hAnsi="宋体" w:eastAsia="宋体" w:cs="宋体"/>
                <w:b w:val="0"/>
                <w:bCs w:val="0"/>
                <w:sz w:val="21"/>
                <w:szCs w:val="21"/>
                <w:vertAlign w:val="baseline"/>
                <w:lang w:val="en-US" w:eastAsia="zh-CN"/>
              </w:rPr>
            </w:pPr>
            <w:r>
              <w:rPr>
                <w:rFonts w:hint="eastAsia" w:ascii="宋体" w:hAnsi="宋体" w:cs="宋体"/>
                <w:b w:val="0"/>
                <w:bCs w:val="0"/>
                <w:sz w:val="21"/>
                <w:szCs w:val="21"/>
                <w:vertAlign w:val="baseline"/>
                <w:lang w:val="en-US" w:eastAsia="zh-CN"/>
              </w:rPr>
              <w:t xml:space="preserve">6</w:t>
            </w:r>
            <w:r/>
          </w:p>
        </w:tc>
        <w:tc>
          <w:tcPr>
            <w:shd w:val="clear" w:color="auto" w:fill="auto"/>
            <w:tcW w:w="3238"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常州市田家炳高级中学</w:t>
            </w:r>
            <w:r/>
          </w:p>
        </w:tc>
        <w:tc>
          <w:tcPr>
            <w:tcW w:w="1788" w:type="dxa"/>
            <w:vAlign w:val="center"/>
            <w:textDirection w:val="lrTb"/>
            <w:noWrap w:val="false"/>
          </w:tcPr>
          <w:p>
            <w:pPr>
              <w:pStyle w:val="810"/>
              <w:ind w:left="0" w:firstLine="0"/>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2026年7月1日</w:t>
            </w:r>
            <w:r/>
          </w:p>
        </w:tc>
        <w:tc>
          <w:tcPr>
            <w:tcW w:w="1121" w:type="dxa"/>
            <w:vAlign w:val="center"/>
            <w:textDirection w:val="lrTb"/>
            <w:noWrap w:val="false"/>
          </w:tcPr>
          <w:p>
            <w:pPr>
              <w:pStyle w:val="810"/>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胡老师</w:t>
            </w:r>
            <w:r/>
          </w:p>
        </w:tc>
        <w:tc>
          <w:tcPr>
            <w:tcW w:w="1704" w:type="dxa"/>
            <w:vAlign w:val="center"/>
            <w:textDirection w:val="lrTb"/>
            <w:noWrap w:val="false"/>
          </w:tcPr>
          <w:p>
            <w:pPr>
              <w:pStyle w:val="810"/>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18951221165</w:t>
            </w:r>
            <w:r/>
          </w:p>
        </w:tc>
      </w:tr>
      <w:tr>
        <w:trPr/>
        <w:tc>
          <w:tcPr>
            <w:tcW w:w="667" w:type="dxa"/>
            <w:vAlign w:val="center"/>
            <w:textDirection w:val="lrTb"/>
            <w:noWrap w:val="false"/>
          </w:tcPr>
          <w:p>
            <w:pPr>
              <w:pStyle w:val="810"/>
              <w:ind w:left="0" w:firstLine="0"/>
              <w:jc w:val="center"/>
              <w:rPr>
                <w:rFonts w:hint="default" w:ascii="宋体" w:hAnsi="宋体" w:eastAsia="宋体" w:cs="宋体"/>
                <w:b w:val="0"/>
                <w:bCs w:val="0"/>
                <w:sz w:val="21"/>
                <w:szCs w:val="21"/>
                <w:vertAlign w:val="baseline"/>
                <w:lang w:val="en-US" w:eastAsia="zh-CN"/>
              </w:rPr>
            </w:pPr>
            <w:r>
              <w:rPr>
                <w:rFonts w:hint="eastAsia" w:ascii="宋体" w:hAnsi="宋体" w:cs="宋体"/>
                <w:b w:val="0"/>
                <w:bCs w:val="0"/>
                <w:sz w:val="21"/>
                <w:szCs w:val="21"/>
                <w:vertAlign w:val="baseline"/>
                <w:lang w:val="en-US" w:eastAsia="zh-CN"/>
              </w:rPr>
              <w:t xml:space="preserve">7</w:t>
            </w:r>
            <w:r/>
          </w:p>
        </w:tc>
        <w:tc>
          <w:tcPr>
            <w:shd w:val="clear" w:color="auto" w:fill="auto"/>
            <w:tcW w:w="3238"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常州市第五中学</w:t>
            </w:r>
            <w:r/>
          </w:p>
        </w:tc>
        <w:tc>
          <w:tcPr>
            <w:tcW w:w="1788" w:type="dxa"/>
            <w:vAlign w:val="center"/>
            <w:textDirection w:val="lrTb"/>
            <w:noWrap w:val="false"/>
          </w:tcPr>
          <w:p>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2026年7月1日</w:t>
            </w:r>
            <w:r/>
          </w:p>
        </w:tc>
        <w:tc>
          <w:tcPr>
            <w:tcW w:w="1121" w:type="dxa"/>
            <w:vAlign w:val="center"/>
            <w:textDirection w:val="lrTb"/>
            <w:noWrap w:val="false"/>
          </w:tcPr>
          <w:p>
            <w:pPr>
              <w:pStyle w:val="810"/>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宋老师</w:t>
            </w:r>
            <w:r/>
          </w:p>
        </w:tc>
        <w:tc>
          <w:tcPr>
            <w:tcW w:w="1704" w:type="dxa"/>
            <w:vAlign w:val="center"/>
            <w:textDirection w:val="lrTb"/>
            <w:noWrap w:val="false"/>
          </w:tcPr>
          <w:p>
            <w:pPr>
              <w:pStyle w:val="810"/>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15961114201</w:t>
            </w:r>
            <w:r/>
          </w:p>
        </w:tc>
      </w:tr>
      <w:tr>
        <w:trPr/>
        <w:tc>
          <w:tcPr>
            <w:tcW w:w="667" w:type="dxa"/>
            <w:vAlign w:val="center"/>
            <w:textDirection w:val="lrTb"/>
            <w:noWrap w:val="false"/>
          </w:tcPr>
          <w:p>
            <w:pPr>
              <w:pStyle w:val="810"/>
              <w:ind w:left="0" w:firstLine="0"/>
              <w:jc w:val="center"/>
              <w:rPr>
                <w:rFonts w:hint="default" w:ascii="宋体" w:hAnsi="宋体" w:eastAsia="宋体" w:cs="宋体"/>
                <w:b w:val="0"/>
                <w:bCs w:val="0"/>
                <w:sz w:val="21"/>
                <w:szCs w:val="21"/>
                <w:vertAlign w:val="baseline"/>
                <w:lang w:val="en-US" w:eastAsia="zh-CN"/>
              </w:rPr>
            </w:pPr>
            <w:r>
              <w:rPr>
                <w:rFonts w:hint="eastAsia" w:ascii="宋体" w:hAnsi="宋体" w:cs="宋体"/>
                <w:b w:val="0"/>
                <w:bCs w:val="0"/>
                <w:sz w:val="21"/>
                <w:szCs w:val="21"/>
                <w:vertAlign w:val="baseline"/>
                <w:lang w:val="en-US" w:eastAsia="zh-CN"/>
              </w:rPr>
              <w:t xml:space="preserve">8</w:t>
            </w:r>
            <w:r/>
          </w:p>
        </w:tc>
        <w:tc>
          <w:tcPr>
            <w:shd w:val="clear" w:color="auto" w:fill="auto"/>
            <w:tcW w:w="3238"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常州市戚墅堰高级中学</w:t>
            </w:r>
            <w:r/>
          </w:p>
        </w:tc>
        <w:tc>
          <w:tcPr>
            <w:tcW w:w="1788" w:type="dxa"/>
            <w:vAlign w:val="center"/>
            <w:textDirection w:val="lrTb"/>
            <w:noWrap w:val="false"/>
          </w:tcPr>
          <w:p>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2026年7月1日</w:t>
            </w:r>
            <w:r/>
          </w:p>
        </w:tc>
        <w:tc>
          <w:tcPr>
            <w:tcW w:w="1121" w:type="dxa"/>
            <w:vAlign w:val="center"/>
            <w:textDirection w:val="lrTb"/>
            <w:noWrap w:val="false"/>
          </w:tcPr>
          <w:p>
            <w:pPr>
              <w:pStyle w:val="810"/>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付老师</w:t>
            </w:r>
            <w:r/>
          </w:p>
        </w:tc>
        <w:tc>
          <w:tcPr>
            <w:tcW w:w="1704" w:type="dxa"/>
            <w:vAlign w:val="center"/>
            <w:textDirection w:val="lrTb"/>
            <w:noWrap w:val="false"/>
          </w:tcPr>
          <w:p>
            <w:pPr>
              <w:pStyle w:val="810"/>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18961189372</w:t>
            </w:r>
            <w:r/>
          </w:p>
        </w:tc>
      </w:tr>
      <w:tr>
        <w:trPr/>
        <w:tc>
          <w:tcPr>
            <w:tcW w:w="667" w:type="dxa"/>
            <w:vAlign w:val="center"/>
            <w:textDirection w:val="lrTb"/>
            <w:noWrap w:val="false"/>
          </w:tcPr>
          <w:p>
            <w:pPr>
              <w:pStyle w:val="810"/>
              <w:ind w:left="0" w:firstLine="0"/>
              <w:jc w:val="center"/>
              <w:rPr>
                <w:rFonts w:hint="default" w:ascii="宋体" w:hAnsi="宋体" w:eastAsia="宋体" w:cs="宋体"/>
                <w:b w:val="0"/>
                <w:bCs w:val="0"/>
                <w:sz w:val="21"/>
                <w:szCs w:val="21"/>
                <w:vertAlign w:val="baseline"/>
                <w:lang w:val="en-US" w:eastAsia="zh-CN"/>
              </w:rPr>
            </w:pPr>
            <w:r>
              <w:rPr>
                <w:rFonts w:hint="eastAsia" w:ascii="宋体" w:hAnsi="宋体" w:cs="宋体"/>
                <w:b w:val="0"/>
                <w:bCs w:val="0"/>
                <w:sz w:val="21"/>
                <w:szCs w:val="21"/>
                <w:vertAlign w:val="baseline"/>
                <w:lang w:val="en-US" w:eastAsia="zh-CN"/>
              </w:rPr>
              <w:t xml:space="preserve">9</w:t>
            </w:r>
            <w:r/>
          </w:p>
        </w:tc>
        <w:tc>
          <w:tcPr>
            <w:shd w:val="clear" w:color="auto" w:fill="auto"/>
            <w:tcW w:w="3238"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常州市正行中学</w:t>
            </w:r>
            <w:r/>
          </w:p>
        </w:tc>
        <w:tc>
          <w:tcPr>
            <w:tcW w:w="1788" w:type="dxa"/>
            <w:vAlign w:val="center"/>
            <w:textDirection w:val="lrTb"/>
            <w:noWrap w:val="false"/>
          </w:tcPr>
          <w:p>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2026年7月1日</w:t>
            </w:r>
            <w:r/>
          </w:p>
        </w:tc>
        <w:tc>
          <w:tcPr>
            <w:tcW w:w="1121" w:type="dxa"/>
            <w:vAlign w:val="center"/>
            <w:textDirection w:val="lrTb"/>
            <w:noWrap w:val="false"/>
          </w:tcPr>
          <w:p>
            <w:pPr>
              <w:pStyle w:val="810"/>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贺老师</w:t>
            </w:r>
            <w:r/>
          </w:p>
        </w:tc>
        <w:tc>
          <w:tcPr>
            <w:tcW w:w="1704" w:type="dxa"/>
            <w:vAlign w:val="center"/>
            <w:textDirection w:val="lrTb"/>
            <w:noWrap w:val="false"/>
          </w:tcPr>
          <w:p>
            <w:pPr>
              <w:pStyle w:val="810"/>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15151977171</w:t>
            </w:r>
            <w:r/>
          </w:p>
        </w:tc>
      </w:tr>
      <w:tr>
        <w:trPr/>
        <w:tc>
          <w:tcPr>
            <w:tcW w:w="667" w:type="dxa"/>
            <w:vAlign w:val="center"/>
            <w:textDirection w:val="lrTb"/>
            <w:noWrap w:val="false"/>
          </w:tcPr>
          <w:p>
            <w:pPr>
              <w:pStyle w:val="810"/>
              <w:ind w:left="0" w:firstLine="0"/>
              <w:jc w:val="center"/>
              <w:rPr>
                <w:rFonts w:hint="default" w:ascii="宋体" w:hAnsi="宋体" w:eastAsia="宋体" w:cs="宋体"/>
                <w:b w:val="0"/>
                <w:bCs w:val="0"/>
                <w:sz w:val="21"/>
                <w:szCs w:val="21"/>
                <w:vertAlign w:val="baseline"/>
                <w:lang w:val="en-US" w:eastAsia="zh-CN"/>
              </w:rPr>
            </w:pPr>
            <w:r>
              <w:rPr>
                <w:rFonts w:hint="eastAsia" w:ascii="宋体" w:hAnsi="宋体" w:cs="宋体"/>
                <w:b w:val="0"/>
                <w:bCs w:val="0"/>
                <w:sz w:val="21"/>
                <w:szCs w:val="21"/>
                <w:vertAlign w:val="baseline"/>
                <w:lang w:val="en-US" w:eastAsia="zh-CN"/>
              </w:rPr>
              <w:t xml:space="preserve">10</w:t>
            </w:r>
            <w:r/>
          </w:p>
        </w:tc>
        <w:tc>
          <w:tcPr>
            <w:shd w:val="clear" w:color="auto" w:fill="auto"/>
            <w:tcW w:w="3238"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常州市教科院附属高级中学</w:t>
            </w:r>
            <w:r/>
          </w:p>
        </w:tc>
        <w:tc>
          <w:tcPr>
            <w:tcW w:w="1788" w:type="dxa"/>
            <w:vAlign w:val="center"/>
            <w:textDirection w:val="lrTb"/>
            <w:noWrap w:val="false"/>
          </w:tcPr>
          <w:p>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2026年7月1日</w:t>
            </w:r>
            <w:r/>
          </w:p>
        </w:tc>
        <w:tc>
          <w:tcPr>
            <w:tcW w:w="1121" w:type="dxa"/>
            <w:vAlign w:val="center"/>
            <w:textDirection w:val="lrTb"/>
            <w:noWrap w:val="false"/>
          </w:tcPr>
          <w:p>
            <w:pPr>
              <w:pStyle w:val="810"/>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沈老师</w:t>
            </w:r>
            <w:r/>
          </w:p>
        </w:tc>
        <w:tc>
          <w:tcPr>
            <w:tcW w:w="1704" w:type="dxa"/>
            <w:vAlign w:val="center"/>
            <w:textDirection w:val="lrTb"/>
            <w:noWrap w:val="false"/>
          </w:tcPr>
          <w:p>
            <w:pPr>
              <w:pStyle w:val="810"/>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13358170687</w:t>
            </w:r>
            <w:r/>
          </w:p>
        </w:tc>
      </w:tr>
      <w:tr>
        <w:trPr/>
        <w:tc>
          <w:tcPr>
            <w:tcW w:w="667" w:type="dxa"/>
            <w:vAlign w:val="center"/>
            <w:textDirection w:val="lrTb"/>
            <w:noWrap w:val="false"/>
          </w:tcPr>
          <w:p>
            <w:pPr>
              <w:pStyle w:val="810"/>
              <w:ind w:left="0" w:firstLine="0"/>
              <w:jc w:val="center"/>
              <w:rPr>
                <w:rFonts w:hint="default" w:ascii="宋体" w:hAnsi="宋体" w:eastAsia="宋体" w:cs="宋体"/>
                <w:b w:val="0"/>
                <w:bCs w:val="0"/>
                <w:sz w:val="21"/>
                <w:szCs w:val="21"/>
                <w:vertAlign w:val="baseline"/>
                <w:lang w:val="en-US" w:eastAsia="zh-CN"/>
              </w:rPr>
            </w:pPr>
            <w:r>
              <w:rPr>
                <w:rFonts w:hint="eastAsia" w:ascii="宋体" w:hAnsi="宋体" w:cs="宋体"/>
                <w:b w:val="0"/>
                <w:bCs w:val="0"/>
                <w:sz w:val="21"/>
                <w:szCs w:val="21"/>
                <w:vertAlign w:val="baseline"/>
                <w:lang w:val="en-US" w:eastAsia="zh-CN"/>
              </w:rPr>
              <w:t xml:space="preserve">11</w:t>
            </w:r>
            <w:r/>
          </w:p>
        </w:tc>
        <w:tc>
          <w:tcPr>
            <w:shd w:val="clear" w:color="auto" w:fill="auto"/>
            <w:tcW w:w="3238"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常州市龙城高级中学</w:t>
            </w:r>
            <w:r/>
          </w:p>
        </w:tc>
        <w:tc>
          <w:tcPr>
            <w:tcW w:w="1788" w:type="dxa"/>
            <w:vAlign w:val="center"/>
            <w:textDirection w:val="lrTb"/>
            <w:noWrap w:val="false"/>
          </w:tcPr>
          <w:p>
            <w:pPr>
              <w:pStyle w:val="810"/>
              <w:ind w:left="0" w:firstLine="0"/>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2026年7月1日</w:t>
            </w:r>
            <w:r/>
          </w:p>
        </w:tc>
        <w:tc>
          <w:tcPr>
            <w:tcW w:w="1121" w:type="dxa"/>
            <w:vAlign w:val="center"/>
            <w:textDirection w:val="lrTb"/>
            <w:noWrap w:val="false"/>
          </w:tcPr>
          <w:p>
            <w:pPr>
              <w:pStyle w:val="810"/>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王老师</w:t>
            </w:r>
            <w:r/>
          </w:p>
        </w:tc>
        <w:tc>
          <w:tcPr>
            <w:tcW w:w="1704" w:type="dxa"/>
            <w:vAlign w:val="center"/>
            <w:textDirection w:val="lrTb"/>
            <w:noWrap w:val="false"/>
          </w:tcPr>
          <w:p>
            <w:pPr>
              <w:pStyle w:val="810"/>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13584533317</w:t>
            </w:r>
            <w:r/>
          </w:p>
        </w:tc>
      </w:tr>
      <w:tr>
        <w:trPr/>
        <w:tc>
          <w:tcPr>
            <w:tcW w:w="667" w:type="dxa"/>
            <w:vAlign w:val="center"/>
            <w:textDirection w:val="lrTb"/>
            <w:noWrap w:val="false"/>
          </w:tcPr>
          <w:p>
            <w:pPr>
              <w:pStyle w:val="810"/>
              <w:ind w:left="0" w:firstLine="0"/>
              <w:jc w:val="center"/>
              <w:rPr>
                <w:rFonts w:hint="default" w:ascii="宋体" w:hAnsi="宋体" w:eastAsia="宋体" w:cs="宋体"/>
                <w:b w:val="0"/>
                <w:bCs w:val="0"/>
                <w:sz w:val="21"/>
                <w:szCs w:val="21"/>
                <w:vertAlign w:val="baseline"/>
                <w:lang w:val="en-US" w:eastAsia="zh-CN"/>
              </w:rPr>
            </w:pPr>
            <w:r>
              <w:rPr>
                <w:rFonts w:hint="eastAsia" w:ascii="宋体" w:hAnsi="宋体" w:cs="宋体"/>
                <w:b w:val="0"/>
                <w:bCs w:val="0"/>
                <w:sz w:val="21"/>
                <w:szCs w:val="21"/>
                <w:vertAlign w:val="baseline"/>
                <w:lang w:val="en-US" w:eastAsia="zh-CN"/>
              </w:rPr>
              <w:t xml:space="preserve">12</w:t>
            </w:r>
            <w:r/>
          </w:p>
        </w:tc>
        <w:tc>
          <w:tcPr>
            <w:shd w:val="clear" w:color="auto" w:fill="auto"/>
            <w:tcW w:w="3238"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常州市三河口高级中学</w:t>
            </w:r>
            <w:r/>
          </w:p>
        </w:tc>
        <w:tc>
          <w:tcPr>
            <w:tcW w:w="1788" w:type="dxa"/>
            <w:vAlign w:val="center"/>
            <w:textDirection w:val="lrTb"/>
            <w:noWrap w:val="false"/>
          </w:tcPr>
          <w:p>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2026年7月1日</w:t>
            </w:r>
            <w:r/>
          </w:p>
        </w:tc>
        <w:tc>
          <w:tcPr>
            <w:tcW w:w="1121" w:type="dxa"/>
            <w:vAlign w:val="center"/>
            <w:textDirection w:val="lrTb"/>
            <w:noWrap w:val="false"/>
          </w:tcPr>
          <w:p>
            <w:pPr>
              <w:pStyle w:val="810"/>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李老师</w:t>
            </w:r>
            <w:r/>
          </w:p>
        </w:tc>
        <w:tc>
          <w:tcPr>
            <w:tcW w:w="1704" w:type="dxa"/>
            <w:vAlign w:val="center"/>
            <w:textDirection w:val="lrTb"/>
            <w:noWrap w:val="false"/>
          </w:tcPr>
          <w:p>
            <w:pPr>
              <w:pStyle w:val="810"/>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13861132901</w:t>
            </w:r>
            <w:r/>
          </w:p>
        </w:tc>
      </w:tr>
      <w:tr>
        <w:trPr/>
        <w:tc>
          <w:tcPr>
            <w:tcW w:w="667" w:type="dxa"/>
            <w:vAlign w:val="center"/>
            <w:textDirection w:val="lrTb"/>
            <w:noWrap w:val="false"/>
          </w:tcPr>
          <w:p>
            <w:pPr>
              <w:pStyle w:val="810"/>
              <w:ind w:left="0" w:firstLine="0"/>
              <w:jc w:val="center"/>
              <w:rPr>
                <w:rFonts w:hint="default" w:ascii="宋体" w:hAnsi="宋体" w:eastAsia="宋体" w:cs="宋体"/>
                <w:b w:val="0"/>
                <w:bCs w:val="0"/>
                <w:sz w:val="21"/>
                <w:szCs w:val="21"/>
                <w:vertAlign w:val="baseline"/>
                <w:lang w:val="en-US" w:eastAsia="zh-CN"/>
              </w:rPr>
            </w:pPr>
            <w:r>
              <w:rPr>
                <w:rFonts w:hint="eastAsia" w:ascii="宋体" w:hAnsi="宋体" w:cs="宋体"/>
                <w:b w:val="0"/>
                <w:bCs w:val="0"/>
                <w:sz w:val="21"/>
                <w:szCs w:val="21"/>
                <w:vertAlign w:val="baseline"/>
                <w:lang w:val="en-US" w:eastAsia="zh-CN"/>
              </w:rPr>
              <w:t xml:space="preserve">13</w:t>
            </w:r>
            <w:r/>
          </w:p>
        </w:tc>
        <w:tc>
          <w:tcPr>
            <w:shd w:val="clear" w:color="auto" w:fill="auto"/>
            <w:tcW w:w="3238"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常州刘国钧高等职业技术学校</w:t>
            </w:r>
            <w:r/>
          </w:p>
        </w:tc>
        <w:tc>
          <w:tcPr>
            <w:tcW w:w="1788" w:type="dxa"/>
            <w:vAlign w:val="center"/>
            <w:textDirection w:val="lrTb"/>
            <w:noWrap w:val="false"/>
          </w:tcPr>
          <w:p>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2026年7月</w:t>
            </w:r>
            <w:r>
              <w:rPr>
                <w:rFonts w:hint="eastAsia" w:ascii="宋体" w:hAnsi="宋体" w:cs="宋体"/>
                <w:sz w:val="21"/>
                <w:szCs w:val="21"/>
                <w:vertAlign w:val="baseline"/>
                <w:lang w:val="en-US" w:eastAsia="zh-CN"/>
              </w:rPr>
              <w:t xml:space="preserve">2</w:t>
            </w:r>
            <w:r>
              <w:rPr>
                <w:rFonts w:hint="eastAsia" w:ascii="宋体" w:hAnsi="宋体" w:eastAsia="宋体" w:cs="宋体"/>
                <w:sz w:val="21"/>
                <w:szCs w:val="21"/>
                <w:vertAlign w:val="baseline"/>
                <w:lang w:val="en-US" w:eastAsia="zh-CN"/>
              </w:rPr>
              <w:t xml:space="preserve">日</w:t>
            </w:r>
            <w:r/>
          </w:p>
        </w:tc>
        <w:tc>
          <w:tcPr>
            <w:tcW w:w="1121" w:type="dxa"/>
            <w:vAlign w:val="center"/>
            <w:textDirection w:val="lrTb"/>
            <w:noWrap w:val="false"/>
          </w:tcPr>
          <w:p>
            <w:pPr>
              <w:pStyle w:val="810"/>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张老师</w:t>
            </w:r>
            <w:r/>
          </w:p>
        </w:tc>
        <w:tc>
          <w:tcPr>
            <w:tcW w:w="1704" w:type="dxa"/>
            <w:vAlign w:val="center"/>
            <w:textDirection w:val="lrTb"/>
            <w:noWrap w:val="false"/>
          </w:tcPr>
          <w:p>
            <w:pPr>
              <w:pStyle w:val="810"/>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15301523112</w:t>
            </w:r>
            <w:r/>
          </w:p>
        </w:tc>
      </w:tr>
      <w:tr>
        <w:trPr/>
        <w:tc>
          <w:tcPr>
            <w:tcW w:w="667" w:type="dxa"/>
            <w:vAlign w:val="center"/>
            <w:textDirection w:val="lrTb"/>
            <w:noWrap w:val="false"/>
          </w:tcPr>
          <w:p>
            <w:pPr>
              <w:pStyle w:val="810"/>
              <w:ind w:left="0" w:firstLine="0"/>
              <w:jc w:val="center"/>
              <w:rPr>
                <w:rFonts w:hint="default" w:ascii="宋体" w:hAnsi="宋体" w:eastAsia="宋体" w:cs="宋体"/>
                <w:b w:val="0"/>
                <w:bCs w:val="0"/>
                <w:sz w:val="21"/>
                <w:szCs w:val="21"/>
                <w:vertAlign w:val="baseline"/>
                <w:lang w:val="en-US" w:eastAsia="zh-CN"/>
              </w:rPr>
            </w:pPr>
            <w:r>
              <w:rPr>
                <w:rFonts w:hint="eastAsia" w:ascii="宋体" w:hAnsi="宋体" w:cs="宋体"/>
                <w:b w:val="0"/>
                <w:bCs w:val="0"/>
                <w:sz w:val="21"/>
                <w:szCs w:val="21"/>
                <w:vertAlign w:val="baseline"/>
                <w:lang w:val="en-US" w:eastAsia="zh-CN"/>
              </w:rPr>
              <w:t xml:space="preserve">14</w:t>
            </w:r>
            <w:r/>
          </w:p>
        </w:tc>
        <w:tc>
          <w:tcPr>
            <w:shd w:val="clear" w:color="auto" w:fill="auto"/>
            <w:tcW w:w="3238"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常州开放大学</w:t>
            </w:r>
            <w:r/>
          </w:p>
        </w:tc>
        <w:tc>
          <w:tcPr>
            <w:tcW w:w="1788" w:type="dxa"/>
            <w:vAlign w:val="center"/>
            <w:textDirection w:val="lrTb"/>
            <w:noWrap w:val="false"/>
          </w:tcPr>
          <w:p>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2026年7月</w:t>
            </w:r>
            <w:r>
              <w:rPr>
                <w:rFonts w:hint="eastAsia" w:ascii="宋体" w:hAnsi="宋体" w:cs="宋体"/>
                <w:sz w:val="21"/>
                <w:szCs w:val="21"/>
                <w:vertAlign w:val="baseline"/>
                <w:lang w:val="en-US" w:eastAsia="zh-CN"/>
              </w:rPr>
              <w:t xml:space="preserve">2</w:t>
            </w:r>
            <w:r>
              <w:rPr>
                <w:rFonts w:hint="eastAsia" w:ascii="宋体" w:hAnsi="宋体" w:eastAsia="宋体" w:cs="宋体"/>
                <w:sz w:val="21"/>
                <w:szCs w:val="21"/>
                <w:vertAlign w:val="baseline"/>
                <w:lang w:val="en-US" w:eastAsia="zh-CN"/>
              </w:rPr>
              <w:t xml:space="preserve">日</w:t>
            </w:r>
            <w:r/>
          </w:p>
        </w:tc>
        <w:tc>
          <w:tcPr>
            <w:tcW w:w="1121" w:type="dxa"/>
            <w:vAlign w:val="center"/>
            <w:textDirection w:val="lrTb"/>
            <w:noWrap w:val="false"/>
          </w:tcPr>
          <w:p>
            <w:pPr>
              <w:pStyle w:val="810"/>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杨老师</w:t>
            </w:r>
            <w:r/>
          </w:p>
        </w:tc>
        <w:tc>
          <w:tcPr>
            <w:tcW w:w="1704" w:type="dxa"/>
            <w:vAlign w:val="center"/>
            <w:textDirection w:val="lrTb"/>
            <w:noWrap w:val="false"/>
          </w:tcPr>
          <w:p>
            <w:pPr>
              <w:pStyle w:val="810"/>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13815059059</w:t>
            </w:r>
            <w:r/>
          </w:p>
        </w:tc>
      </w:tr>
      <w:tr>
        <w:trPr/>
        <w:tc>
          <w:tcPr>
            <w:tcW w:w="667" w:type="dxa"/>
            <w:vAlign w:val="center"/>
            <w:textDirection w:val="lrTb"/>
            <w:noWrap w:val="false"/>
          </w:tcPr>
          <w:p>
            <w:pPr>
              <w:pStyle w:val="810"/>
              <w:ind w:left="0" w:firstLine="0"/>
              <w:jc w:val="center"/>
              <w:rPr>
                <w:rFonts w:hint="default" w:ascii="宋体" w:hAnsi="宋体" w:eastAsia="宋体" w:cs="宋体"/>
                <w:b w:val="0"/>
                <w:bCs w:val="0"/>
                <w:sz w:val="21"/>
                <w:szCs w:val="21"/>
                <w:vertAlign w:val="baseline"/>
                <w:lang w:val="en-US" w:eastAsia="zh-CN"/>
              </w:rPr>
            </w:pPr>
            <w:r>
              <w:rPr>
                <w:rFonts w:hint="eastAsia" w:ascii="宋体" w:hAnsi="宋体" w:cs="宋体"/>
                <w:b w:val="0"/>
                <w:bCs w:val="0"/>
                <w:sz w:val="21"/>
                <w:szCs w:val="21"/>
                <w:vertAlign w:val="baseline"/>
                <w:lang w:val="en-US" w:eastAsia="zh-CN"/>
              </w:rPr>
              <w:t xml:space="preserve">15</w:t>
            </w:r>
            <w:r/>
          </w:p>
        </w:tc>
        <w:tc>
          <w:tcPr>
            <w:shd w:val="clear" w:color="auto" w:fill="auto"/>
            <w:tcW w:w="3238"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常州</w:t>
            </w:r>
            <w:r>
              <w:rPr>
                <w:rFonts w:hint="eastAsia" w:ascii="宋体" w:hAnsi="宋体" w:cs="宋体"/>
                <w:i w:val="0"/>
                <w:iCs w:val="0"/>
                <w:color w:val="000000"/>
                <w:sz w:val="21"/>
                <w:szCs w:val="21"/>
                <w:u w:val="none"/>
                <w:lang w:val="en-US" w:eastAsia="zh-CN" w:bidi="ar"/>
              </w:rPr>
              <w:t xml:space="preserve">旅游</w:t>
            </w:r>
            <w:r>
              <w:rPr>
                <w:rFonts w:hint="eastAsia" w:ascii="宋体" w:hAnsi="宋体" w:eastAsia="宋体" w:cs="宋体"/>
                <w:i w:val="0"/>
                <w:iCs w:val="0"/>
                <w:color w:val="000000"/>
                <w:sz w:val="21"/>
                <w:szCs w:val="21"/>
                <w:u w:val="none"/>
                <w:lang w:val="en-US" w:eastAsia="zh-CN" w:bidi="ar"/>
              </w:rPr>
              <w:t xml:space="preserve">商贸高等职业技术学校</w:t>
            </w:r>
            <w:r/>
          </w:p>
        </w:tc>
        <w:tc>
          <w:tcPr>
            <w:tcW w:w="1788" w:type="dxa"/>
            <w:vAlign w:val="center"/>
            <w:textDirection w:val="lrTb"/>
            <w:noWrap w:val="false"/>
          </w:tcPr>
          <w:p>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2026年7月</w:t>
            </w:r>
            <w:r>
              <w:rPr>
                <w:rFonts w:hint="eastAsia" w:ascii="宋体" w:hAnsi="宋体" w:cs="宋体"/>
                <w:sz w:val="21"/>
                <w:szCs w:val="21"/>
                <w:vertAlign w:val="baseline"/>
                <w:lang w:val="en-US" w:eastAsia="zh-CN"/>
              </w:rPr>
              <w:t xml:space="preserve">2</w:t>
            </w:r>
            <w:r>
              <w:rPr>
                <w:rFonts w:hint="eastAsia" w:ascii="宋体" w:hAnsi="宋体" w:eastAsia="宋体" w:cs="宋体"/>
                <w:sz w:val="21"/>
                <w:szCs w:val="21"/>
                <w:vertAlign w:val="baseline"/>
                <w:lang w:val="en-US" w:eastAsia="zh-CN"/>
              </w:rPr>
              <w:t xml:space="preserve">日</w:t>
            </w:r>
            <w:r/>
          </w:p>
        </w:tc>
        <w:tc>
          <w:tcPr>
            <w:tcW w:w="1121" w:type="dxa"/>
            <w:vAlign w:val="center"/>
            <w:textDirection w:val="lrTb"/>
            <w:noWrap w:val="false"/>
          </w:tcPr>
          <w:p>
            <w:pPr>
              <w:pStyle w:val="810"/>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徐老师</w:t>
            </w:r>
            <w:r/>
          </w:p>
        </w:tc>
        <w:tc>
          <w:tcPr>
            <w:tcW w:w="1704" w:type="dxa"/>
            <w:vAlign w:val="center"/>
            <w:textDirection w:val="lrTb"/>
            <w:noWrap w:val="false"/>
          </w:tcPr>
          <w:p>
            <w:pPr>
              <w:pStyle w:val="810"/>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13775018855</w:t>
            </w:r>
            <w:r/>
          </w:p>
        </w:tc>
      </w:tr>
      <w:tr>
        <w:trPr/>
        <w:tc>
          <w:tcPr>
            <w:tcW w:w="667" w:type="dxa"/>
            <w:vAlign w:val="center"/>
            <w:textDirection w:val="lrTb"/>
            <w:noWrap w:val="false"/>
          </w:tcPr>
          <w:p>
            <w:pPr>
              <w:pStyle w:val="810"/>
              <w:ind w:left="0" w:firstLine="0"/>
              <w:jc w:val="center"/>
              <w:rPr>
                <w:rFonts w:hint="default" w:ascii="宋体" w:hAnsi="宋体" w:eastAsia="宋体" w:cs="宋体"/>
                <w:b w:val="0"/>
                <w:bCs w:val="0"/>
                <w:sz w:val="21"/>
                <w:szCs w:val="21"/>
                <w:vertAlign w:val="baseline"/>
                <w:lang w:val="en-US" w:eastAsia="zh-CN"/>
              </w:rPr>
            </w:pPr>
            <w:r>
              <w:rPr>
                <w:rFonts w:hint="eastAsia" w:ascii="宋体" w:hAnsi="宋体" w:cs="宋体"/>
                <w:b w:val="0"/>
                <w:bCs w:val="0"/>
                <w:sz w:val="21"/>
                <w:szCs w:val="21"/>
                <w:vertAlign w:val="baseline"/>
                <w:lang w:val="en-US" w:eastAsia="zh-CN"/>
              </w:rPr>
              <w:t xml:space="preserve">16</w:t>
            </w:r>
            <w:r/>
          </w:p>
        </w:tc>
        <w:tc>
          <w:tcPr>
            <w:shd w:val="clear" w:color="auto" w:fill="auto"/>
            <w:tcW w:w="3238"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常州市中吴实验学校</w:t>
            </w:r>
            <w:r/>
          </w:p>
        </w:tc>
        <w:tc>
          <w:tcPr>
            <w:tcW w:w="1788" w:type="dxa"/>
            <w:vAlign w:val="center"/>
            <w:textDirection w:val="lrTb"/>
            <w:noWrap w:val="false"/>
          </w:tcPr>
          <w:p>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2026年7月</w:t>
            </w:r>
            <w:r>
              <w:rPr>
                <w:rFonts w:hint="eastAsia" w:ascii="宋体" w:hAnsi="宋体" w:cs="宋体"/>
                <w:sz w:val="21"/>
                <w:szCs w:val="21"/>
                <w:vertAlign w:val="baseline"/>
                <w:lang w:val="en-US" w:eastAsia="zh-CN"/>
              </w:rPr>
              <w:t xml:space="preserve">2</w:t>
            </w:r>
            <w:r>
              <w:rPr>
                <w:rFonts w:hint="eastAsia" w:ascii="宋体" w:hAnsi="宋体" w:eastAsia="宋体" w:cs="宋体"/>
                <w:sz w:val="21"/>
                <w:szCs w:val="21"/>
                <w:vertAlign w:val="baseline"/>
                <w:lang w:val="en-US" w:eastAsia="zh-CN"/>
              </w:rPr>
              <w:t xml:space="preserve">日</w:t>
            </w:r>
            <w:r/>
          </w:p>
        </w:tc>
        <w:tc>
          <w:tcPr>
            <w:tcW w:w="1121" w:type="dxa"/>
            <w:vAlign w:val="center"/>
            <w:textDirection w:val="lrTb"/>
            <w:noWrap w:val="false"/>
          </w:tcPr>
          <w:p>
            <w:pPr>
              <w:pStyle w:val="810"/>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郭老师</w:t>
            </w:r>
            <w:r/>
          </w:p>
        </w:tc>
        <w:tc>
          <w:tcPr>
            <w:tcW w:w="1704" w:type="dxa"/>
            <w:vAlign w:val="center"/>
            <w:textDirection w:val="lrTb"/>
            <w:noWrap w:val="false"/>
          </w:tcPr>
          <w:p>
            <w:pPr>
              <w:pStyle w:val="810"/>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15716117395</w:t>
            </w:r>
            <w:r/>
          </w:p>
        </w:tc>
      </w:tr>
      <w:tr>
        <w:trPr/>
        <w:tc>
          <w:tcPr>
            <w:tcW w:w="667" w:type="dxa"/>
            <w:vAlign w:val="center"/>
            <w:textDirection w:val="lrTb"/>
            <w:noWrap w:val="false"/>
          </w:tcPr>
          <w:p>
            <w:pPr>
              <w:pStyle w:val="810"/>
              <w:ind w:left="0" w:firstLine="0"/>
              <w:jc w:val="center"/>
              <w:rPr>
                <w:rFonts w:hint="default" w:ascii="宋体" w:hAnsi="宋体" w:eastAsia="宋体" w:cs="宋体"/>
                <w:b w:val="0"/>
                <w:bCs w:val="0"/>
                <w:sz w:val="21"/>
                <w:szCs w:val="21"/>
                <w:vertAlign w:val="baseline"/>
                <w:lang w:val="en-US" w:eastAsia="zh-CN"/>
              </w:rPr>
            </w:pPr>
            <w:r>
              <w:rPr>
                <w:rFonts w:hint="eastAsia" w:ascii="宋体" w:hAnsi="宋体" w:cs="宋体"/>
                <w:b w:val="0"/>
                <w:bCs w:val="0"/>
                <w:sz w:val="21"/>
                <w:szCs w:val="21"/>
                <w:vertAlign w:val="baseline"/>
                <w:lang w:val="en-US" w:eastAsia="zh-CN"/>
              </w:rPr>
              <w:t xml:space="preserve">17</w:t>
            </w:r>
            <w:r/>
          </w:p>
        </w:tc>
        <w:tc>
          <w:tcPr>
            <w:shd w:val="clear" w:color="auto" w:fill="auto"/>
            <w:tcW w:w="3238"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常州市市北实验初级中学</w:t>
            </w:r>
            <w:r/>
          </w:p>
        </w:tc>
        <w:tc>
          <w:tcPr>
            <w:tcW w:w="1788" w:type="dxa"/>
            <w:vAlign w:val="center"/>
            <w:textDirection w:val="lrTb"/>
            <w:noWrap w:val="false"/>
          </w:tcPr>
          <w:p>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2026年7月</w:t>
            </w:r>
            <w:r>
              <w:rPr>
                <w:rFonts w:hint="eastAsia" w:ascii="宋体" w:hAnsi="宋体" w:cs="宋体"/>
                <w:sz w:val="21"/>
                <w:szCs w:val="21"/>
                <w:vertAlign w:val="baseline"/>
                <w:lang w:val="en-US" w:eastAsia="zh-CN"/>
              </w:rPr>
              <w:t xml:space="preserve">2</w:t>
            </w:r>
            <w:r>
              <w:rPr>
                <w:rFonts w:hint="eastAsia" w:ascii="宋体" w:hAnsi="宋体" w:eastAsia="宋体" w:cs="宋体"/>
                <w:sz w:val="21"/>
                <w:szCs w:val="21"/>
                <w:vertAlign w:val="baseline"/>
                <w:lang w:val="en-US" w:eastAsia="zh-CN"/>
              </w:rPr>
              <w:t xml:space="preserve">日</w:t>
            </w:r>
            <w:r/>
          </w:p>
        </w:tc>
        <w:tc>
          <w:tcPr>
            <w:tcW w:w="1121" w:type="dxa"/>
            <w:vAlign w:val="center"/>
            <w:textDirection w:val="lrTb"/>
            <w:noWrap w:val="false"/>
          </w:tcPr>
          <w:p>
            <w:pPr>
              <w:pStyle w:val="810"/>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张老师</w:t>
            </w:r>
            <w:r/>
          </w:p>
        </w:tc>
        <w:tc>
          <w:tcPr>
            <w:tcW w:w="1704" w:type="dxa"/>
            <w:vAlign w:val="center"/>
            <w:textDirection w:val="lrTb"/>
            <w:noWrap w:val="false"/>
          </w:tcPr>
          <w:p>
            <w:pPr>
              <w:pStyle w:val="810"/>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13861150228</w:t>
            </w:r>
            <w:r/>
          </w:p>
        </w:tc>
      </w:tr>
      <w:tr>
        <w:trPr/>
        <w:tc>
          <w:tcPr>
            <w:tcW w:w="667" w:type="dxa"/>
            <w:vAlign w:val="center"/>
            <w:textDirection w:val="lrTb"/>
            <w:noWrap w:val="false"/>
          </w:tcPr>
          <w:p>
            <w:pPr>
              <w:pStyle w:val="810"/>
              <w:ind w:left="0" w:firstLine="0"/>
              <w:jc w:val="center"/>
              <w:rPr>
                <w:rFonts w:hint="default" w:ascii="宋体" w:hAnsi="宋体" w:eastAsia="宋体" w:cs="宋体"/>
                <w:b w:val="0"/>
                <w:bCs w:val="0"/>
                <w:sz w:val="21"/>
                <w:szCs w:val="21"/>
                <w:vertAlign w:val="baseline"/>
                <w:lang w:val="en-US" w:eastAsia="zh-CN"/>
              </w:rPr>
            </w:pPr>
            <w:r>
              <w:rPr>
                <w:rFonts w:hint="eastAsia" w:ascii="宋体" w:hAnsi="宋体" w:cs="宋体"/>
                <w:b w:val="0"/>
                <w:bCs w:val="0"/>
                <w:sz w:val="21"/>
                <w:szCs w:val="21"/>
                <w:vertAlign w:val="baseline"/>
                <w:lang w:val="en-US" w:eastAsia="zh-CN"/>
              </w:rPr>
              <w:t xml:space="preserve">18</w:t>
            </w:r>
            <w:r/>
          </w:p>
        </w:tc>
        <w:tc>
          <w:tcPr>
            <w:shd w:val="clear" w:color="auto" w:fill="auto"/>
            <w:tcW w:w="3238"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常州市虹景中学</w:t>
            </w:r>
            <w:r/>
          </w:p>
        </w:tc>
        <w:tc>
          <w:tcPr>
            <w:tcW w:w="1788" w:type="dxa"/>
            <w:vAlign w:val="center"/>
            <w:textDirection w:val="lrTb"/>
            <w:noWrap w:val="false"/>
          </w:tcPr>
          <w:p>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2026年7月</w:t>
            </w:r>
            <w:r>
              <w:rPr>
                <w:rFonts w:hint="eastAsia" w:ascii="宋体" w:hAnsi="宋体" w:cs="宋体"/>
                <w:sz w:val="21"/>
                <w:szCs w:val="21"/>
                <w:vertAlign w:val="baseline"/>
                <w:lang w:val="en-US" w:eastAsia="zh-CN"/>
              </w:rPr>
              <w:t xml:space="preserve">2</w:t>
            </w:r>
            <w:r>
              <w:rPr>
                <w:rFonts w:hint="eastAsia" w:ascii="宋体" w:hAnsi="宋体" w:eastAsia="宋体" w:cs="宋体"/>
                <w:sz w:val="21"/>
                <w:szCs w:val="21"/>
                <w:vertAlign w:val="baseline"/>
                <w:lang w:val="en-US" w:eastAsia="zh-CN"/>
              </w:rPr>
              <w:t xml:space="preserve">日</w:t>
            </w:r>
            <w:r/>
          </w:p>
        </w:tc>
        <w:tc>
          <w:tcPr>
            <w:tcW w:w="1121" w:type="dxa"/>
            <w:vAlign w:val="center"/>
            <w:textDirection w:val="lrTb"/>
            <w:noWrap w:val="false"/>
          </w:tcPr>
          <w:p>
            <w:pPr>
              <w:pStyle w:val="810"/>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周老师</w:t>
            </w:r>
            <w:r/>
          </w:p>
        </w:tc>
        <w:tc>
          <w:tcPr>
            <w:tcW w:w="1704" w:type="dxa"/>
            <w:vAlign w:val="center"/>
            <w:textDirection w:val="lrTb"/>
            <w:noWrap w:val="false"/>
          </w:tcPr>
          <w:p>
            <w:pPr>
              <w:pStyle w:val="810"/>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13775023568</w:t>
            </w:r>
            <w:r/>
          </w:p>
        </w:tc>
      </w:tr>
      <w:tr>
        <w:trPr/>
        <w:tc>
          <w:tcPr>
            <w:tcW w:w="667" w:type="dxa"/>
            <w:vAlign w:val="center"/>
            <w:textDirection w:val="lrTb"/>
            <w:noWrap w:val="false"/>
          </w:tcPr>
          <w:p>
            <w:pPr>
              <w:pStyle w:val="810"/>
              <w:ind w:left="0" w:firstLine="0"/>
              <w:jc w:val="center"/>
              <w:rPr>
                <w:rFonts w:hint="default" w:ascii="宋体" w:hAnsi="宋体" w:eastAsia="宋体" w:cs="宋体"/>
                <w:b w:val="0"/>
                <w:bCs w:val="0"/>
                <w:sz w:val="21"/>
                <w:szCs w:val="21"/>
                <w:vertAlign w:val="baseline"/>
                <w:lang w:val="en-US" w:eastAsia="zh-CN"/>
              </w:rPr>
            </w:pPr>
            <w:r>
              <w:rPr>
                <w:rFonts w:hint="eastAsia" w:ascii="宋体" w:hAnsi="宋体" w:cs="宋体"/>
                <w:b w:val="0"/>
                <w:bCs w:val="0"/>
                <w:sz w:val="21"/>
                <w:szCs w:val="21"/>
                <w:vertAlign w:val="baseline"/>
                <w:lang w:val="en-US" w:eastAsia="zh-CN"/>
              </w:rPr>
              <w:t xml:space="preserve">19</w:t>
            </w:r>
            <w:r/>
          </w:p>
        </w:tc>
        <w:tc>
          <w:tcPr>
            <w:shd w:val="clear" w:color="auto" w:fill="auto"/>
            <w:tcW w:w="3238" w:type="dxa"/>
            <w:vAlign w:val="center"/>
            <w:textDirection w:val="lrTb"/>
            <w:noWrap w:val="false"/>
          </w:tcPr>
          <w:p>
            <w:pPr>
              <w:jc w:val="center"/>
              <w:keepLines w:val="0"/>
              <w:keepNext w:val="0"/>
              <w:widowControl/>
              <w:rPr>
                <w:rFonts w:hint="default"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常州市田家炳初</w:t>
            </w:r>
            <w:r>
              <w:rPr>
                <w:rFonts w:hint="eastAsia" w:ascii="宋体" w:hAnsi="宋体" w:cs="宋体"/>
                <w:i w:val="0"/>
                <w:iCs w:val="0"/>
                <w:color w:val="000000"/>
                <w:sz w:val="21"/>
                <w:szCs w:val="21"/>
                <w:u w:val="none"/>
                <w:lang w:val="en-US" w:eastAsia="zh-CN" w:bidi="ar"/>
              </w:rPr>
              <w:t xml:space="preserve">级</w:t>
            </w:r>
            <w:r>
              <w:rPr>
                <w:rFonts w:hint="eastAsia" w:ascii="宋体" w:hAnsi="宋体" w:eastAsia="宋体" w:cs="宋体"/>
                <w:i w:val="0"/>
                <w:iCs w:val="0"/>
                <w:color w:val="000000"/>
                <w:sz w:val="21"/>
                <w:szCs w:val="21"/>
                <w:u w:val="none"/>
                <w:lang w:val="en-US" w:eastAsia="zh-CN" w:bidi="ar"/>
              </w:rPr>
              <w:t xml:space="preserve">中</w:t>
            </w:r>
            <w:r>
              <w:rPr>
                <w:rFonts w:hint="eastAsia" w:ascii="宋体" w:hAnsi="宋体" w:cs="宋体"/>
                <w:i w:val="0"/>
                <w:iCs w:val="0"/>
                <w:color w:val="000000"/>
                <w:sz w:val="21"/>
                <w:szCs w:val="21"/>
                <w:u w:val="none"/>
                <w:lang w:val="en-US" w:eastAsia="zh-CN" w:bidi="ar"/>
              </w:rPr>
              <w:t xml:space="preserve">学</w:t>
            </w:r>
            <w:r/>
          </w:p>
        </w:tc>
        <w:tc>
          <w:tcPr>
            <w:tcW w:w="1788" w:type="dxa"/>
            <w:vAlign w:val="center"/>
            <w:textDirection w:val="lrTb"/>
            <w:noWrap w:val="false"/>
          </w:tcPr>
          <w:p>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2026年7月</w:t>
            </w:r>
            <w:r>
              <w:rPr>
                <w:rFonts w:hint="eastAsia" w:ascii="宋体" w:hAnsi="宋体" w:cs="宋体"/>
                <w:sz w:val="21"/>
                <w:szCs w:val="21"/>
                <w:vertAlign w:val="baseline"/>
                <w:lang w:val="en-US" w:eastAsia="zh-CN"/>
              </w:rPr>
              <w:t xml:space="preserve">2</w:t>
            </w:r>
            <w:r>
              <w:rPr>
                <w:rFonts w:hint="eastAsia" w:ascii="宋体" w:hAnsi="宋体" w:eastAsia="宋体" w:cs="宋体"/>
                <w:sz w:val="21"/>
                <w:szCs w:val="21"/>
                <w:vertAlign w:val="baseline"/>
                <w:lang w:val="en-US" w:eastAsia="zh-CN"/>
              </w:rPr>
              <w:t xml:space="preserve">日</w:t>
            </w:r>
            <w:r/>
          </w:p>
        </w:tc>
        <w:tc>
          <w:tcPr>
            <w:tcW w:w="1121" w:type="dxa"/>
            <w:vAlign w:val="center"/>
            <w:textDirection w:val="lrTb"/>
            <w:noWrap w:val="false"/>
          </w:tcPr>
          <w:p>
            <w:pPr>
              <w:pStyle w:val="810"/>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袁老师</w:t>
            </w:r>
            <w:r/>
          </w:p>
        </w:tc>
        <w:tc>
          <w:tcPr>
            <w:tcW w:w="1704" w:type="dxa"/>
            <w:vAlign w:val="center"/>
            <w:textDirection w:val="lrTb"/>
            <w:noWrap w:val="false"/>
          </w:tcPr>
          <w:p>
            <w:pPr>
              <w:pStyle w:val="810"/>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17721686817</w:t>
            </w:r>
            <w:r/>
          </w:p>
        </w:tc>
      </w:tr>
      <w:tr>
        <w:trPr/>
        <w:tc>
          <w:tcPr>
            <w:tcW w:w="667" w:type="dxa"/>
            <w:vAlign w:val="center"/>
            <w:textDirection w:val="lrTb"/>
            <w:noWrap w:val="false"/>
          </w:tcPr>
          <w:p>
            <w:pPr>
              <w:pStyle w:val="810"/>
              <w:ind w:left="0" w:firstLine="0"/>
              <w:jc w:val="center"/>
              <w:rPr>
                <w:rFonts w:hint="default" w:ascii="宋体" w:hAnsi="宋体" w:eastAsia="宋体" w:cs="宋体"/>
                <w:b w:val="0"/>
                <w:bCs w:val="0"/>
                <w:sz w:val="21"/>
                <w:szCs w:val="21"/>
                <w:vertAlign w:val="baseline"/>
                <w:lang w:val="en-US" w:eastAsia="zh-CN"/>
              </w:rPr>
            </w:pPr>
            <w:r>
              <w:rPr>
                <w:rFonts w:hint="eastAsia" w:ascii="宋体" w:hAnsi="宋体" w:cs="宋体"/>
                <w:b w:val="0"/>
                <w:bCs w:val="0"/>
                <w:sz w:val="21"/>
                <w:szCs w:val="21"/>
                <w:vertAlign w:val="baseline"/>
                <w:lang w:val="en-US" w:eastAsia="zh-CN"/>
              </w:rPr>
              <w:t xml:space="preserve">20</w:t>
            </w:r>
            <w:r/>
          </w:p>
        </w:tc>
        <w:tc>
          <w:tcPr>
            <w:shd w:val="clear" w:color="auto" w:fill="auto"/>
            <w:tcW w:w="3238"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常州市北环中学</w:t>
            </w:r>
            <w:r/>
          </w:p>
        </w:tc>
        <w:tc>
          <w:tcPr>
            <w:tcW w:w="1788" w:type="dxa"/>
            <w:vAlign w:val="center"/>
            <w:textDirection w:val="lrTb"/>
            <w:noWrap w:val="false"/>
          </w:tcPr>
          <w:p>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2026年7月</w:t>
            </w:r>
            <w:r>
              <w:rPr>
                <w:rFonts w:hint="eastAsia" w:ascii="宋体" w:hAnsi="宋体" w:cs="宋体"/>
                <w:sz w:val="21"/>
                <w:szCs w:val="21"/>
                <w:vertAlign w:val="baseline"/>
                <w:lang w:val="en-US" w:eastAsia="zh-CN"/>
              </w:rPr>
              <w:t xml:space="preserve">2</w:t>
            </w:r>
            <w:r>
              <w:rPr>
                <w:rFonts w:hint="eastAsia" w:ascii="宋体" w:hAnsi="宋体" w:eastAsia="宋体" w:cs="宋体"/>
                <w:sz w:val="21"/>
                <w:szCs w:val="21"/>
                <w:vertAlign w:val="baseline"/>
                <w:lang w:val="en-US" w:eastAsia="zh-CN"/>
              </w:rPr>
              <w:t xml:space="preserve">日</w:t>
            </w:r>
            <w:r/>
          </w:p>
        </w:tc>
        <w:tc>
          <w:tcPr>
            <w:tcW w:w="1121" w:type="dxa"/>
            <w:vAlign w:val="center"/>
            <w:textDirection w:val="lrTb"/>
            <w:noWrap w:val="false"/>
          </w:tcPr>
          <w:p>
            <w:pPr>
              <w:pStyle w:val="810"/>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王老师</w:t>
            </w:r>
            <w:r/>
          </w:p>
        </w:tc>
        <w:tc>
          <w:tcPr>
            <w:tcW w:w="1704" w:type="dxa"/>
            <w:vAlign w:val="center"/>
            <w:textDirection w:val="lrTb"/>
            <w:noWrap w:val="false"/>
          </w:tcPr>
          <w:p>
            <w:pPr>
              <w:pStyle w:val="810"/>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13706146251</w:t>
            </w:r>
            <w:r/>
          </w:p>
        </w:tc>
      </w:tr>
      <w:tr>
        <w:trPr/>
        <w:tc>
          <w:tcPr>
            <w:tcW w:w="667" w:type="dxa"/>
            <w:vAlign w:val="center"/>
            <w:textDirection w:val="lrTb"/>
            <w:noWrap w:val="false"/>
          </w:tcPr>
          <w:p>
            <w:pPr>
              <w:pStyle w:val="810"/>
              <w:ind w:left="0" w:firstLine="0"/>
              <w:jc w:val="center"/>
              <w:rPr>
                <w:rFonts w:hint="default" w:ascii="宋体" w:hAnsi="宋体" w:eastAsia="宋体" w:cs="宋体"/>
                <w:b w:val="0"/>
                <w:bCs w:val="0"/>
                <w:sz w:val="21"/>
                <w:szCs w:val="21"/>
                <w:vertAlign w:val="baseline"/>
                <w:lang w:val="en-US" w:eastAsia="zh-CN"/>
              </w:rPr>
            </w:pPr>
            <w:r>
              <w:rPr>
                <w:rFonts w:hint="eastAsia" w:ascii="宋体" w:hAnsi="宋体" w:cs="宋体"/>
                <w:b w:val="0"/>
                <w:bCs w:val="0"/>
                <w:sz w:val="21"/>
                <w:szCs w:val="21"/>
                <w:vertAlign w:val="baseline"/>
                <w:lang w:val="en-US" w:eastAsia="zh-CN"/>
              </w:rPr>
              <w:t xml:space="preserve">21</w:t>
            </w:r>
            <w:r/>
          </w:p>
        </w:tc>
        <w:tc>
          <w:tcPr>
            <w:shd w:val="clear" w:color="auto" w:fill="auto"/>
            <w:tcW w:w="3238"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常州市兰陵中学</w:t>
            </w:r>
            <w:r/>
          </w:p>
        </w:tc>
        <w:tc>
          <w:tcPr>
            <w:tcW w:w="1788" w:type="dxa"/>
            <w:vAlign w:val="center"/>
            <w:textDirection w:val="lrTb"/>
            <w:noWrap w:val="false"/>
          </w:tcPr>
          <w:p>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2026年7月</w:t>
            </w:r>
            <w:r>
              <w:rPr>
                <w:rFonts w:hint="eastAsia" w:ascii="宋体" w:hAnsi="宋体" w:cs="宋体"/>
                <w:sz w:val="21"/>
                <w:szCs w:val="21"/>
                <w:vertAlign w:val="baseline"/>
                <w:lang w:val="en-US" w:eastAsia="zh-CN"/>
              </w:rPr>
              <w:t xml:space="preserve">2</w:t>
            </w:r>
            <w:r>
              <w:rPr>
                <w:rFonts w:hint="eastAsia" w:ascii="宋体" w:hAnsi="宋体" w:eastAsia="宋体" w:cs="宋体"/>
                <w:sz w:val="21"/>
                <w:szCs w:val="21"/>
                <w:vertAlign w:val="baseline"/>
                <w:lang w:val="en-US" w:eastAsia="zh-CN"/>
              </w:rPr>
              <w:t xml:space="preserve">日</w:t>
            </w:r>
            <w:r/>
          </w:p>
        </w:tc>
        <w:tc>
          <w:tcPr>
            <w:tcW w:w="1121" w:type="dxa"/>
            <w:vAlign w:val="center"/>
            <w:textDirection w:val="lrTb"/>
            <w:noWrap w:val="false"/>
          </w:tcPr>
          <w:p>
            <w:pPr>
              <w:pStyle w:val="810"/>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刘老师</w:t>
            </w:r>
            <w:r/>
          </w:p>
        </w:tc>
        <w:tc>
          <w:tcPr>
            <w:tcW w:w="1704" w:type="dxa"/>
            <w:vAlign w:val="center"/>
            <w:textDirection w:val="lrTb"/>
            <w:noWrap w:val="false"/>
          </w:tcPr>
          <w:p>
            <w:pPr>
              <w:pStyle w:val="810"/>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13861186577</w:t>
            </w:r>
            <w:r/>
          </w:p>
        </w:tc>
      </w:tr>
      <w:tr>
        <w:trPr/>
        <w:tc>
          <w:tcPr>
            <w:tcW w:w="667" w:type="dxa"/>
            <w:vAlign w:val="center"/>
            <w:textDirection w:val="lrTb"/>
            <w:noWrap w:val="false"/>
          </w:tcPr>
          <w:p>
            <w:pPr>
              <w:pStyle w:val="810"/>
              <w:ind w:left="0" w:firstLine="0"/>
              <w:jc w:val="center"/>
              <w:rPr>
                <w:rFonts w:hint="default" w:ascii="宋体" w:hAnsi="宋体" w:eastAsia="宋体" w:cs="宋体"/>
                <w:b w:val="0"/>
                <w:bCs w:val="0"/>
                <w:sz w:val="21"/>
                <w:szCs w:val="21"/>
                <w:vertAlign w:val="baseline"/>
                <w:lang w:val="en-US" w:eastAsia="zh-CN"/>
              </w:rPr>
            </w:pPr>
            <w:r>
              <w:rPr>
                <w:rFonts w:hint="eastAsia" w:ascii="宋体" w:hAnsi="宋体" w:cs="宋体"/>
                <w:b w:val="0"/>
                <w:bCs w:val="0"/>
                <w:sz w:val="21"/>
                <w:szCs w:val="21"/>
                <w:vertAlign w:val="baseline"/>
                <w:lang w:val="en-US" w:eastAsia="zh-CN"/>
              </w:rPr>
              <w:t xml:space="preserve">22</w:t>
            </w:r>
            <w:r/>
          </w:p>
        </w:tc>
        <w:tc>
          <w:tcPr>
            <w:shd w:val="clear" w:color="auto" w:fill="auto"/>
            <w:tcW w:w="3238"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常州市勤业中学</w:t>
            </w:r>
            <w:r/>
          </w:p>
        </w:tc>
        <w:tc>
          <w:tcPr>
            <w:tcW w:w="1788" w:type="dxa"/>
            <w:vAlign w:val="center"/>
            <w:textDirection w:val="lrTb"/>
            <w:noWrap w:val="false"/>
          </w:tcPr>
          <w:p>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2026年7月</w:t>
            </w:r>
            <w:r>
              <w:rPr>
                <w:rFonts w:hint="eastAsia" w:ascii="宋体" w:hAnsi="宋体" w:cs="宋体"/>
                <w:sz w:val="21"/>
                <w:szCs w:val="21"/>
                <w:vertAlign w:val="baseline"/>
                <w:lang w:val="en-US" w:eastAsia="zh-CN"/>
              </w:rPr>
              <w:t xml:space="preserve">2</w:t>
            </w:r>
            <w:r>
              <w:rPr>
                <w:rFonts w:hint="eastAsia" w:ascii="宋体" w:hAnsi="宋体" w:eastAsia="宋体" w:cs="宋体"/>
                <w:sz w:val="21"/>
                <w:szCs w:val="21"/>
                <w:vertAlign w:val="baseline"/>
                <w:lang w:val="en-US" w:eastAsia="zh-CN"/>
              </w:rPr>
              <w:t xml:space="preserve">日</w:t>
            </w:r>
            <w:r/>
          </w:p>
        </w:tc>
        <w:tc>
          <w:tcPr>
            <w:tcW w:w="1121" w:type="dxa"/>
            <w:vAlign w:val="center"/>
            <w:textDirection w:val="lrTb"/>
            <w:noWrap w:val="false"/>
          </w:tcPr>
          <w:p>
            <w:pPr>
              <w:pStyle w:val="810"/>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金老师</w:t>
            </w:r>
            <w:r/>
          </w:p>
        </w:tc>
        <w:tc>
          <w:tcPr>
            <w:tcW w:w="1704" w:type="dxa"/>
            <w:vAlign w:val="center"/>
            <w:textDirection w:val="lrTb"/>
            <w:noWrap w:val="false"/>
          </w:tcPr>
          <w:p>
            <w:pPr>
              <w:pStyle w:val="810"/>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15851988440</w:t>
            </w:r>
            <w:r/>
          </w:p>
        </w:tc>
      </w:tr>
      <w:tr>
        <w:trPr/>
        <w:tc>
          <w:tcPr>
            <w:tcW w:w="667" w:type="dxa"/>
            <w:vAlign w:val="center"/>
            <w:textDirection w:val="lrTb"/>
            <w:noWrap w:val="false"/>
          </w:tcPr>
          <w:p>
            <w:pPr>
              <w:pStyle w:val="810"/>
              <w:ind w:left="0" w:firstLine="0"/>
              <w:jc w:val="center"/>
              <w:rPr>
                <w:rFonts w:hint="default" w:ascii="宋体" w:hAnsi="宋体" w:eastAsia="宋体" w:cs="宋体"/>
                <w:b w:val="0"/>
                <w:bCs w:val="0"/>
                <w:sz w:val="21"/>
                <w:szCs w:val="21"/>
                <w:vertAlign w:val="baseline"/>
                <w:lang w:val="en-US" w:eastAsia="zh-CN"/>
              </w:rPr>
            </w:pPr>
            <w:r>
              <w:rPr>
                <w:rFonts w:hint="eastAsia" w:ascii="宋体" w:hAnsi="宋体" w:cs="宋体"/>
                <w:b w:val="0"/>
                <w:bCs w:val="0"/>
                <w:sz w:val="21"/>
                <w:szCs w:val="21"/>
                <w:vertAlign w:val="baseline"/>
                <w:lang w:val="en-US" w:eastAsia="zh-CN"/>
              </w:rPr>
              <w:t xml:space="preserve">23</w:t>
            </w:r>
            <w:r/>
          </w:p>
        </w:tc>
        <w:tc>
          <w:tcPr>
            <w:shd w:val="clear" w:color="auto" w:fill="auto"/>
            <w:tcW w:w="3238" w:type="dxa"/>
            <w:vAlign w:val="center"/>
            <w:textDirection w:val="lrTb"/>
            <w:noWrap w:val="false"/>
          </w:tcPr>
          <w:p>
            <w:pPr>
              <w:jc w:val="center"/>
              <w:keepLines w:val="0"/>
              <w:keepNext w:val="0"/>
              <w:widowControl/>
              <w:rPr>
                <w:rFonts w:hint="default"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常州市实验</w:t>
            </w:r>
            <w:r>
              <w:rPr>
                <w:rFonts w:hint="eastAsia" w:ascii="宋体" w:hAnsi="宋体" w:cs="宋体"/>
                <w:i w:val="0"/>
                <w:iCs w:val="0"/>
                <w:color w:val="000000"/>
                <w:sz w:val="21"/>
                <w:szCs w:val="21"/>
                <w:u w:val="none"/>
                <w:lang w:val="en-US" w:eastAsia="zh-CN" w:bidi="ar"/>
              </w:rPr>
              <w:t xml:space="preserve">初级中学</w:t>
            </w:r>
            <w:r/>
          </w:p>
        </w:tc>
        <w:tc>
          <w:tcPr>
            <w:tcW w:w="1788" w:type="dxa"/>
            <w:vAlign w:val="center"/>
            <w:textDirection w:val="lrTb"/>
            <w:noWrap w:val="false"/>
          </w:tcPr>
          <w:p>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2026年7月</w:t>
            </w:r>
            <w:r>
              <w:rPr>
                <w:rFonts w:hint="eastAsia" w:ascii="宋体" w:hAnsi="宋体" w:cs="宋体"/>
                <w:sz w:val="21"/>
                <w:szCs w:val="21"/>
                <w:vertAlign w:val="baseline"/>
                <w:lang w:val="en-US" w:eastAsia="zh-CN"/>
              </w:rPr>
              <w:t xml:space="preserve">2</w:t>
            </w:r>
            <w:r>
              <w:rPr>
                <w:rFonts w:hint="eastAsia" w:ascii="宋体" w:hAnsi="宋体" w:eastAsia="宋体" w:cs="宋体"/>
                <w:sz w:val="21"/>
                <w:szCs w:val="21"/>
                <w:vertAlign w:val="baseline"/>
                <w:lang w:val="en-US" w:eastAsia="zh-CN"/>
              </w:rPr>
              <w:t xml:space="preserve">日</w:t>
            </w:r>
            <w:r/>
          </w:p>
        </w:tc>
        <w:tc>
          <w:tcPr>
            <w:tcW w:w="1121" w:type="dxa"/>
            <w:vAlign w:val="center"/>
            <w:textDirection w:val="lrTb"/>
            <w:noWrap w:val="false"/>
          </w:tcPr>
          <w:p>
            <w:pPr>
              <w:pStyle w:val="810"/>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周老师</w:t>
            </w:r>
            <w:r/>
          </w:p>
        </w:tc>
        <w:tc>
          <w:tcPr>
            <w:tcW w:w="1704" w:type="dxa"/>
            <w:vAlign w:val="center"/>
            <w:textDirection w:val="lrTb"/>
            <w:noWrap w:val="false"/>
          </w:tcPr>
          <w:p>
            <w:pPr>
              <w:pStyle w:val="810"/>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13961402182</w:t>
            </w:r>
            <w:r/>
          </w:p>
        </w:tc>
      </w:tr>
      <w:tr>
        <w:trPr/>
        <w:tc>
          <w:tcPr>
            <w:tcW w:w="667" w:type="dxa"/>
            <w:vAlign w:val="center"/>
            <w:textDirection w:val="lrTb"/>
            <w:noWrap w:val="false"/>
          </w:tcPr>
          <w:p>
            <w:pPr>
              <w:pStyle w:val="810"/>
              <w:ind w:left="0" w:firstLine="0"/>
              <w:jc w:val="center"/>
              <w:rPr>
                <w:rFonts w:hint="default" w:ascii="宋体" w:hAnsi="宋体" w:eastAsia="宋体" w:cs="宋体"/>
                <w:b w:val="0"/>
                <w:bCs w:val="0"/>
                <w:sz w:val="21"/>
                <w:szCs w:val="21"/>
                <w:vertAlign w:val="baseline"/>
                <w:lang w:val="en-US" w:eastAsia="zh-CN"/>
              </w:rPr>
            </w:pPr>
            <w:r>
              <w:rPr>
                <w:rFonts w:hint="eastAsia" w:ascii="宋体" w:hAnsi="宋体" w:cs="宋体"/>
                <w:b w:val="0"/>
                <w:bCs w:val="0"/>
                <w:sz w:val="21"/>
                <w:szCs w:val="21"/>
                <w:vertAlign w:val="baseline"/>
                <w:lang w:val="en-US" w:eastAsia="zh-CN"/>
              </w:rPr>
              <w:t xml:space="preserve">24</w:t>
            </w:r>
            <w:r/>
          </w:p>
        </w:tc>
        <w:tc>
          <w:tcPr>
            <w:shd w:val="clear" w:color="auto" w:fill="auto"/>
            <w:tcW w:w="3238"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常州市翠竹中学</w:t>
            </w:r>
            <w:r/>
          </w:p>
        </w:tc>
        <w:tc>
          <w:tcPr>
            <w:tcW w:w="1788" w:type="dxa"/>
            <w:vAlign w:val="center"/>
            <w:textDirection w:val="lrTb"/>
            <w:noWrap w:val="false"/>
          </w:tcPr>
          <w:p>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2026年7月</w:t>
            </w:r>
            <w:r>
              <w:rPr>
                <w:rFonts w:hint="eastAsia" w:ascii="宋体" w:hAnsi="宋体" w:cs="宋体"/>
                <w:sz w:val="21"/>
                <w:szCs w:val="21"/>
                <w:vertAlign w:val="baseline"/>
                <w:lang w:val="en-US" w:eastAsia="zh-CN"/>
              </w:rPr>
              <w:t xml:space="preserve">2</w:t>
            </w:r>
            <w:r>
              <w:rPr>
                <w:rFonts w:hint="eastAsia" w:ascii="宋体" w:hAnsi="宋体" w:eastAsia="宋体" w:cs="宋体"/>
                <w:sz w:val="21"/>
                <w:szCs w:val="21"/>
                <w:vertAlign w:val="baseline"/>
                <w:lang w:val="en-US" w:eastAsia="zh-CN"/>
              </w:rPr>
              <w:t xml:space="preserve">日</w:t>
            </w:r>
            <w:r/>
          </w:p>
        </w:tc>
        <w:tc>
          <w:tcPr>
            <w:tcW w:w="1121" w:type="dxa"/>
            <w:vAlign w:val="center"/>
            <w:textDirection w:val="lrTb"/>
            <w:noWrap w:val="false"/>
          </w:tcPr>
          <w:p>
            <w:pPr>
              <w:pStyle w:val="810"/>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许老师</w:t>
            </w:r>
            <w:r/>
          </w:p>
        </w:tc>
        <w:tc>
          <w:tcPr>
            <w:tcW w:w="1704" w:type="dxa"/>
            <w:vAlign w:val="center"/>
            <w:textDirection w:val="lrTb"/>
            <w:noWrap w:val="false"/>
          </w:tcPr>
          <w:p>
            <w:pPr>
              <w:pStyle w:val="810"/>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19975131169</w:t>
            </w:r>
            <w:r/>
          </w:p>
        </w:tc>
      </w:tr>
      <w:tr>
        <w:trPr/>
        <w:tc>
          <w:tcPr>
            <w:tcW w:w="667" w:type="dxa"/>
            <w:vAlign w:val="center"/>
            <w:textDirection w:val="lrTb"/>
            <w:noWrap w:val="false"/>
          </w:tcPr>
          <w:p>
            <w:pPr>
              <w:pStyle w:val="810"/>
              <w:ind w:left="0" w:firstLine="0"/>
              <w:jc w:val="center"/>
              <w:rPr>
                <w:rFonts w:hint="default" w:ascii="宋体" w:hAnsi="宋体" w:eastAsia="宋体" w:cs="宋体"/>
                <w:b w:val="0"/>
                <w:bCs w:val="0"/>
                <w:sz w:val="21"/>
                <w:szCs w:val="21"/>
                <w:vertAlign w:val="baseline"/>
                <w:lang w:val="en-US" w:eastAsia="zh-CN"/>
              </w:rPr>
            </w:pPr>
            <w:r>
              <w:rPr>
                <w:rFonts w:hint="eastAsia" w:ascii="宋体" w:hAnsi="宋体" w:cs="宋体"/>
                <w:b w:val="0"/>
                <w:bCs w:val="0"/>
                <w:sz w:val="21"/>
                <w:szCs w:val="21"/>
                <w:vertAlign w:val="baseline"/>
                <w:lang w:val="en-US" w:eastAsia="zh-CN"/>
              </w:rPr>
              <w:t xml:space="preserve">25</w:t>
            </w:r>
            <w:r/>
          </w:p>
        </w:tc>
        <w:tc>
          <w:tcPr>
            <w:shd w:val="clear" w:color="auto" w:fill="auto"/>
            <w:tcW w:w="3238"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常州市清潭中学</w:t>
            </w:r>
            <w:r/>
          </w:p>
        </w:tc>
        <w:tc>
          <w:tcPr>
            <w:tcW w:w="1788" w:type="dxa"/>
            <w:vAlign w:val="center"/>
            <w:textDirection w:val="lrTb"/>
            <w:noWrap w:val="false"/>
          </w:tcPr>
          <w:p>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2026年7月</w:t>
            </w:r>
            <w:r>
              <w:rPr>
                <w:rFonts w:hint="eastAsia" w:ascii="宋体" w:hAnsi="宋体" w:cs="宋体"/>
                <w:sz w:val="21"/>
                <w:szCs w:val="21"/>
                <w:vertAlign w:val="baseline"/>
                <w:lang w:val="en-US" w:eastAsia="zh-CN"/>
              </w:rPr>
              <w:t xml:space="preserve">3</w:t>
            </w:r>
            <w:r>
              <w:rPr>
                <w:rFonts w:hint="eastAsia" w:ascii="宋体" w:hAnsi="宋体" w:eastAsia="宋体" w:cs="宋体"/>
                <w:sz w:val="21"/>
                <w:szCs w:val="21"/>
                <w:vertAlign w:val="baseline"/>
                <w:lang w:val="en-US" w:eastAsia="zh-CN"/>
              </w:rPr>
              <w:t xml:space="preserve">日</w:t>
            </w:r>
            <w:r/>
          </w:p>
        </w:tc>
        <w:tc>
          <w:tcPr>
            <w:tcW w:w="1121" w:type="dxa"/>
            <w:vAlign w:val="center"/>
            <w:textDirection w:val="lrTb"/>
            <w:noWrap w:val="false"/>
          </w:tcPr>
          <w:p>
            <w:pPr>
              <w:pStyle w:val="810"/>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谈老师</w:t>
            </w:r>
            <w:r/>
          </w:p>
        </w:tc>
        <w:tc>
          <w:tcPr>
            <w:tcW w:w="1704" w:type="dxa"/>
            <w:vAlign w:val="center"/>
            <w:textDirection w:val="lrTb"/>
            <w:noWrap w:val="false"/>
          </w:tcPr>
          <w:p>
            <w:pPr>
              <w:pStyle w:val="810"/>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13861034325</w:t>
            </w:r>
            <w:r/>
          </w:p>
        </w:tc>
      </w:tr>
      <w:tr>
        <w:trPr/>
        <w:tc>
          <w:tcPr>
            <w:tcW w:w="667" w:type="dxa"/>
            <w:vAlign w:val="center"/>
            <w:textDirection w:val="lrTb"/>
            <w:noWrap w:val="false"/>
          </w:tcPr>
          <w:p>
            <w:pPr>
              <w:pStyle w:val="810"/>
              <w:ind w:left="0" w:firstLine="0"/>
              <w:jc w:val="center"/>
              <w:rPr>
                <w:rFonts w:hint="default" w:ascii="宋体" w:hAnsi="宋体" w:eastAsia="宋体" w:cs="宋体"/>
                <w:b w:val="0"/>
                <w:bCs w:val="0"/>
                <w:sz w:val="21"/>
                <w:szCs w:val="21"/>
                <w:vertAlign w:val="baseline"/>
                <w:lang w:val="en-US" w:eastAsia="zh-CN"/>
              </w:rPr>
            </w:pPr>
            <w:r>
              <w:rPr>
                <w:rFonts w:hint="eastAsia" w:ascii="宋体" w:hAnsi="宋体" w:cs="宋体"/>
                <w:b w:val="0"/>
                <w:bCs w:val="0"/>
                <w:sz w:val="21"/>
                <w:szCs w:val="21"/>
                <w:vertAlign w:val="baseline"/>
                <w:lang w:val="en-US" w:eastAsia="zh-CN"/>
              </w:rPr>
              <w:t xml:space="preserve">26</w:t>
            </w:r>
            <w:r/>
          </w:p>
        </w:tc>
        <w:tc>
          <w:tcPr>
            <w:shd w:val="clear" w:color="auto" w:fill="auto"/>
            <w:tcW w:w="3238"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常州市同济中学</w:t>
            </w:r>
            <w:r/>
          </w:p>
        </w:tc>
        <w:tc>
          <w:tcPr>
            <w:tcW w:w="1788" w:type="dxa"/>
            <w:vAlign w:val="center"/>
            <w:textDirection w:val="lrTb"/>
            <w:noWrap w:val="false"/>
          </w:tcPr>
          <w:p>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2026年7月</w:t>
            </w:r>
            <w:r>
              <w:rPr>
                <w:rFonts w:hint="eastAsia" w:ascii="宋体" w:hAnsi="宋体" w:cs="宋体"/>
                <w:sz w:val="21"/>
                <w:szCs w:val="21"/>
                <w:vertAlign w:val="baseline"/>
                <w:lang w:val="en-US" w:eastAsia="zh-CN"/>
              </w:rPr>
              <w:t xml:space="preserve">3</w:t>
            </w:r>
            <w:r>
              <w:rPr>
                <w:rFonts w:hint="eastAsia" w:ascii="宋体" w:hAnsi="宋体" w:eastAsia="宋体" w:cs="宋体"/>
                <w:sz w:val="21"/>
                <w:szCs w:val="21"/>
                <w:vertAlign w:val="baseline"/>
                <w:lang w:val="en-US" w:eastAsia="zh-CN"/>
              </w:rPr>
              <w:t xml:space="preserve">日</w:t>
            </w:r>
            <w:r/>
          </w:p>
        </w:tc>
        <w:tc>
          <w:tcPr>
            <w:tcW w:w="1121" w:type="dxa"/>
            <w:vAlign w:val="center"/>
            <w:textDirection w:val="lrTb"/>
            <w:noWrap w:val="false"/>
          </w:tcPr>
          <w:p>
            <w:pPr>
              <w:pStyle w:val="810"/>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时老师</w:t>
            </w:r>
            <w:r/>
          </w:p>
        </w:tc>
        <w:tc>
          <w:tcPr>
            <w:tcW w:w="1704" w:type="dxa"/>
            <w:vAlign w:val="center"/>
            <w:textDirection w:val="lrTb"/>
            <w:noWrap w:val="false"/>
          </w:tcPr>
          <w:p>
            <w:pPr>
              <w:pStyle w:val="810"/>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13961478230</w:t>
            </w:r>
            <w:r/>
          </w:p>
        </w:tc>
      </w:tr>
      <w:tr>
        <w:trPr/>
        <w:tc>
          <w:tcPr>
            <w:tcW w:w="667" w:type="dxa"/>
            <w:vAlign w:val="center"/>
            <w:textDirection w:val="lrTb"/>
            <w:noWrap w:val="false"/>
          </w:tcPr>
          <w:p>
            <w:pPr>
              <w:pStyle w:val="810"/>
              <w:ind w:left="0" w:firstLine="0"/>
              <w:jc w:val="center"/>
              <w:rPr>
                <w:rFonts w:hint="default" w:ascii="宋体" w:hAnsi="宋体" w:eastAsia="宋体" w:cs="宋体"/>
                <w:b w:val="0"/>
                <w:bCs w:val="0"/>
                <w:sz w:val="21"/>
                <w:szCs w:val="21"/>
                <w:vertAlign w:val="baseline"/>
                <w:lang w:val="en-US" w:eastAsia="zh-CN"/>
              </w:rPr>
            </w:pPr>
            <w:r>
              <w:rPr>
                <w:rFonts w:hint="eastAsia" w:ascii="宋体" w:hAnsi="宋体" w:cs="宋体"/>
                <w:b w:val="0"/>
                <w:bCs w:val="0"/>
                <w:sz w:val="21"/>
                <w:szCs w:val="21"/>
                <w:vertAlign w:val="baseline"/>
                <w:lang w:val="en-US" w:eastAsia="zh-CN"/>
              </w:rPr>
              <w:t xml:space="preserve">27</w:t>
            </w:r>
            <w:r/>
          </w:p>
        </w:tc>
        <w:tc>
          <w:tcPr>
            <w:shd w:val="clear" w:color="auto" w:fill="auto"/>
            <w:tcW w:w="3238"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常州西藏民族中学</w:t>
            </w:r>
            <w:r/>
          </w:p>
        </w:tc>
        <w:tc>
          <w:tcPr>
            <w:tcW w:w="1788" w:type="dxa"/>
            <w:vAlign w:val="center"/>
            <w:textDirection w:val="lrTb"/>
            <w:noWrap w:val="false"/>
          </w:tcPr>
          <w:p>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2026年7月</w:t>
            </w:r>
            <w:r>
              <w:rPr>
                <w:rFonts w:hint="eastAsia" w:ascii="宋体" w:hAnsi="宋体" w:cs="宋体"/>
                <w:sz w:val="21"/>
                <w:szCs w:val="21"/>
                <w:vertAlign w:val="baseline"/>
                <w:lang w:val="en-US" w:eastAsia="zh-CN"/>
              </w:rPr>
              <w:t xml:space="preserve">3</w:t>
            </w:r>
            <w:r>
              <w:rPr>
                <w:rFonts w:hint="eastAsia" w:ascii="宋体" w:hAnsi="宋体" w:eastAsia="宋体" w:cs="宋体"/>
                <w:sz w:val="21"/>
                <w:szCs w:val="21"/>
                <w:vertAlign w:val="baseline"/>
                <w:lang w:val="en-US" w:eastAsia="zh-CN"/>
              </w:rPr>
              <w:t xml:space="preserve">日</w:t>
            </w:r>
            <w:r/>
          </w:p>
        </w:tc>
        <w:tc>
          <w:tcPr>
            <w:tcW w:w="1121" w:type="dxa"/>
            <w:vAlign w:val="center"/>
            <w:textDirection w:val="lrTb"/>
            <w:noWrap w:val="false"/>
          </w:tcPr>
          <w:p>
            <w:pPr>
              <w:pStyle w:val="810"/>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章老师</w:t>
            </w:r>
            <w:r/>
          </w:p>
        </w:tc>
        <w:tc>
          <w:tcPr>
            <w:tcW w:w="1704" w:type="dxa"/>
            <w:vAlign w:val="center"/>
            <w:textDirection w:val="lrTb"/>
            <w:noWrap w:val="false"/>
          </w:tcPr>
          <w:p>
            <w:pPr>
              <w:pStyle w:val="810"/>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13584319451</w:t>
            </w:r>
            <w:r/>
          </w:p>
        </w:tc>
      </w:tr>
      <w:tr>
        <w:trPr/>
        <w:tc>
          <w:tcPr>
            <w:tcW w:w="667" w:type="dxa"/>
            <w:vAlign w:val="center"/>
            <w:textDirection w:val="lrTb"/>
            <w:noWrap w:val="false"/>
          </w:tcPr>
          <w:p>
            <w:pPr>
              <w:pStyle w:val="810"/>
              <w:ind w:left="0" w:firstLine="0"/>
              <w:jc w:val="center"/>
              <w:rPr>
                <w:rFonts w:hint="default" w:ascii="宋体" w:hAnsi="宋体" w:eastAsia="宋体" w:cs="宋体"/>
                <w:b w:val="0"/>
                <w:bCs w:val="0"/>
                <w:sz w:val="21"/>
                <w:szCs w:val="21"/>
                <w:vertAlign w:val="baseline"/>
                <w:lang w:val="en-US" w:eastAsia="zh-CN"/>
              </w:rPr>
            </w:pPr>
            <w:r>
              <w:rPr>
                <w:rFonts w:hint="eastAsia" w:ascii="宋体" w:hAnsi="宋体" w:cs="宋体"/>
                <w:b w:val="0"/>
                <w:bCs w:val="0"/>
                <w:sz w:val="21"/>
                <w:szCs w:val="21"/>
                <w:vertAlign w:val="baseline"/>
                <w:lang w:val="en-US" w:eastAsia="zh-CN"/>
              </w:rPr>
              <w:t xml:space="preserve">28</w:t>
            </w:r>
            <w:r/>
          </w:p>
        </w:tc>
        <w:tc>
          <w:tcPr>
            <w:shd w:val="clear" w:color="auto" w:fill="auto"/>
            <w:tcW w:w="3238"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常州市青少年活动中心</w:t>
            </w:r>
            <w:r/>
          </w:p>
        </w:tc>
        <w:tc>
          <w:tcPr>
            <w:tcW w:w="1788" w:type="dxa"/>
            <w:vAlign w:val="center"/>
            <w:textDirection w:val="lrTb"/>
            <w:noWrap w:val="false"/>
          </w:tcPr>
          <w:p>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2026年7月</w:t>
            </w:r>
            <w:r>
              <w:rPr>
                <w:rFonts w:hint="eastAsia" w:ascii="宋体" w:hAnsi="宋体" w:cs="宋体"/>
                <w:sz w:val="21"/>
                <w:szCs w:val="21"/>
                <w:vertAlign w:val="baseline"/>
                <w:lang w:val="en-US" w:eastAsia="zh-CN"/>
              </w:rPr>
              <w:t xml:space="preserve">3</w:t>
            </w:r>
            <w:r>
              <w:rPr>
                <w:rFonts w:hint="eastAsia" w:ascii="宋体" w:hAnsi="宋体" w:eastAsia="宋体" w:cs="宋体"/>
                <w:sz w:val="21"/>
                <w:szCs w:val="21"/>
                <w:vertAlign w:val="baseline"/>
                <w:lang w:val="en-US" w:eastAsia="zh-CN"/>
              </w:rPr>
              <w:t xml:space="preserve">日</w:t>
            </w:r>
            <w:r/>
          </w:p>
        </w:tc>
        <w:tc>
          <w:tcPr>
            <w:tcW w:w="1121" w:type="dxa"/>
            <w:vAlign w:val="center"/>
            <w:textDirection w:val="lrTb"/>
            <w:noWrap w:val="false"/>
          </w:tcPr>
          <w:p>
            <w:pPr>
              <w:pStyle w:val="810"/>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袁老师</w:t>
            </w:r>
            <w:r/>
          </w:p>
        </w:tc>
        <w:tc>
          <w:tcPr>
            <w:tcW w:w="1704" w:type="dxa"/>
            <w:vAlign w:val="center"/>
            <w:textDirection w:val="lrTb"/>
            <w:noWrap w:val="false"/>
          </w:tcPr>
          <w:p>
            <w:pPr>
              <w:pStyle w:val="810"/>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15722767256</w:t>
            </w:r>
            <w:r/>
          </w:p>
        </w:tc>
      </w:tr>
      <w:tr>
        <w:trPr/>
        <w:tc>
          <w:tcPr>
            <w:tcW w:w="667" w:type="dxa"/>
            <w:vAlign w:val="center"/>
            <w:textDirection w:val="lrTb"/>
            <w:noWrap w:val="false"/>
          </w:tcPr>
          <w:p>
            <w:pPr>
              <w:pStyle w:val="810"/>
              <w:ind w:left="0" w:firstLine="0"/>
              <w:jc w:val="center"/>
              <w:rPr>
                <w:rFonts w:hint="default" w:ascii="宋体" w:hAnsi="宋体" w:eastAsia="宋体" w:cs="宋体"/>
                <w:b w:val="0"/>
                <w:bCs w:val="0"/>
                <w:sz w:val="21"/>
                <w:szCs w:val="21"/>
                <w:vertAlign w:val="baseline"/>
                <w:lang w:val="en-US" w:eastAsia="zh-CN"/>
              </w:rPr>
            </w:pPr>
            <w:r>
              <w:rPr>
                <w:rFonts w:hint="eastAsia" w:ascii="宋体" w:hAnsi="宋体" w:cs="宋体"/>
                <w:b w:val="0"/>
                <w:bCs w:val="0"/>
                <w:sz w:val="21"/>
                <w:szCs w:val="21"/>
                <w:vertAlign w:val="baseline"/>
                <w:lang w:val="en-US" w:eastAsia="zh-CN"/>
              </w:rPr>
              <w:t xml:space="preserve">29</w:t>
            </w:r>
            <w:r/>
          </w:p>
        </w:tc>
        <w:tc>
          <w:tcPr>
            <w:shd w:val="clear" w:color="auto" w:fill="auto"/>
            <w:tcW w:w="3238" w:type="dxa"/>
            <w:vAlign w:val="center"/>
            <w:textDirection w:val="lrTb"/>
            <w:noWrap w:val="false"/>
          </w:tcPr>
          <w:p>
            <w:pPr>
              <w:jc w:val="center"/>
              <w:keepLines w:val="0"/>
              <w:keepNext w:val="0"/>
              <w:widowControl/>
              <w:rPr>
                <w:rFonts w:hint="default"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常州市北郊</w:t>
            </w:r>
            <w:r>
              <w:rPr>
                <w:rFonts w:hint="eastAsia" w:ascii="宋体" w:hAnsi="宋体" w:cs="宋体"/>
                <w:i w:val="0"/>
                <w:iCs w:val="0"/>
                <w:color w:val="000000"/>
                <w:sz w:val="21"/>
                <w:szCs w:val="21"/>
                <w:u w:val="none"/>
                <w:lang w:val="en-US" w:eastAsia="zh-CN" w:bidi="ar"/>
              </w:rPr>
              <w:t xml:space="preserve">初级中学</w:t>
            </w:r>
            <w:r/>
          </w:p>
        </w:tc>
        <w:tc>
          <w:tcPr>
            <w:tcW w:w="1788" w:type="dxa"/>
            <w:vAlign w:val="center"/>
            <w:textDirection w:val="lrTb"/>
            <w:noWrap w:val="false"/>
          </w:tcPr>
          <w:p>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2026年7月</w:t>
            </w:r>
            <w:r>
              <w:rPr>
                <w:rFonts w:hint="eastAsia" w:ascii="宋体" w:hAnsi="宋体" w:cs="宋体"/>
                <w:sz w:val="21"/>
                <w:szCs w:val="21"/>
                <w:vertAlign w:val="baseline"/>
                <w:lang w:val="en-US" w:eastAsia="zh-CN"/>
              </w:rPr>
              <w:t xml:space="preserve">3</w:t>
            </w:r>
            <w:r>
              <w:rPr>
                <w:rFonts w:hint="eastAsia" w:ascii="宋体" w:hAnsi="宋体" w:eastAsia="宋体" w:cs="宋体"/>
                <w:sz w:val="21"/>
                <w:szCs w:val="21"/>
                <w:vertAlign w:val="baseline"/>
                <w:lang w:val="en-US" w:eastAsia="zh-CN"/>
              </w:rPr>
              <w:t xml:space="preserve">日</w:t>
            </w:r>
            <w:r/>
          </w:p>
        </w:tc>
        <w:tc>
          <w:tcPr>
            <w:tcW w:w="1121" w:type="dxa"/>
            <w:vAlign w:val="center"/>
            <w:textDirection w:val="lrTb"/>
            <w:noWrap w:val="false"/>
          </w:tcPr>
          <w:p>
            <w:pPr>
              <w:pStyle w:val="810"/>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宋老师</w:t>
            </w:r>
            <w:r/>
          </w:p>
        </w:tc>
        <w:tc>
          <w:tcPr>
            <w:tcW w:w="1704" w:type="dxa"/>
            <w:vAlign w:val="center"/>
            <w:textDirection w:val="lrTb"/>
            <w:noWrap w:val="false"/>
          </w:tcPr>
          <w:p>
            <w:pPr>
              <w:pStyle w:val="810"/>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13401320520</w:t>
            </w:r>
            <w:r/>
          </w:p>
        </w:tc>
      </w:tr>
      <w:tr>
        <w:trPr/>
        <w:tc>
          <w:tcPr>
            <w:tcW w:w="667" w:type="dxa"/>
            <w:vAlign w:val="center"/>
            <w:textDirection w:val="lrTb"/>
            <w:noWrap w:val="false"/>
          </w:tcPr>
          <w:p>
            <w:pPr>
              <w:pStyle w:val="810"/>
              <w:ind w:left="0" w:firstLine="0"/>
              <w:jc w:val="center"/>
              <w:rPr>
                <w:rFonts w:hint="default" w:ascii="宋体" w:hAnsi="宋体" w:eastAsia="宋体" w:cs="宋体"/>
                <w:b w:val="0"/>
                <w:bCs w:val="0"/>
                <w:sz w:val="21"/>
                <w:szCs w:val="21"/>
                <w:vertAlign w:val="baseline"/>
                <w:lang w:val="en-US" w:eastAsia="zh-CN"/>
              </w:rPr>
            </w:pPr>
            <w:r>
              <w:rPr>
                <w:rFonts w:hint="eastAsia" w:ascii="宋体" w:hAnsi="宋体" w:cs="宋体"/>
                <w:b w:val="0"/>
                <w:bCs w:val="0"/>
                <w:sz w:val="21"/>
                <w:szCs w:val="21"/>
                <w:vertAlign w:val="baseline"/>
                <w:lang w:val="en-US" w:eastAsia="zh-CN"/>
              </w:rPr>
              <w:t xml:space="preserve">30</w:t>
            </w:r>
            <w:r/>
          </w:p>
        </w:tc>
        <w:tc>
          <w:tcPr>
            <w:shd w:val="clear" w:color="auto" w:fill="auto"/>
            <w:tcW w:w="3238"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常州市明德实验中学</w:t>
            </w:r>
            <w:r/>
          </w:p>
        </w:tc>
        <w:tc>
          <w:tcPr>
            <w:tcW w:w="1788" w:type="dxa"/>
            <w:vAlign w:val="center"/>
            <w:textDirection w:val="lrTb"/>
            <w:noWrap w:val="false"/>
          </w:tcPr>
          <w:p>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2026年7月</w:t>
            </w:r>
            <w:r>
              <w:rPr>
                <w:rFonts w:hint="eastAsia" w:ascii="宋体" w:hAnsi="宋体" w:cs="宋体"/>
                <w:sz w:val="21"/>
                <w:szCs w:val="21"/>
                <w:vertAlign w:val="baseline"/>
                <w:lang w:val="en-US" w:eastAsia="zh-CN"/>
              </w:rPr>
              <w:t xml:space="preserve">3</w:t>
            </w:r>
            <w:r>
              <w:rPr>
                <w:rFonts w:hint="eastAsia" w:ascii="宋体" w:hAnsi="宋体" w:eastAsia="宋体" w:cs="宋体"/>
                <w:sz w:val="21"/>
                <w:szCs w:val="21"/>
                <w:vertAlign w:val="baseline"/>
                <w:lang w:val="en-US" w:eastAsia="zh-CN"/>
              </w:rPr>
              <w:t xml:space="preserve">日</w:t>
            </w:r>
            <w:r/>
          </w:p>
        </w:tc>
        <w:tc>
          <w:tcPr>
            <w:tcW w:w="1121" w:type="dxa"/>
            <w:vAlign w:val="center"/>
            <w:textDirection w:val="lrTb"/>
            <w:noWrap w:val="false"/>
          </w:tcPr>
          <w:p>
            <w:pPr>
              <w:pStyle w:val="810"/>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庄老师</w:t>
            </w:r>
            <w:r/>
          </w:p>
        </w:tc>
        <w:tc>
          <w:tcPr>
            <w:tcW w:w="1704" w:type="dxa"/>
            <w:vAlign w:val="center"/>
            <w:textDirection w:val="lrTb"/>
            <w:noWrap w:val="false"/>
          </w:tcPr>
          <w:p>
            <w:pPr>
              <w:pStyle w:val="810"/>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13775059568</w:t>
            </w:r>
            <w:r/>
          </w:p>
        </w:tc>
      </w:tr>
      <w:tr>
        <w:trPr/>
        <w:tc>
          <w:tcPr>
            <w:tcW w:w="667" w:type="dxa"/>
            <w:vAlign w:val="center"/>
            <w:textDirection w:val="lrTb"/>
            <w:noWrap w:val="false"/>
          </w:tcPr>
          <w:p>
            <w:pPr>
              <w:pStyle w:val="810"/>
              <w:ind w:left="0" w:firstLine="0"/>
              <w:jc w:val="center"/>
              <w:rPr>
                <w:rFonts w:hint="default" w:ascii="宋体" w:hAnsi="宋体" w:eastAsia="宋体" w:cs="宋体"/>
                <w:b w:val="0"/>
                <w:bCs w:val="0"/>
                <w:sz w:val="21"/>
                <w:szCs w:val="21"/>
                <w:vertAlign w:val="baseline"/>
                <w:lang w:val="en-US" w:eastAsia="zh-CN"/>
              </w:rPr>
            </w:pPr>
            <w:r>
              <w:rPr>
                <w:rFonts w:hint="eastAsia" w:ascii="宋体" w:hAnsi="宋体" w:cs="宋体"/>
                <w:b w:val="0"/>
                <w:bCs w:val="0"/>
                <w:sz w:val="21"/>
                <w:szCs w:val="21"/>
                <w:vertAlign w:val="baseline"/>
                <w:lang w:val="en-US" w:eastAsia="zh-CN"/>
              </w:rPr>
              <w:t xml:space="preserve">31</w:t>
            </w:r>
            <w:r/>
          </w:p>
        </w:tc>
        <w:tc>
          <w:tcPr>
            <w:shd w:val="clear" w:color="auto" w:fill="auto"/>
            <w:tcW w:w="3238"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常州市朝阳中学</w:t>
            </w:r>
            <w:r/>
          </w:p>
        </w:tc>
        <w:tc>
          <w:tcPr>
            <w:tcW w:w="1788" w:type="dxa"/>
            <w:vAlign w:val="center"/>
            <w:textDirection w:val="lrTb"/>
            <w:noWrap w:val="false"/>
          </w:tcPr>
          <w:p>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2026年7月</w:t>
            </w:r>
            <w:r>
              <w:rPr>
                <w:rFonts w:hint="eastAsia" w:ascii="宋体" w:hAnsi="宋体" w:cs="宋体"/>
                <w:sz w:val="21"/>
                <w:szCs w:val="21"/>
                <w:vertAlign w:val="baseline"/>
                <w:lang w:val="en-US" w:eastAsia="zh-CN"/>
              </w:rPr>
              <w:t xml:space="preserve">3</w:t>
            </w:r>
            <w:r>
              <w:rPr>
                <w:rFonts w:hint="eastAsia" w:ascii="宋体" w:hAnsi="宋体" w:eastAsia="宋体" w:cs="宋体"/>
                <w:sz w:val="21"/>
                <w:szCs w:val="21"/>
                <w:vertAlign w:val="baseline"/>
                <w:lang w:val="en-US" w:eastAsia="zh-CN"/>
              </w:rPr>
              <w:t xml:space="preserve">日</w:t>
            </w:r>
            <w:r/>
          </w:p>
        </w:tc>
        <w:tc>
          <w:tcPr>
            <w:tcW w:w="1121" w:type="dxa"/>
            <w:vAlign w:val="center"/>
            <w:textDirection w:val="lrTb"/>
            <w:noWrap w:val="false"/>
          </w:tcPr>
          <w:p>
            <w:pPr>
              <w:pStyle w:val="810"/>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李老师</w:t>
            </w:r>
            <w:r/>
          </w:p>
        </w:tc>
        <w:tc>
          <w:tcPr>
            <w:tcW w:w="1704" w:type="dxa"/>
            <w:vAlign w:val="center"/>
            <w:textDirection w:val="lrTb"/>
            <w:noWrap w:val="false"/>
          </w:tcPr>
          <w:p>
            <w:pPr>
              <w:pStyle w:val="810"/>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13515251455</w:t>
            </w:r>
            <w:r/>
          </w:p>
        </w:tc>
      </w:tr>
      <w:tr>
        <w:trPr/>
        <w:tc>
          <w:tcPr>
            <w:tcW w:w="667" w:type="dxa"/>
            <w:vAlign w:val="center"/>
            <w:textDirection w:val="lrTb"/>
            <w:noWrap w:val="false"/>
          </w:tcPr>
          <w:p>
            <w:pPr>
              <w:pStyle w:val="810"/>
              <w:ind w:left="0" w:firstLine="0"/>
              <w:jc w:val="center"/>
              <w:rPr>
                <w:rFonts w:hint="default" w:ascii="宋体" w:hAnsi="宋体" w:eastAsia="宋体" w:cs="宋体"/>
                <w:b w:val="0"/>
                <w:bCs w:val="0"/>
                <w:sz w:val="21"/>
                <w:szCs w:val="21"/>
                <w:vertAlign w:val="baseline"/>
                <w:lang w:val="en-US" w:eastAsia="zh-CN"/>
              </w:rPr>
            </w:pPr>
            <w:r>
              <w:rPr>
                <w:rFonts w:hint="eastAsia" w:ascii="宋体" w:hAnsi="宋体" w:cs="宋体"/>
                <w:b w:val="0"/>
                <w:bCs w:val="0"/>
                <w:sz w:val="21"/>
                <w:szCs w:val="21"/>
                <w:vertAlign w:val="baseline"/>
                <w:lang w:val="en-US" w:eastAsia="zh-CN"/>
              </w:rPr>
              <w:t xml:space="preserve">32</w:t>
            </w:r>
            <w:r/>
          </w:p>
        </w:tc>
        <w:tc>
          <w:tcPr>
            <w:shd w:val="clear" w:color="auto" w:fill="auto"/>
            <w:tcW w:w="3238"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常州市第二十四中学</w:t>
            </w:r>
            <w:r/>
          </w:p>
        </w:tc>
        <w:tc>
          <w:tcPr>
            <w:tcW w:w="1788" w:type="dxa"/>
            <w:vAlign w:val="center"/>
            <w:textDirection w:val="lrTb"/>
            <w:noWrap w:val="false"/>
          </w:tcPr>
          <w:p>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2026年7月</w:t>
            </w:r>
            <w:r>
              <w:rPr>
                <w:rFonts w:hint="eastAsia" w:ascii="宋体" w:hAnsi="宋体" w:cs="宋体"/>
                <w:sz w:val="21"/>
                <w:szCs w:val="21"/>
                <w:vertAlign w:val="baseline"/>
                <w:lang w:val="en-US" w:eastAsia="zh-CN"/>
              </w:rPr>
              <w:t xml:space="preserve">3</w:t>
            </w:r>
            <w:r>
              <w:rPr>
                <w:rFonts w:hint="eastAsia" w:ascii="宋体" w:hAnsi="宋体" w:eastAsia="宋体" w:cs="宋体"/>
                <w:sz w:val="21"/>
                <w:szCs w:val="21"/>
                <w:vertAlign w:val="baseline"/>
                <w:lang w:val="en-US" w:eastAsia="zh-CN"/>
              </w:rPr>
              <w:t xml:space="preserve">日</w:t>
            </w:r>
            <w:r/>
          </w:p>
        </w:tc>
        <w:tc>
          <w:tcPr>
            <w:tcW w:w="1121" w:type="dxa"/>
            <w:vAlign w:val="center"/>
            <w:textDirection w:val="lrTb"/>
            <w:noWrap w:val="false"/>
          </w:tcPr>
          <w:p>
            <w:pPr>
              <w:pStyle w:val="810"/>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李校长</w:t>
            </w:r>
            <w:r/>
          </w:p>
        </w:tc>
        <w:tc>
          <w:tcPr>
            <w:tcW w:w="1704" w:type="dxa"/>
            <w:vAlign w:val="center"/>
            <w:textDirection w:val="lrTb"/>
            <w:noWrap w:val="false"/>
          </w:tcPr>
          <w:p>
            <w:pPr>
              <w:pStyle w:val="810"/>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15151986868</w:t>
            </w:r>
            <w:r/>
          </w:p>
        </w:tc>
      </w:tr>
      <w:tr>
        <w:trPr/>
        <w:tc>
          <w:tcPr>
            <w:tcW w:w="667" w:type="dxa"/>
            <w:vAlign w:val="center"/>
            <w:textDirection w:val="lrTb"/>
            <w:noWrap w:val="false"/>
          </w:tcPr>
          <w:p>
            <w:pPr>
              <w:pStyle w:val="810"/>
              <w:ind w:left="0" w:firstLine="0"/>
              <w:jc w:val="center"/>
              <w:rPr>
                <w:rFonts w:hint="default" w:ascii="宋体" w:hAnsi="宋体" w:eastAsia="宋体" w:cs="宋体"/>
                <w:b w:val="0"/>
                <w:bCs w:val="0"/>
                <w:sz w:val="21"/>
                <w:szCs w:val="21"/>
                <w:vertAlign w:val="baseline"/>
                <w:lang w:val="en-US" w:eastAsia="zh-CN"/>
              </w:rPr>
            </w:pPr>
            <w:r>
              <w:rPr>
                <w:rFonts w:hint="eastAsia" w:ascii="宋体" w:hAnsi="宋体" w:cs="宋体"/>
                <w:b w:val="0"/>
                <w:bCs w:val="0"/>
                <w:sz w:val="21"/>
                <w:szCs w:val="21"/>
                <w:vertAlign w:val="baseline"/>
                <w:lang w:val="en-US" w:eastAsia="zh-CN"/>
              </w:rPr>
              <w:t xml:space="preserve">33</w:t>
            </w:r>
            <w:r/>
          </w:p>
        </w:tc>
        <w:tc>
          <w:tcPr>
            <w:shd w:val="clear" w:color="auto" w:fill="auto"/>
            <w:tcW w:w="3238"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常州市花园中学</w:t>
            </w:r>
            <w:r/>
          </w:p>
        </w:tc>
        <w:tc>
          <w:tcPr>
            <w:tcW w:w="1788" w:type="dxa"/>
            <w:vAlign w:val="center"/>
            <w:textDirection w:val="lrTb"/>
            <w:noWrap w:val="false"/>
          </w:tcPr>
          <w:p>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2026年7月</w:t>
            </w:r>
            <w:r>
              <w:rPr>
                <w:rFonts w:hint="eastAsia" w:ascii="宋体" w:hAnsi="宋体" w:cs="宋体"/>
                <w:sz w:val="21"/>
                <w:szCs w:val="21"/>
                <w:vertAlign w:val="baseline"/>
                <w:lang w:val="en-US" w:eastAsia="zh-CN"/>
              </w:rPr>
              <w:t xml:space="preserve">3</w:t>
            </w:r>
            <w:r>
              <w:rPr>
                <w:rFonts w:hint="eastAsia" w:ascii="宋体" w:hAnsi="宋体" w:eastAsia="宋体" w:cs="宋体"/>
                <w:sz w:val="21"/>
                <w:szCs w:val="21"/>
                <w:vertAlign w:val="baseline"/>
                <w:lang w:val="en-US" w:eastAsia="zh-CN"/>
              </w:rPr>
              <w:t xml:space="preserve">日</w:t>
            </w:r>
            <w:r/>
          </w:p>
        </w:tc>
        <w:tc>
          <w:tcPr>
            <w:tcW w:w="1121" w:type="dxa"/>
            <w:vAlign w:val="center"/>
            <w:textDirection w:val="lrTb"/>
            <w:noWrap w:val="false"/>
          </w:tcPr>
          <w:p>
            <w:pPr>
              <w:pStyle w:val="810"/>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高老师</w:t>
            </w:r>
            <w:r/>
          </w:p>
        </w:tc>
        <w:tc>
          <w:tcPr>
            <w:tcW w:w="1704" w:type="dxa"/>
            <w:vAlign w:val="center"/>
            <w:textDirection w:val="lrTb"/>
            <w:noWrap w:val="false"/>
          </w:tcPr>
          <w:p>
            <w:pPr>
              <w:pStyle w:val="810"/>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13861065375</w:t>
            </w:r>
            <w:r/>
          </w:p>
        </w:tc>
      </w:tr>
      <w:tr>
        <w:trPr/>
        <w:tc>
          <w:tcPr>
            <w:tcW w:w="667" w:type="dxa"/>
            <w:vAlign w:val="center"/>
            <w:textDirection w:val="lrTb"/>
            <w:noWrap w:val="false"/>
          </w:tcPr>
          <w:p>
            <w:pPr>
              <w:pStyle w:val="810"/>
              <w:ind w:left="0" w:firstLine="0"/>
              <w:jc w:val="center"/>
              <w:rPr>
                <w:rFonts w:hint="default" w:ascii="宋体" w:hAnsi="宋体" w:eastAsia="宋体" w:cs="宋体"/>
                <w:b w:val="0"/>
                <w:bCs w:val="0"/>
                <w:sz w:val="21"/>
                <w:szCs w:val="21"/>
                <w:vertAlign w:val="baseline"/>
                <w:lang w:val="en-US" w:eastAsia="zh-CN"/>
              </w:rPr>
            </w:pPr>
            <w:r>
              <w:rPr>
                <w:rFonts w:hint="eastAsia" w:ascii="宋体" w:hAnsi="宋体" w:cs="宋体"/>
                <w:b w:val="0"/>
                <w:bCs w:val="0"/>
                <w:sz w:val="21"/>
                <w:szCs w:val="21"/>
                <w:vertAlign w:val="baseline"/>
                <w:lang w:val="en-US" w:eastAsia="zh-CN"/>
              </w:rPr>
              <w:t xml:space="preserve">34</w:t>
            </w:r>
            <w:r/>
          </w:p>
        </w:tc>
        <w:tc>
          <w:tcPr>
            <w:shd w:val="clear" w:color="auto" w:fill="auto"/>
            <w:tcW w:w="3238"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常州市丽华中学</w:t>
            </w:r>
            <w:r/>
          </w:p>
        </w:tc>
        <w:tc>
          <w:tcPr>
            <w:tcW w:w="1788" w:type="dxa"/>
            <w:vAlign w:val="center"/>
            <w:textDirection w:val="lrTb"/>
            <w:noWrap w:val="false"/>
          </w:tcPr>
          <w:p>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2026年7月</w:t>
            </w:r>
            <w:r>
              <w:rPr>
                <w:rFonts w:hint="eastAsia" w:ascii="宋体" w:hAnsi="宋体" w:cs="宋体"/>
                <w:sz w:val="21"/>
                <w:szCs w:val="21"/>
                <w:vertAlign w:val="baseline"/>
                <w:lang w:val="en-US" w:eastAsia="zh-CN"/>
              </w:rPr>
              <w:t xml:space="preserve">3</w:t>
            </w:r>
            <w:r>
              <w:rPr>
                <w:rFonts w:hint="eastAsia" w:ascii="宋体" w:hAnsi="宋体" w:eastAsia="宋体" w:cs="宋体"/>
                <w:sz w:val="21"/>
                <w:szCs w:val="21"/>
                <w:vertAlign w:val="baseline"/>
                <w:lang w:val="en-US" w:eastAsia="zh-CN"/>
              </w:rPr>
              <w:t xml:space="preserve">日</w:t>
            </w:r>
            <w:r/>
          </w:p>
        </w:tc>
        <w:tc>
          <w:tcPr>
            <w:tcW w:w="1121" w:type="dxa"/>
            <w:vAlign w:val="center"/>
            <w:textDirection w:val="lrTb"/>
            <w:noWrap w:val="false"/>
          </w:tcPr>
          <w:p>
            <w:pPr>
              <w:pStyle w:val="810"/>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傅老师</w:t>
            </w:r>
            <w:r/>
          </w:p>
        </w:tc>
        <w:tc>
          <w:tcPr>
            <w:tcW w:w="1704" w:type="dxa"/>
            <w:vAlign w:val="center"/>
            <w:textDirection w:val="lrTb"/>
            <w:noWrap w:val="false"/>
          </w:tcPr>
          <w:p>
            <w:pPr>
              <w:pStyle w:val="810"/>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13775089456</w:t>
            </w:r>
            <w:r/>
          </w:p>
        </w:tc>
      </w:tr>
      <w:tr>
        <w:trPr/>
        <w:tc>
          <w:tcPr>
            <w:tcW w:w="667" w:type="dxa"/>
            <w:vAlign w:val="center"/>
            <w:textDirection w:val="lrTb"/>
            <w:noWrap w:val="false"/>
          </w:tcPr>
          <w:p>
            <w:pPr>
              <w:pStyle w:val="810"/>
              <w:ind w:left="0" w:firstLine="0"/>
              <w:jc w:val="center"/>
              <w:rPr>
                <w:rFonts w:hint="default" w:ascii="宋体" w:hAnsi="宋体" w:eastAsia="宋体" w:cs="宋体"/>
                <w:b w:val="0"/>
                <w:bCs w:val="0"/>
                <w:sz w:val="21"/>
                <w:szCs w:val="21"/>
                <w:vertAlign w:val="baseline"/>
                <w:lang w:val="en-US" w:eastAsia="zh-CN"/>
              </w:rPr>
            </w:pPr>
            <w:r>
              <w:rPr>
                <w:rFonts w:hint="eastAsia" w:ascii="宋体" w:hAnsi="宋体" w:cs="宋体"/>
                <w:b w:val="0"/>
                <w:bCs w:val="0"/>
                <w:sz w:val="21"/>
                <w:szCs w:val="21"/>
                <w:vertAlign w:val="baseline"/>
                <w:lang w:val="en-US" w:eastAsia="zh-CN"/>
              </w:rPr>
              <w:t xml:space="preserve">35</w:t>
            </w:r>
            <w:r/>
          </w:p>
        </w:tc>
        <w:tc>
          <w:tcPr>
            <w:shd w:val="clear" w:color="auto" w:fill="auto"/>
            <w:tcW w:w="3238"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常州市教科院附属初级中学</w:t>
            </w:r>
            <w:r/>
          </w:p>
        </w:tc>
        <w:tc>
          <w:tcPr>
            <w:tcW w:w="1788" w:type="dxa"/>
            <w:vAlign w:val="center"/>
            <w:textDirection w:val="lrTb"/>
            <w:noWrap w:val="false"/>
          </w:tcPr>
          <w:p>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2026年7月</w:t>
            </w:r>
            <w:r>
              <w:rPr>
                <w:rFonts w:hint="eastAsia" w:ascii="宋体" w:hAnsi="宋体" w:cs="宋体"/>
                <w:sz w:val="21"/>
                <w:szCs w:val="21"/>
                <w:vertAlign w:val="baseline"/>
                <w:lang w:val="en-US" w:eastAsia="zh-CN"/>
              </w:rPr>
              <w:t xml:space="preserve">3</w:t>
            </w:r>
            <w:r>
              <w:rPr>
                <w:rFonts w:hint="eastAsia" w:ascii="宋体" w:hAnsi="宋体" w:eastAsia="宋体" w:cs="宋体"/>
                <w:sz w:val="21"/>
                <w:szCs w:val="21"/>
                <w:vertAlign w:val="baseline"/>
                <w:lang w:val="en-US" w:eastAsia="zh-CN"/>
              </w:rPr>
              <w:t xml:space="preserve">日</w:t>
            </w:r>
            <w:r/>
          </w:p>
        </w:tc>
        <w:tc>
          <w:tcPr>
            <w:tcW w:w="1121" w:type="dxa"/>
            <w:vAlign w:val="center"/>
            <w:textDirection w:val="lrTb"/>
            <w:noWrap w:val="false"/>
          </w:tcPr>
          <w:p>
            <w:pPr>
              <w:pStyle w:val="810"/>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钱老师</w:t>
            </w:r>
            <w:r/>
          </w:p>
        </w:tc>
        <w:tc>
          <w:tcPr>
            <w:tcW w:w="1704" w:type="dxa"/>
            <w:vAlign w:val="center"/>
            <w:textDirection w:val="lrTb"/>
            <w:noWrap w:val="false"/>
          </w:tcPr>
          <w:p>
            <w:pPr>
              <w:pStyle w:val="810"/>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15006116558</w:t>
            </w:r>
            <w:r/>
          </w:p>
        </w:tc>
      </w:tr>
    </w:tbl>
    <w:p>
      <w:pPr>
        <w:pStyle w:val="810"/>
        <w:rPr>
          <w:rFonts w:hint="default"/>
          <w:lang w:val="en-US" w:eastAsia="zh-CN"/>
        </w:rPr>
      </w:pPr>
      <w:r>
        <w:rPr>
          <w:rFonts w:hint="default"/>
          <w:lang w:val="en-US" w:eastAsia="zh-CN"/>
        </w:rPr>
      </w:r>
      <w:r/>
    </w:p>
    <w:p>
      <w:pPr>
        <w:pStyle w:val="1088"/>
        <w:numPr>
          <w:ilvl w:val="0"/>
          <w:numId w:val="4"/>
        </w:numPr>
        <w:jc w:val="both"/>
        <w:spacing w:line="400" w:lineRule="exact"/>
        <w:widowControl w:val="off"/>
        <w:rPr>
          <w:rFonts w:hint="eastAsia" w:asciiTheme="minorEastAsia" w:hAnsiTheme="minorEastAsia" w:eastAsiaTheme="minorEastAsia" w:cstheme="minorEastAsia"/>
          <w:b/>
          <w:lang w:eastAsia="zh-CN"/>
        </w:rPr>
      </w:pPr>
      <w:r>
        <w:rPr>
          <w:rFonts w:hint="eastAsia" w:asciiTheme="minorEastAsia" w:hAnsiTheme="minorEastAsia" w:eastAsiaTheme="minorEastAsia" w:cstheme="minorEastAsia"/>
          <w:b/>
          <w:lang w:eastAsia="zh-CN"/>
        </w:rPr>
        <w:t xml:space="preserve">政府采购中实施本国产品标准及相关政策</w:t>
      </w:r>
      <w:r/>
    </w:p>
    <w:p>
      <w:pPr>
        <w:pStyle w:val="1088"/>
        <w:ind w:left="0" w:firstLine="420"/>
        <w:jc w:val="both"/>
        <w:spacing w:line="400" w:lineRule="exact"/>
        <w:widowControl w:val="off"/>
        <w:rPr>
          <w:rFonts w:hint="eastAsia" w:asciiTheme="minorEastAsia" w:hAnsiTheme="minorEastAsia" w:eastAsiaTheme="minorEastAsia" w:cstheme="minorEastAsia"/>
          <w:bCs/>
          <w:lang w:eastAsia="zh-CN"/>
        </w:rPr>
      </w:pPr>
      <w:r>
        <w:rPr>
          <w:rFonts w:hint="eastAsia" w:asciiTheme="minorEastAsia" w:hAnsiTheme="minorEastAsia" w:eastAsiaTheme="minorEastAsia" w:cstheme="minorEastAsia"/>
          <w:bCs/>
          <w:lang w:eastAsia="zh-CN"/>
        </w:rPr>
        <w:t xml:space="preserve">1.本项目对采购本国产品给予政策支持，具体内容见招标文件“第五章 评标方法与评标标准”。</w:t>
      </w:r>
      <w:r/>
    </w:p>
    <w:p>
      <w:pPr>
        <w:pStyle w:val="1088"/>
        <w:ind w:left="0" w:firstLine="420"/>
        <w:jc w:val="both"/>
        <w:spacing w:line="400" w:lineRule="exact"/>
        <w:widowControl w:val="off"/>
        <w:rPr>
          <w:rFonts w:hint="eastAsia" w:asciiTheme="minorEastAsia" w:hAnsiTheme="minorEastAsia" w:eastAsiaTheme="minorEastAsia" w:cstheme="minorEastAsia"/>
          <w:bCs/>
          <w:lang w:eastAsia="zh-CN"/>
        </w:rPr>
      </w:pPr>
      <w:r>
        <w:rPr>
          <w:rFonts w:hint="eastAsia" w:asciiTheme="minorEastAsia" w:hAnsiTheme="minorEastAsia" w:eastAsiaTheme="minorEastAsia" w:cstheme="minorEastAsia"/>
          <w:bCs/>
          <w:lang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088"/>
        <w:ind w:left="0" w:firstLine="420"/>
        <w:jc w:val="both"/>
        <w:spacing w:line="400" w:lineRule="exact"/>
        <w:widowControl w:val="off"/>
        <w:rPr>
          <w:rFonts w:hint="eastAsia" w:asciiTheme="minorEastAsia" w:hAnsiTheme="minorEastAsia" w:eastAsiaTheme="minorEastAsia" w:cstheme="minorEastAsia"/>
          <w:bCs/>
          <w:lang w:eastAsia="zh-CN"/>
        </w:rPr>
      </w:pPr>
      <w:r>
        <w:rPr>
          <w:rFonts w:hint="eastAsia" w:asciiTheme="minorEastAsia" w:hAnsiTheme="minorEastAsia" w:eastAsiaTheme="minorEastAsia" w:cstheme="minorEastAsia"/>
          <w:bCs/>
          <w:lang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088"/>
        <w:numPr>
          <w:ilvl w:val="0"/>
          <w:numId w:val="4"/>
        </w:numPr>
        <w:jc w:val="both"/>
        <w:widowControl w:val="off"/>
        <w:rPr>
          <w:rFonts w:hint="eastAsia" w:asciiTheme="minorEastAsia" w:hAnsiTheme="minorEastAsia" w:eastAsiaTheme="minorEastAsia" w:cstheme="minorEastAsia"/>
          <w:b/>
          <w:lang w:eastAsia="zh-CN"/>
        </w:rPr>
      </w:pPr>
      <w:r>
        <w:rPr>
          <w:rFonts w:hint="eastAsia" w:asciiTheme="minorEastAsia" w:hAnsiTheme="minorEastAsia" w:eastAsiaTheme="minorEastAsia" w:cstheme="minorEastAsia"/>
          <w:b/>
          <w:lang w:eastAsia="zh-CN"/>
        </w:rPr>
        <w:t xml:space="preserve">商务要求（本部分内容所有条款均为实质性要求）</w:t>
      </w:r>
      <w:r/>
    </w:p>
    <w:tbl>
      <w:tblPr>
        <w:tblStyle w:val="80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77"/>
        <w:gridCol w:w="1685"/>
        <w:gridCol w:w="6143"/>
      </w:tblGrid>
      <w:tr>
        <w:trPr>
          <w:trHeight w:val="284"/>
        </w:trPr>
        <w:tc>
          <w:tcPr>
            <w:tcBorders>
              <w:top w:val="single" w:color="auto" w:sz="4" w:space="0"/>
              <w:left w:val="single" w:color="auto" w:sz="4" w:space="0"/>
              <w:bottom w:val="single" w:color="auto" w:sz="4" w:space="0"/>
              <w:right w:val="single" w:color="auto" w:sz="4" w:space="0"/>
            </w:tcBorders>
            <w:tcW w:w="577"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序号</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条款名称</w:t>
            </w:r>
            <w:r/>
          </w:p>
        </w:tc>
        <w:tc>
          <w:tcPr>
            <w:tcBorders>
              <w:top w:val="single" w:color="auto" w:sz="4" w:space="0"/>
              <w:left w:val="single" w:color="auto" w:sz="4" w:space="0"/>
              <w:bottom w:val="single" w:color="auto" w:sz="4" w:space="0"/>
              <w:right w:val="single" w:color="auto" w:sz="4" w:space="0"/>
            </w:tcBorders>
            <w:tcW w:w="6143"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具体要求</w:t>
            </w:r>
            <w:r/>
          </w:p>
        </w:tc>
      </w:tr>
      <w:tr>
        <w:trPr>
          <w:trHeight w:val="132"/>
        </w:trPr>
        <w:tc>
          <w:tcPr>
            <w:tcBorders>
              <w:top w:val="single" w:color="auto" w:sz="4" w:space="0"/>
              <w:left w:val="single" w:color="auto" w:sz="4" w:space="0"/>
              <w:bottom w:val="single" w:color="auto" w:sz="4" w:space="0"/>
              <w:right w:val="single" w:color="auto" w:sz="4" w:space="0"/>
            </w:tcBorders>
            <w:tcW w:w="577"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合同主体</w:t>
            </w:r>
            <w:r/>
          </w:p>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与付款单位</w:t>
            </w:r>
            <w:r/>
          </w:p>
        </w:tc>
        <w:tc>
          <w:tcPr>
            <w:tcBorders>
              <w:top w:val="single" w:color="auto" w:sz="4" w:space="0"/>
              <w:left w:val="single" w:color="auto" w:sz="4" w:space="0"/>
              <w:bottom w:val="single" w:color="auto" w:sz="4" w:space="0"/>
              <w:right w:val="single" w:color="auto" w:sz="4" w:space="0"/>
            </w:tcBorders>
            <w:tcW w:w="6143" w:type="dxa"/>
            <w:vAlign w:val="center"/>
            <w:textDirection w:val="lrTb"/>
            <w:noWrap w:val="false"/>
          </w:tcPr>
          <w:p>
            <w:pPr>
              <w:spacing w:line="400" w:lineRule="exact"/>
              <w:rPr>
                <w:rFonts w:hint="default" w:asciiTheme="minorEastAsia" w:hAnsiTheme="minorEastAsia" w:eastAsiaTheme="minorEastAsia" w:cstheme="minorEastAsia"/>
                <w:lang w:val="en-US" w:eastAsia="zh-CN"/>
              </w:rPr>
            </w:pPr>
            <w:r>
              <w:rPr>
                <w:rFonts w:hint="eastAsia" w:ascii="宋体" w:hAnsi="宋体" w:cs="宋体"/>
              </w:rPr>
              <w:t xml:space="preserve">本项目合同主体与付款单位为</w:t>
            </w:r>
            <w:r>
              <w:rPr>
                <w:rFonts w:hint="eastAsia" w:ascii="宋体" w:hAnsi="宋体" w:cs="宋体"/>
                <w:color w:val="auto"/>
              </w:rPr>
              <w:t xml:space="preserve">：</w:t>
            </w:r>
            <w:r>
              <w:rPr>
                <w:rFonts w:hint="eastAsia" w:asciiTheme="minorEastAsia" w:hAnsiTheme="minorEastAsia" w:eastAsiaTheme="minorEastAsia" w:cstheme="minorEastAsia"/>
                <w:color w:val="auto"/>
              </w:rPr>
              <w:t xml:space="preserve">常州市教育局直属35个单位</w:t>
            </w:r>
            <w:r/>
          </w:p>
        </w:tc>
      </w:tr>
      <w:tr>
        <w:trPr>
          <w:trHeight w:val="132"/>
        </w:trPr>
        <w:tc>
          <w:tcPr>
            <w:tcBorders>
              <w:top w:val="single" w:color="auto" w:sz="4" w:space="0"/>
              <w:left w:val="single" w:color="auto" w:sz="4" w:space="0"/>
              <w:bottom w:val="single" w:color="auto" w:sz="4" w:space="0"/>
              <w:right w:val="single" w:color="auto" w:sz="4" w:space="0"/>
            </w:tcBorders>
            <w:tcW w:w="577"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项目质保要求</w:t>
            </w:r>
            <w:r/>
          </w:p>
        </w:tc>
        <w:tc>
          <w:tcPr>
            <w:tcBorders>
              <w:top w:val="single" w:color="auto" w:sz="4" w:space="0"/>
              <w:left w:val="single" w:color="auto" w:sz="4" w:space="0"/>
              <w:bottom w:val="single" w:color="auto" w:sz="4" w:space="0"/>
              <w:right w:val="single" w:color="auto" w:sz="4" w:space="0"/>
            </w:tcBorders>
            <w:tcW w:w="6143" w:type="dxa"/>
            <w:vAlign w:val="center"/>
            <w:textDirection w:val="lrTb"/>
            <w:noWrap w:val="false"/>
          </w:tcPr>
          <w:p>
            <w:pPr>
              <w:spacing w:line="276"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项目免费质保期：自验收合格之日起至少三年原厂质保，签订合同前应将下列材料送达采购人（联系方式见采购文件第一章）：</w:t>
            </w:r>
            <w:r>
              <w:rPr>
                <w:rFonts w:hint="eastAsia"/>
              </w:rPr>
              <w:t xml:space="preserve">（1）</w:t>
            </w:r>
            <w:r>
              <w:rPr>
                <w:rFonts w:hint="eastAsia"/>
                <w:color w:val="auto"/>
              </w:rPr>
              <w:t xml:space="preserve">提供所投产品</w:t>
            </w:r>
            <w:r>
              <w:rPr>
                <w:rFonts w:hint="eastAsia"/>
                <w:b/>
                <w:bCs/>
                <w:color w:val="auto"/>
                <w:highlight w:val="yellow"/>
                <w:lang w:eastAsia="zh-CN"/>
              </w:rPr>
              <w:t xml:space="preserve">（</w:t>
            </w:r>
            <w:r>
              <w:rPr>
                <w:rFonts w:hint="eastAsia"/>
                <w:b/>
                <w:bCs/>
                <w:color w:val="auto"/>
                <w:highlight w:val="yellow"/>
                <w:lang w:val="en-US" w:eastAsia="zh-CN"/>
              </w:rPr>
              <w:t xml:space="preserve">除辅材、护线管、金属软管、</w:t>
            </w:r>
            <w:r>
              <w:rPr>
                <w:rFonts w:hint="eastAsia" w:asciiTheme="minorEastAsia" w:hAnsiTheme="minorEastAsia" w:eastAsiaTheme="minorEastAsia" w:cstheme="minorEastAsia"/>
                <w:b/>
                <w:bCs/>
                <w:i w:val="0"/>
                <w:iCs w:val="0"/>
                <w:color w:val="000000"/>
                <w:sz w:val="21"/>
                <w:szCs w:val="21"/>
                <w:highlight w:val="yellow"/>
                <w:u w:val="none"/>
                <w:lang w:val="en-US" w:eastAsia="zh-CN" w:bidi="ar"/>
              </w:rPr>
              <w:t xml:space="preserve">光纤熔接、拖线板</w:t>
            </w:r>
            <w:r>
              <w:rPr>
                <w:rFonts w:hint="eastAsia"/>
                <w:b/>
                <w:bCs/>
                <w:color w:val="auto"/>
                <w:highlight w:val="yellow"/>
                <w:lang w:eastAsia="zh-CN"/>
              </w:rPr>
              <w:t xml:space="preserve">）</w:t>
            </w:r>
            <w:r>
              <w:rPr>
                <w:rFonts w:hint="eastAsia"/>
                <w:b/>
                <w:bCs/>
                <w:color w:val="auto"/>
                <w:lang w:val="en-US" w:eastAsia="zh-CN"/>
              </w:rPr>
              <w:t xml:space="preserve">的</w:t>
            </w:r>
            <w:r>
              <w:rPr>
                <w:rFonts w:hint="eastAsia" w:ascii="宋体" w:hAnsi="宋体" w:cs="宋体"/>
                <w:b/>
                <w:bCs/>
                <w:color w:val="auto"/>
              </w:rPr>
              <w:t xml:space="preserve">质保函原件</w:t>
            </w:r>
            <w:r>
              <w:rPr>
                <w:rFonts w:hint="eastAsia"/>
                <w:color w:val="auto"/>
              </w:rPr>
              <w:t xml:space="preserve">(加盖原厂鲜章，同时应提供原厂联系人姓名和联系电话)。</w:t>
            </w:r>
            <w:r>
              <w:rPr>
                <w:rFonts w:hint="eastAsia" w:asciiTheme="minorEastAsia" w:hAnsiTheme="minorEastAsia" w:eastAsiaTheme="minorEastAsia" w:cstheme="minorEastAsia"/>
              </w:rPr>
              <w:t xml:space="preserve">（2）国家相关标准另有规定的从其规定。</w:t>
            </w:r>
            <w:r/>
          </w:p>
          <w:p>
            <w:pPr>
              <w:spacing w:line="400" w:lineRule="exact"/>
              <w:rPr>
                <w:rFonts w:hint="eastAsia" w:ascii="宋体" w:hAnsi="宋体" w:cs="宋体"/>
                <w:b/>
                <w:bCs/>
              </w:rPr>
            </w:pPr>
            <w:r>
              <w:rPr>
                <w:rFonts w:hint="eastAsia" w:ascii="宋体" w:hAnsi="宋体" w:cs="宋体"/>
                <w:b/>
                <w:bCs/>
              </w:rPr>
              <w:t xml:space="preserve">若在合同签订前核查发现供应商未按要求提供材料，或所提供材料存在以下情形之一的，视为不具备履约能力，采购人应及时报相关部门处置。</w:t>
            </w:r>
            <w:r/>
          </w:p>
          <w:p>
            <w:pPr>
              <w:spacing w:line="400" w:lineRule="exact"/>
              <w:rPr>
                <w:rFonts w:hint="eastAsia" w:ascii="宋体" w:hAnsi="宋体" w:cs="宋体"/>
                <w:b/>
                <w:bCs/>
              </w:rPr>
            </w:pPr>
            <w:r>
              <w:rPr>
                <w:rFonts w:hint="eastAsia" w:ascii="宋体" w:hAnsi="宋体" w:cs="宋体"/>
                <w:b/>
                <w:bCs/>
              </w:rPr>
              <w:t xml:space="preserve">① 材料形式有瑕疵，但内容真实、可补正的，采购人书面通知供应商在法定签订合同截止时间前一次性补正，逾期未补正或补正仍不符合要求的。</w:t>
            </w:r>
            <w:r/>
          </w:p>
          <w:p>
            <w:pPr>
              <w:spacing w:line="400" w:lineRule="exact"/>
              <w:rPr>
                <w:rFonts w:hint="eastAsia" w:asciiTheme="minorEastAsia" w:hAnsiTheme="minorEastAsia" w:eastAsiaTheme="minorEastAsia" w:cstheme="minorEastAsia"/>
              </w:rPr>
            </w:pPr>
            <w:r>
              <w:rPr>
                <w:rFonts w:hint="eastAsia" w:ascii="宋体" w:hAnsi="宋体" w:cs="宋体"/>
                <w:b/>
                <w:bCs/>
              </w:rPr>
              <w:t xml:space="preserve">② 所投产品确系原厂生产，但因制造商内部流程原因暂无法提供质保函或原厂证明（如企业审批延迟），且能提供有效佐证（如邮件、系统截图、代理协议等）的，经采购人书面同意在法定签订合同截止时间前提交，逾期仍未提交的。</w:t>
            </w:r>
            <w:r/>
          </w:p>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 质保条款：</w:t>
            </w:r>
            <w:r/>
          </w:p>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（1）项目质保期内所有产品第一个月出现故障整机更换；</w:t>
            </w:r>
            <w:r/>
          </w:p>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（2）原厂质保期内提供免费返厂维修服务；</w:t>
            </w:r>
            <w:r/>
          </w:p>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（3）项目质保期内提供设备定期巡检、维护等服务（提供每月一次电话回访，每学期至少一次免费巡检服务，发现问题及时解决）；</w:t>
            </w:r>
            <w:r/>
          </w:p>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（4）项目质保期后提供设备零件成本价维修服务。</w:t>
            </w:r>
            <w:r/>
          </w:p>
        </w:tc>
      </w:tr>
      <w:tr>
        <w:trPr>
          <w:trHeight w:val="185"/>
        </w:trPr>
        <w:tc>
          <w:tcPr>
            <w:tcBorders>
              <w:top w:val="single" w:color="auto" w:sz="4" w:space="0"/>
              <w:left w:val="single" w:color="auto" w:sz="4" w:space="0"/>
              <w:bottom w:val="single" w:color="auto" w:sz="4" w:space="0"/>
              <w:right w:val="single" w:color="auto" w:sz="4" w:space="0"/>
            </w:tcBorders>
            <w:tcW w:w="577"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合同签订</w:t>
            </w:r>
            <w:r/>
          </w:p>
        </w:tc>
        <w:tc>
          <w:tcPr>
            <w:tcBorders>
              <w:top w:val="single" w:color="auto" w:sz="4" w:space="0"/>
              <w:left w:val="single" w:color="auto" w:sz="4" w:space="0"/>
              <w:bottom w:val="single" w:color="auto" w:sz="4" w:space="0"/>
              <w:right w:val="single" w:color="auto" w:sz="4" w:space="0"/>
            </w:tcBorders>
            <w:tcW w:w="6143" w:type="dxa"/>
            <w:vAlign w:val="center"/>
            <w:textDirection w:val="lrTb"/>
            <w:noWrap w:val="false"/>
          </w:tcPr>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中标人应当在中标通知书发出之日起三十日内完成合同签订。</w:t>
            </w:r>
            <w:r/>
          </w:p>
        </w:tc>
      </w:tr>
      <w:tr>
        <w:trPr>
          <w:trHeight w:val="90"/>
        </w:trPr>
        <w:tc>
          <w:tcPr>
            <w:tcBorders>
              <w:top w:val="single" w:color="auto" w:sz="4" w:space="0"/>
              <w:left w:val="single" w:color="auto" w:sz="4" w:space="0"/>
              <w:bottom w:val="single" w:color="auto" w:sz="4" w:space="0"/>
              <w:right w:val="single" w:color="auto" w:sz="4" w:space="0"/>
            </w:tcBorders>
            <w:tcW w:w="577"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4</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工期要求</w:t>
            </w:r>
            <w:r/>
          </w:p>
        </w:tc>
        <w:tc>
          <w:tcPr>
            <w:tcBorders>
              <w:top w:val="single" w:color="auto" w:sz="4" w:space="0"/>
              <w:left w:val="single" w:color="auto" w:sz="4" w:space="0"/>
              <w:bottom w:val="single" w:color="auto" w:sz="4" w:space="0"/>
              <w:right w:val="single" w:color="auto" w:sz="4" w:space="0"/>
            </w:tcBorders>
            <w:tcW w:w="6143" w:type="dxa"/>
            <w:vAlign w:val="center"/>
            <w:textDirection w:val="lrTb"/>
            <w:noWrap w:val="false"/>
          </w:tcPr>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自合同签订生效之日起、截止</w:t>
            </w:r>
            <w:r>
              <w:rPr>
                <w:rFonts w:hint="eastAsia" w:asciiTheme="minorEastAsia" w:hAnsiTheme="minorEastAsia" w:eastAsiaTheme="minorEastAsia" w:cstheme="minorEastAsia"/>
                <w:color w:val="ff0000"/>
              </w:rPr>
              <w:t xml:space="preserve">2026年 </w:t>
            </w:r>
            <w:r>
              <w:rPr>
                <w:rFonts w:hint="eastAsia" w:asciiTheme="minorEastAsia" w:hAnsiTheme="minorEastAsia" w:eastAsiaTheme="minorEastAsia" w:cstheme="minorEastAsia"/>
                <w:color w:val="ff0000"/>
                <w:lang w:val="en-US" w:eastAsia="zh-CN"/>
              </w:rPr>
              <w:t xml:space="preserve">8</w:t>
            </w:r>
            <w:r>
              <w:rPr>
                <w:rFonts w:hint="eastAsia" w:asciiTheme="minorEastAsia" w:hAnsiTheme="minorEastAsia" w:eastAsiaTheme="minorEastAsia" w:cstheme="minorEastAsia"/>
                <w:color w:val="ff0000"/>
              </w:rPr>
              <w:t xml:space="preserve">月</w:t>
            </w:r>
            <w:r>
              <w:rPr>
                <w:rFonts w:hint="eastAsia" w:asciiTheme="minorEastAsia" w:hAnsiTheme="minorEastAsia" w:eastAsiaTheme="minorEastAsia" w:cstheme="minorEastAsia"/>
                <w:color w:val="ff0000"/>
                <w:lang w:val="en-US" w:eastAsia="zh-CN"/>
              </w:rPr>
              <w:t xml:space="preserve">2</w:t>
            </w:r>
            <w:r>
              <w:rPr>
                <w:rFonts w:hint="eastAsia" w:asciiTheme="minorEastAsia" w:hAnsiTheme="minorEastAsia" w:eastAsiaTheme="minorEastAsia" w:cstheme="minorEastAsia"/>
                <w:color w:val="ff0000"/>
              </w:rPr>
              <w:t xml:space="preserve">0 日前</w:t>
            </w:r>
            <w:r>
              <w:rPr>
                <w:rFonts w:hint="eastAsia" w:asciiTheme="minorEastAsia" w:hAnsiTheme="minorEastAsia" w:eastAsiaTheme="minorEastAsia" w:cstheme="minorEastAsia"/>
              </w:rPr>
              <w:t xml:space="preserve">完成设备安装和调试。安装调试完进行为期不少于一个月的试运行时间，试运行各项功能正常后提请验收。因采购方或其他承包商原因导致工期延误的，经书面确认后工期顺延，不追究供应商责任。</w:t>
            </w:r>
            <w:r/>
          </w:p>
        </w:tc>
      </w:tr>
      <w:tr>
        <w:trPr>
          <w:trHeight w:val="211"/>
        </w:trPr>
        <w:tc>
          <w:tcPr>
            <w:tcBorders>
              <w:top w:val="single" w:color="auto" w:sz="4" w:space="0"/>
              <w:left w:val="single" w:color="auto" w:sz="4" w:space="0"/>
              <w:bottom w:val="single" w:color="auto" w:sz="4" w:space="0"/>
              <w:right w:val="single" w:color="auto" w:sz="4" w:space="0"/>
            </w:tcBorders>
            <w:tcW w:w="577"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5</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交货地点</w:t>
            </w:r>
            <w:r/>
          </w:p>
        </w:tc>
        <w:tc>
          <w:tcPr>
            <w:tcBorders>
              <w:top w:val="single" w:color="auto" w:sz="4" w:space="0"/>
              <w:left w:val="single" w:color="auto" w:sz="4" w:space="0"/>
              <w:bottom w:val="single" w:color="auto" w:sz="4" w:space="0"/>
              <w:right w:val="single" w:color="auto" w:sz="4" w:space="0"/>
            </w:tcBorders>
            <w:tcW w:w="6143" w:type="dxa"/>
            <w:vAlign w:val="center"/>
            <w:textDirection w:val="lrTb"/>
            <w:noWrap w:val="false"/>
          </w:tcPr>
          <w:p>
            <w:pPr>
              <w:jc w:val="left"/>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 中标供应商负责将货物运到采购人指定地点，由中标供应商负责办理运输和装卸等，费用由中标供应商负责。</w:t>
            </w:r>
            <w:r/>
          </w:p>
          <w:p>
            <w:pPr>
              <w:jc w:val="left"/>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 由采购人指定的实际安装的学校按国家及行业相关标准及采购文件验收条款组织验收，检验不合格或不符合质量要求，中标供应商除无条件退货、返工外，还应承担采购人的一切损失。</w:t>
            </w:r>
            <w:r/>
          </w:p>
          <w:p>
            <w:pPr>
              <w:jc w:val="left"/>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 中标供应商所提供的货物开箱后，如采购人发现有任何质量问题（如外观损伤、功能不齐全、无法正常使用等），中标供应商必须立即以同样型号的设备在与采购人商定的时间内更换，确保其使用。</w:t>
            </w:r>
            <w:r/>
          </w:p>
          <w:p>
            <w:pPr>
              <w:jc w:val="left"/>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4. 如因不可抗力无法在规定时间内提供成交货物，中标供应商应提前15天书面告知采购人。</w:t>
            </w:r>
            <w:r/>
          </w:p>
        </w:tc>
      </w:tr>
      <w:tr>
        <w:trPr>
          <w:trHeight w:val="217"/>
        </w:trPr>
        <w:tc>
          <w:tcPr>
            <w:tcBorders>
              <w:top w:val="single" w:color="auto" w:sz="4" w:space="0"/>
              <w:left w:val="single" w:color="auto" w:sz="4" w:space="0"/>
              <w:bottom w:val="single" w:color="auto" w:sz="4" w:space="0"/>
              <w:right w:val="single" w:color="auto" w:sz="4" w:space="0"/>
            </w:tcBorders>
            <w:tcW w:w="577"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6</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售后服务</w:t>
            </w:r>
            <w:r/>
          </w:p>
        </w:tc>
        <w:tc>
          <w:tcPr>
            <w:tcBorders>
              <w:top w:val="single" w:color="auto" w:sz="4" w:space="0"/>
              <w:left w:val="single" w:color="auto" w:sz="4" w:space="0"/>
              <w:bottom w:val="single" w:color="auto" w:sz="4" w:space="0"/>
              <w:right w:val="single" w:color="auto" w:sz="4" w:space="0"/>
            </w:tcBorders>
            <w:tcW w:w="6143" w:type="dxa"/>
            <w:vAlign w:val="center"/>
            <w:textDirection w:val="lrTb"/>
            <w:noWrap w:val="false"/>
          </w:tcPr>
          <w:p>
            <w:pPr>
              <w:jc w:val="left"/>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中标人提供7*24小时免费上门服务，接到用户通报故障的电话或传真后1小时之内响应服务，2小时内能到现场解决问题；若货物故障在检修8 工作小时后仍无法排除，乙方应在48 小时内免费提供不低于故障货物规格型号档次的备用货物供甲方使用，直至故障货物修复。填写巡视记录、网络检修记录、故障报修记录，并通知相关负责人确认。质保期后，中标人提供全生命周期内的服务，在设备的设计使用寿命周期内，中标人应能保证采购人更换到原厂正宗的备件材料，确保设备的正常使用。</w:t>
            </w:r>
            <w:r/>
          </w:p>
        </w:tc>
      </w:tr>
      <w:tr>
        <w:trPr>
          <w:trHeight w:val="84"/>
        </w:trPr>
        <w:tc>
          <w:tcPr>
            <w:tcBorders>
              <w:top w:val="single" w:color="auto" w:sz="4" w:space="0"/>
              <w:left w:val="single" w:color="auto" w:sz="4" w:space="0"/>
              <w:bottom w:val="single" w:color="auto" w:sz="4" w:space="0"/>
              <w:right w:val="single" w:color="auto" w:sz="4" w:space="0"/>
            </w:tcBorders>
            <w:tcW w:w="577"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7</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培训要求</w:t>
            </w:r>
            <w:r/>
          </w:p>
        </w:tc>
        <w:tc>
          <w:tcPr>
            <w:tcBorders>
              <w:top w:val="single" w:color="auto" w:sz="4" w:space="0"/>
              <w:left w:val="single" w:color="auto" w:sz="4" w:space="0"/>
              <w:bottom w:val="single" w:color="auto" w:sz="4" w:space="0"/>
              <w:right w:val="single" w:color="auto" w:sz="4" w:space="0"/>
            </w:tcBorders>
            <w:tcW w:w="6143" w:type="dxa"/>
            <w:vAlign w:val="center"/>
            <w:textDirection w:val="lrTb"/>
            <w:noWrap w:val="false"/>
          </w:tcPr>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免费提供设备使用培训，培训时间和地点由本项目设备使用的各校确定。</w:t>
            </w:r>
            <w:r/>
          </w:p>
        </w:tc>
      </w:tr>
      <w:tr>
        <w:trPr>
          <w:trHeight w:val="416"/>
        </w:trPr>
        <w:tc>
          <w:tcPr>
            <w:tcBorders>
              <w:top w:val="single" w:color="auto" w:sz="4" w:space="0"/>
              <w:left w:val="single" w:color="auto" w:sz="4" w:space="0"/>
              <w:bottom w:val="single" w:color="auto" w:sz="4" w:space="0"/>
              <w:right w:val="single" w:color="auto" w:sz="4" w:space="0"/>
            </w:tcBorders>
            <w:tcW w:w="577"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8</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安装调试及验收要求</w:t>
            </w:r>
            <w:r/>
          </w:p>
        </w:tc>
        <w:tc>
          <w:tcPr>
            <w:tcBorders>
              <w:top w:val="single" w:color="auto" w:sz="4" w:space="0"/>
              <w:left w:val="single" w:color="auto" w:sz="4" w:space="0"/>
              <w:bottom w:val="single" w:color="auto" w:sz="4" w:space="0"/>
              <w:right w:val="single" w:color="auto" w:sz="4" w:space="0"/>
            </w:tcBorders>
            <w:tcW w:w="6143" w:type="dxa"/>
            <w:vAlign w:val="center"/>
            <w:textDirection w:val="lrTb"/>
            <w:noWrap w:val="false"/>
          </w:tcPr>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1.安装辅材：采购清单以外的安装所需辅材由乙方提供，不另外收费。</w:t>
            </w:r>
            <w:r/>
          </w:p>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2.中标供应商负责在采购人指定现场进行设备的卸货、安装与调试，并自备设备安装所需器材、器件。</w:t>
            </w:r>
            <w:r/>
          </w:p>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3.中标供应商应对进场施工人员进行技术、安全、思想和法规教育，教育施工人员树立“质量第一，安全第一”的正确思想，使其遵守有关施工和安全的技术法规等。</w:t>
            </w:r>
            <w:r/>
          </w:p>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4.中标供应商必须切实做好安全工作，加强安装作业时的安全保障，在任何情况下都要注意安全。涉及安全问题的必须用醒目的标志加以提醒，一切安全事故均由中标供应商自行负责，与采购人均无关。项目结束后按采购人要求将现场的垃圾、残余材料运送至指定位置，保证现场环境整洁。</w:t>
            </w:r>
            <w:r/>
          </w:p>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5.设备验收在中标供应商及学校双方授权代表在场的情况下，设备到场后，双方根据要求对到场的设备清单以及包装箱数量进行清点核对。开箱后，双方核对包装箱内货物与合同签订的一致性，包括设备型号、规格、颜色、电源等。如出现与合同签订内容不符或任何非运输中的损坏，由中标供应商负责解决，由此产生的一切费用由中标供应商承担。实物验收合格后，双方在实物验收单上签字。</w:t>
            </w:r>
            <w:r/>
          </w:p>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6.验收内容包含产品参数、技术与采购文件及投标文件相符，外观完好，安装牢固美观。有无按采购人要求安装在指定位置。各项功能使用是否流畅、精准，合格率达100%为验收合格，验收不合格产品由中标供应商负责调换，因此产生的全部费用由中标供应商承担。</w:t>
            </w:r>
            <w:r/>
          </w:p>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7.验收时对所有的货物进行验收，做好验收记录，对验收合格的内容，参加验收的人员应在验收记录上签字确认。</w:t>
            </w:r>
            <w:r/>
          </w:p>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b/>
                <w:bCs/>
              </w:rPr>
              <w:t xml:space="preserve">8.所供货物必须是全新的，原装正品，提供出厂合格证。</w:t>
            </w:r>
            <w:r>
              <w:rPr>
                <w:rFonts w:hint="eastAsia" w:asciiTheme="minorEastAsia" w:hAnsiTheme="minorEastAsia" w:eastAsiaTheme="minorEastAsia" w:cstheme="minorEastAsia"/>
              </w:rPr>
              <w:t xml:space="preserve">因产品质量或安装不当导致验收不合格，应及时处理直至验收合格，因此产生的一切费用由中标方承担。</w:t>
            </w:r>
            <w:r/>
          </w:p>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9.验收时采购人可以邀请第三方进行联合验收、可以进行随机抽样检测。</w:t>
            </w:r>
            <w:r/>
          </w:p>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10.若验收不合格，则由中标供应商承担所有验收产生的检测费用。</w:t>
            </w:r>
            <w:r/>
          </w:p>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11.验收前一般应不少于1个月的试运行周期。</w:t>
            </w:r>
            <w:r/>
          </w:p>
          <w:p>
            <w:pPr>
              <w:spacing w:line="400" w:lineRule="exact"/>
              <w:rPr>
                <w:rFonts w:hint="eastAsia" w:asciiTheme="minorEastAsia" w:hAnsiTheme="minorEastAsia" w:eastAsiaTheme="minorEastAsia" w:cstheme="minorEastAsia"/>
                <w:highlight w:val="yellow"/>
                <w:lang w:val="en-US" w:eastAsia="zh-CN"/>
              </w:rPr>
            </w:pPr>
            <w:r>
              <w:rPr>
                <w:rFonts w:hint="eastAsia" w:asciiTheme="minorEastAsia" w:hAnsiTheme="minorEastAsia" w:eastAsiaTheme="minorEastAsia" w:cstheme="minorEastAsia"/>
                <w:highlight w:val="yellow"/>
                <w:lang w:val="en-US" w:eastAsia="zh-CN"/>
              </w:rPr>
              <w:t xml:space="preserve">12.投标供应商承诺所投摄像机能被学校</w:t>
            </w:r>
            <w:r>
              <w:rPr>
                <w:rFonts w:hint="eastAsia" w:asciiTheme="minorEastAsia" w:hAnsiTheme="minorEastAsia" w:eastAsiaTheme="minorEastAsia" w:cstheme="minorEastAsia"/>
                <w:b/>
                <w:bCs/>
                <w:highlight w:val="yellow"/>
                <w:lang w:val="en-US" w:eastAsia="zh-CN"/>
              </w:rPr>
              <w:t xml:space="preserve">现有安防管理软件</w:t>
            </w:r>
            <w:r>
              <w:rPr>
                <w:rFonts w:hint="eastAsia" w:asciiTheme="minorEastAsia" w:hAnsiTheme="minorEastAsia" w:eastAsiaTheme="minorEastAsia" w:cstheme="minorEastAsia"/>
                <w:highlight w:val="yellow"/>
                <w:lang w:val="en-US" w:eastAsia="zh-CN"/>
              </w:rPr>
              <w:t xml:space="preserve">纳管，提供摄像机接入学校现有安防管理系统的授权；投标供应商应承诺所投产品应满足</w:t>
            </w:r>
            <w:r>
              <w:rPr>
                <w:rFonts w:hint="eastAsia" w:asciiTheme="minorEastAsia" w:hAnsiTheme="minorEastAsia" w:eastAsiaTheme="minorEastAsia" w:cstheme="minorEastAsia"/>
                <w:b/>
                <w:bCs/>
                <w:highlight w:val="yellow"/>
                <w:lang w:val="en-US" w:eastAsia="zh-CN"/>
              </w:rPr>
              <w:t xml:space="preserve">常州市教育局直属单位智慧安防服务项目</w:t>
            </w:r>
            <w:r>
              <w:rPr>
                <w:rFonts w:hint="eastAsia" w:asciiTheme="minorEastAsia" w:hAnsiTheme="minorEastAsia" w:eastAsiaTheme="minorEastAsia" w:cstheme="minorEastAsia"/>
                <w:highlight w:val="yellow"/>
                <w:lang w:val="en-US" w:eastAsia="zh-CN"/>
              </w:rPr>
              <w:t xml:space="preserve">中的数据接入标准（详见接入和验收标准）并符合常州市教育局直属单位智慧安防服务的纳管要求。提供承诺函。</w:t>
            </w:r>
            <w:r/>
          </w:p>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12.按照关于印发《江苏省政府采购履约验收管理办法》的通知（苏财规〔2024〕7号）进行验收，详见验收要求。</w:t>
            </w:r>
            <w:r/>
          </w:p>
        </w:tc>
      </w:tr>
      <w:tr>
        <w:trPr>
          <w:trHeight w:val="267"/>
        </w:trPr>
        <w:tc>
          <w:tcPr>
            <w:tcBorders>
              <w:top w:val="single" w:color="auto" w:sz="4" w:space="0"/>
              <w:left w:val="single" w:color="auto" w:sz="4" w:space="0"/>
              <w:bottom w:val="single" w:color="auto" w:sz="4" w:space="0"/>
              <w:right w:val="single" w:color="auto" w:sz="4" w:space="0"/>
            </w:tcBorders>
            <w:tcW w:w="577"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9</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包装和运输</w:t>
            </w:r>
            <w:r/>
          </w:p>
        </w:tc>
        <w:tc>
          <w:tcPr>
            <w:tcBorders>
              <w:top w:val="single" w:color="auto" w:sz="4" w:space="0"/>
              <w:left w:val="single" w:color="auto" w:sz="4" w:space="0"/>
              <w:bottom w:val="single" w:color="auto" w:sz="4" w:space="0"/>
              <w:right w:val="single" w:color="auto" w:sz="4" w:space="0"/>
            </w:tcBorders>
            <w:tcW w:w="6143" w:type="dxa"/>
            <w:vAlign w:val="center"/>
            <w:textDirection w:val="lrTb"/>
            <w:noWrap w:val="false"/>
          </w:tcPr>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货物类必须要求供应商满足《关于印发〈商品包装政府采购需求标准（试行）〉、〈快递包装政府采购需求标准（试行）〉的通知》（财办库〔2020〕123号））的规定。</w:t>
            </w:r>
            <w:r/>
          </w:p>
        </w:tc>
      </w:tr>
      <w:tr>
        <w:trPr>
          <w:trHeight w:val="267"/>
        </w:trPr>
        <w:tc>
          <w:tcPr>
            <w:tcBorders>
              <w:top w:val="single" w:color="auto" w:sz="4" w:space="0"/>
              <w:left w:val="single" w:color="auto" w:sz="4" w:space="0"/>
              <w:bottom w:val="single" w:color="auto" w:sz="4" w:space="0"/>
              <w:right w:val="single" w:color="auto" w:sz="4" w:space="0"/>
            </w:tcBorders>
            <w:tcW w:w="577"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10</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保险</w:t>
            </w:r>
            <w:r/>
          </w:p>
        </w:tc>
        <w:tc>
          <w:tcPr>
            <w:tcBorders>
              <w:top w:val="single" w:color="auto" w:sz="4" w:space="0"/>
              <w:left w:val="single" w:color="auto" w:sz="4" w:space="0"/>
              <w:bottom w:val="single" w:color="auto" w:sz="4" w:space="0"/>
              <w:right w:val="single" w:color="auto" w:sz="4" w:space="0"/>
            </w:tcBorders>
            <w:tcW w:w="6143" w:type="dxa"/>
            <w:vAlign w:val="center"/>
            <w:textDirection w:val="lrTb"/>
            <w:noWrap w:val="false"/>
          </w:tcPr>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无</w:t>
            </w:r>
            <w:r/>
          </w:p>
        </w:tc>
      </w:tr>
      <w:tr>
        <w:trPr>
          <w:trHeight w:val="267"/>
        </w:trPr>
        <w:tc>
          <w:tcPr>
            <w:tcBorders>
              <w:top w:val="single" w:color="auto" w:sz="4" w:space="0"/>
              <w:left w:val="single" w:color="auto" w:sz="4" w:space="0"/>
              <w:bottom w:val="single" w:color="auto" w:sz="4" w:space="0"/>
              <w:right w:val="single" w:color="auto" w:sz="4" w:space="0"/>
            </w:tcBorders>
            <w:tcW w:w="577"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11</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付款条件</w:t>
            </w:r>
            <w:r/>
          </w:p>
        </w:tc>
        <w:tc>
          <w:tcPr>
            <w:tcBorders>
              <w:top w:val="single" w:color="auto" w:sz="4" w:space="0"/>
              <w:left w:val="single" w:color="auto" w:sz="4" w:space="0"/>
              <w:bottom w:val="single" w:color="auto" w:sz="4" w:space="0"/>
              <w:right w:val="single" w:color="auto" w:sz="4" w:space="0"/>
            </w:tcBorders>
            <w:tcW w:w="6143" w:type="dxa"/>
            <w:vAlign w:val="center"/>
            <w:textDirection w:val="lrTb"/>
            <w:noWrap w:val="false"/>
          </w:tcPr>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付款方式：验收合格，提供采购人签字盖章的验收材料，全款付清。</w:t>
            </w:r>
            <w:r/>
          </w:p>
        </w:tc>
      </w:tr>
      <w:tr>
        <w:trPr>
          <w:trHeight w:val="580"/>
        </w:trPr>
        <w:tc>
          <w:tcPr>
            <w:tcBorders>
              <w:top w:val="single" w:color="auto" w:sz="4" w:space="0"/>
              <w:left w:val="single" w:color="auto" w:sz="4" w:space="0"/>
              <w:bottom w:val="single" w:color="auto" w:sz="4" w:space="0"/>
              <w:right w:val="single" w:color="auto" w:sz="4" w:space="0"/>
            </w:tcBorders>
            <w:tcW w:w="577"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12</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其他要求</w:t>
            </w:r>
            <w:r/>
          </w:p>
        </w:tc>
        <w:tc>
          <w:tcPr>
            <w:tcBorders>
              <w:top w:val="single" w:color="auto" w:sz="4" w:space="0"/>
              <w:left w:val="single" w:color="auto" w:sz="4" w:space="0"/>
              <w:bottom w:val="single" w:color="auto" w:sz="4" w:space="0"/>
              <w:right w:val="single" w:color="auto" w:sz="4" w:space="0"/>
            </w:tcBorders>
            <w:tcW w:w="6143" w:type="dxa"/>
            <w:vAlign w:val="center"/>
            <w:textDirection w:val="lrTb"/>
            <w:noWrap w:val="false"/>
          </w:tcPr>
          <w:p>
            <w:pPr>
              <w:numPr>
                <w:ilvl w:val="0"/>
                <w:numId w:val="7"/>
              </w:numP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本项目为包干制（含各类人工、材料、脚手架、登高设备、安全设备、必备工具、测试等），投标人报价为完成本项目的总报价，不再另外收取任何费用。</w:t>
            </w:r>
            <w:r/>
          </w:p>
          <w:p>
            <w:pPr>
              <w:spacing w:line="400" w:lineRule="exact"/>
              <w:widowControl/>
              <w:rPr>
                <w:rFonts w:hint="eastAsia" w:ascii="宋体" w:hAnsi="宋体" w:cs="宋体"/>
              </w:rPr>
            </w:pPr>
            <w:r>
              <w:rPr>
                <w:rFonts w:hint="eastAsia" w:ascii="宋体" w:hAnsi="宋体" w:cs="宋体"/>
              </w:rPr>
              <w:t xml:space="preserve">2.凡采购文件要求提供第三方检测报告的，供应商所提交的检测报告须由具备有效CMA资质的检测机构出具，且检测项目、检测方法及依据标准必须在该机构最新版《资质认定能力附表》范围内。检测报告依据的标准应符合采购文件约定的标准，包括相关国家标准、行业标准、地方标准、国际通用标准（ISO、IEC、ITU）等。</w:t>
            </w:r>
            <w:r>
              <w:rPr>
                <w:rFonts w:hint="eastAsia" w:ascii="宋体" w:hAnsi="宋体" w:cs="宋体"/>
                <w:b/>
                <w:bCs/>
              </w:rPr>
              <w:t xml:space="preserve">投标时须同步提供：① 检测报告原件扫描件加盖公章。② 检测机构有效CMA资质证书扫描件。</w:t>
            </w:r>
            <w:r>
              <w:rPr>
                <w:rFonts w:hint="eastAsia" w:ascii="微软雅黑" w:hAnsi="微软雅黑" w:eastAsia="微软雅黑" w:cs="微软雅黑"/>
                <w:b/>
                <w:bCs/>
              </w:rPr>
              <w:t xml:space="preserve">③</w:t>
            </w:r>
            <w:r>
              <w:rPr>
                <w:rFonts w:hint="eastAsia" w:ascii="宋体" w:hAnsi="宋体" w:cs="宋体"/>
                <w:b/>
                <w:bCs/>
              </w:rPr>
              <w:t xml:space="preserve">检测机构与所涉检测项目的检测能力证明：检测机构对应《资质认定能力附表》所在页的扫描件、或全国市场监督管理总局网站（全国认证认可信息服务平台）对应截图并加盖投标人公章、或省级市场监督管理局网站对应截图并加盖投标人公章。</w:t>
            </w:r>
            <w:r>
              <w:rPr>
                <w:rFonts w:hint="eastAsia" w:ascii="微软雅黑" w:hAnsi="微软雅黑" w:eastAsia="微软雅黑" w:cs="微软雅黑"/>
                <w:b/>
                <w:bCs/>
              </w:rPr>
              <w:t xml:space="preserve">④检</w:t>
            </w:r>
            <w:r>
              <w:rPr>
                <w:rFonts w:hint="eastAsia" w:ascii="宋体" w:hAnsi="宋体" w:cs="宋体"/>
                <w:b/>
                <w:bCs/>
              </w:rPr>
              <w:t xml:space="preserve">测报告含CMA认定标志页面。</w:t>
            </w:r>
            <w:r/>
          </w:p>
          <w:p>
            <w:pPr>
              <w:spacing w:line="400" w:lineRule="exact"/>
              <w:widowControl/>
              <w:rPr>
                <w:rFonts w:hint="eastAsia" w:ascii="宋体" w:hAnsi="宋体" w:cs="宋体"/>
                <w:highlight w:val="yellow"/>
              </w:rPr>
            </w:pPr>
            <w:r>
              <w:rPr>
                <w:rFonts w:hint="eastAsia" w:ascii="宋体" w:hAnsi="宋体" w:cs="宋体"/>
                <w:highlight w:val="yellow"/>
              </w:rPr>
              <w:t xml:space="preserve">未按要求提供上述材料的，相关检测报告视为无效佐证材料。</w:t>
            </w:r>
            <w:r/>
          </w:p>
          <w:p>
            <w:pPr>
              <w:numPr>
                <w:ilvl w:val="0"/>
                <w:numId w:val="0"/>
              </w:numPr>
              <w:spacing w:line="400" w:lineRule="exact"/>
              <w:widowControl/>
              <w:rPr>
                <w:rFonts w:hint="eastAsia" w:ascii="宋体" w:hAnsi="宋体" w:cs="宋体"/>
                <w:highlight w:val="yellow"/>
              </w:rPr>
            </w:pPr>
            <w:r>
              <w:rPr>
                <w:rFonts w:hint="eastAsia" w:ascii="宋体" w:hAnsi="宋体" w:eastAsia="宋体" w:cs="宋体"/>
                <w:color w:val="auto"/>
                <w:sz w:val="21"/>
                <w:szCs w:val="21"/>
                <w:highlight w:val="yellow"/>
              </w:rPr>
              <w:t xml:space="preserve">供应商</w:t>
            </w:r>
            <w:r>
              <w:rPr>
                <w:rFonts w:hint="eastAsia" w:ascii="宋体" w:hAnsi="宋体" w:cs="宋体"/>
                <w:color w:val="auto"/>
                <w:sz w:val="21"/>
                <w:szCs w:val="21"/>
                <w:highlight w:val="yellow"/>
                <w:lang w:val="en-US" w:eastAsia="zh-CN"/>
              </w:rPr>
              <w:t xml:space="preserve">响应时应提供</w:t>
            </w:r>
            <w:r>
              <w:rPr>
                <w:rFonts w:hint="eastAsia" w:ascii="宋体" w:hAnsi="宋体" w:eastAsia="宋体" w:cs="宋体"/>
                <w:color w:val="auto"/>
                <w:sz w:val="21"/>
                <w:szCs w:val="21"/>
                <w:highlight w:val="yellow"/>
              </w:rPr>
              <w:t xml:space="preserve">关于检测报告合规性的承诺函（实质性格式</w:t>
            </w:r>
            <w:r>
              <w:rPr>
                <w:rFonts w:hint="eastAsia" w:ascii="宋体" w:hAnsi="宋体" w:cs="宋体"/>
                <w:color w:val="auto"/>
                <w:sz w:val="21"/>
                <w:szCs w:val="21"/>
                <w:highlight w:val="yellow"/>
                <w:lang w:eastAsia="zh-CN"/>
              </w:rPr>
              <w:t xml:space="preserve">，</w:t>
            </w:r>
            <w:r>
              <w:rPr>
                <w:rFonts w:hint="eastAsia" w:ascii="宋体" w:hAnsi="宋体" w:cs="宋体"/>
                <w:color w:val="auto"/>
                <w:sz w:val="21"/>
                <w:szCs w:val="21"/>
                <w:highlight w:val="yellow"/>
                <w:lang w:val="en-US" w:eastAsia="zh-CN"/>
              </w:rPr>
              <w:t xml:space="preserve">详见投标文件格式</w:t>
            </w:r>
            <w:r>
              <w:rPr>
                <w:rFonts w:hint="eastAsia" w:ascii="宋体" w:hAnsi="宋体" w:eastAsia="宋体" w:cs="宋体"/>
                <w:color w:val="auto"/>
                <w:sz w:val="21"/>
                <w:szCs w:val="21"/>
                <w:highlight w:val="yellow"/>
              </w:rPr>
              <w:t xml:space="preserve">）</w:t>
            </w:r>
            <w:r/>
          </w:p>
          <w:p>
            <w:pPr>
              <w:spacing w:line="400" w:lineRule="exact"/>
              <w:widowControl/>
              <w:rPr>
                <w:rFonts w:hint="eastAsia" w:ascii="宋体" w:hAnsi="宋体" w:cs="宋体"/>
              </w:rPr>
            </w:pPr>
            <w:r>
              <w:rPr>
                <w:rFonts w:hint="eastAsia" w:ascii="宋体" w:hAnsi="宋体" w:cs="宋体"/>
                <w:b/>
                <w:bCs/>
              </w:rPr>
              <w:t xml:space="preserve">3.中标公告发布后五个工作日内</w:t>
            </w:r>
            <w:r>
              <w:rPr>
                <w:rFonts w:hint="eastAsia" w:ascii="宋体" w:hAnsi="宋体" w:cs="宋体"/>
              </w:rPr>
              <w:t xml:space="preserve">，中标候选供应商应将下列材料送达采购人：采购文件中要求投标时提供的</w:t>
            </w:r>
            <w:r>
              <w:rPr>
                <w:rFonts w:hint="eastAsia" w:ascii="宋体" w:hAnsi="宋体" w:cs="宋体"/>
                <w:b/>
                <w:bCs/>
              </w:rPr>
              <w:t xml:space="preserve">全文检测报告</w:t>
            </w:r>
            <w:r>
              <w:rPr>
                <w:rFonts w:hint="eastAsia" w:ascii="宋体" w:hAnsi="宋体" w:cs="宋体"/>
              </w:rPr>
              <w:t xml:space="preserve">及相关证明材料复印件并</w:t>
            </w:r>
            <w:r>
              <w:rPr>
                <w:rFonts w:hint="eastAsia" w:ascii="宋体" w:hAnsi="宋体" w:cs="宋体"/>
                <w:b/>
                <w:bCs/>
              </w:rPr>
              <w:t xml:space="preserve">加盖所投品牌原厂鲜章（同时应提供原厂联系人姓名和联系电话）</w:t>
            </w:r>
            <w:r>
              <w:rPr>
                <w:rFonts w:hint="eastAsia" w:ascii="宋体" w:hAnsi="宋体" w:cs="宋体"/>
              </w:rPr>
              <w:t xml:space="preserve">。若提交的材料不符合要求的，应在三个工作日内进行补正。采购人按以下流程进行核查：</w:t>
            </w:r>
            <w:r>
              <w:rPr>
                <w:rFonts w:hint="eastAsia" w:ascii="宋体" w:hAnsi="宋体" w:cs="宋体"/>
              </w:rPr>
              <w:tab/>
            </w:r>
            <w:r/>
          </w:p>
          <w:p>
            <w:pPr>
              <w:numPr>
                <w:ilvl w:val="1"/>
                <w:numId w:val="7"/>
              </w:numPr>
              <w:spacing w:line="400" w:lineRule="exact"/>
              <w:widowControl/>
              <w:rPr>
                <w:rFonts w:hint="eastAsia" w:ascii="宋体" w:hAnsi="宋体" w:cs="宋体"/>
              </w:rPr>
            </w:pPr>
            <w:r>
              <w:rPr>
                <w:rFonts w:hint="eastAsia" w:ascii="宋体" w:hAnsi="宋体" w:cs="宋体"/>
              </w:rPr>
              <w:t xml:space="preserve">查询。登录全国认证认可信息公共服务平台或省级监管服务平台（如苏检通），查询的内容包括但不限于以下内容：检测机构的CMA资质证书及与检测项目相对应的检测能力范围、检测报告编号等。</w:t>
            </w:r>
            <w:r/>
          </w:p>
          <w:p>
            <w:pPr>
              <w:numPr>
                <w:ilvl w:val="1"/>
                <w:numId w:val="7"/>
              </w:numPr>
              <w:spacing w:line="400" w:lineRule="exact"/>
              <w:widowControl/>
              <w:rPr>
                <w:rFonts w:hint="eastAsia" w:ascii="宋体" w:hAnsi="宋体" w:cs="宋体"/>
              </w:rPr>
            </w:pPr>
            <w:r>
              <w:rPr>
                <w:rFonts w:hint="eastAsia" w:ascii="宋体" w:hAnsi="宋体" w:cs="宋体"/>
              </w:rPr>
              <w:t xml:space="preserve">验证。扫描检测报告首页或封面带有 CMA 标志二维码、电话咨询发证机关，或提请本地市场监管部门协助验证。</w:t>
            </w:r>
            <w:r/>
          </w:p>
          <w:p>
            <w:pPr>
              <w:numPr>
                <w:ilvl w:val="1"/>
                <w:numId w:val="7"/>
              </w:numPr>
              <w:spacing w:line="400" w:lineRule="exact"/>
              <w:widowControl/>
              <w:rPr>
                <w:rFonts w:hint="eastAsia" w:ascii="宋体" w:hAnsi="宋体" w:cs="宋体"/>
              </w:rPr>
            </w:pPr>
            <w:r>
              <w:rPr>
                <w:rFonts w:hint="eastAsia" w:ascii="宋体" w:hAnsi="宋体" w:cs="宋体"/>
              </w:rPr>
              <w:t xml:space="preserve">协查。当采购人发现检测报告超出检测机构检测能力范围，或怀疑假检测报告真实性，及时向本地市场监管部门提供线索并请求协查，并获得协查结果。</w:t>
            </w:r>
            <w:r/>
          </w:p>
          <w:p>
            <w:pPr>
              <w:ind w:firstLine="420"/>
              <w:spacing w:line="400" w:lineRule="exact"/>
              <w:widowControl/>
              <w:rPr>
                <w:rFonts w:hint="eastAsia" w:ascii="宋体" w:hAnsi="宋体" w:cs="宋体"/>
              </w:rPr>
            </w:pPr>
            <w:r>
              <w:rPr>
                <w:rFonts w:hint="eastAsia" w:ascii="宋体" w:hAnsi="宋体" w:cs="宋体"/>
              </w:rPr>
              <w:t xml:space="preserve">如发现以下情况 ，采购人应及时报相关部门处置。（1）证书已过期、被撤销，或无法提供任何佐证的。（2）逾期未补正或补正仍不符合要求的；（3）材料内容不实、伪造、或所投产品与投标响应不符（如品牌、型号、技术参数等虚假）。</w:t>
            </w:r>
            <w:r/>
          </w:p>
          <w:p>
            <w:pPr>
              <w:ind w:firstLine="420"/>
              <w:spacing w:line="400" w:lineRule="exact"/>
              <w:widowControl/>
              <w:rPr>
                <w:rFonts w:hint="eastAsia" w:ascii="宋体" w:hAnsi="宋体" w:cs="宋体"/>
              </w:rPr>
            </w:pPr>
            <w:r>
              <w:rPr>
                <w:rFonts w:hint="eastAsia" w:ascii="宋体" w:hAnsi="宋体" w:cs="宋体"/>
              </w:rPr>
              <w:t xml:space="preserve">补正内容不能超出投标文件所提供材料的范围。检验检测机构已注销，但检测机构有效期内出具的有效检测报告应认定为有效。</w:t>
            </w:r>
            <w:r/>
          </w:p>
          <w:p>
            <w:pP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4.中标供应商应将电子</w:t>
            </w:r>
            <w:r>
              <w:rPr>
                <w:rFonts w:hint="eastAsia" w:asciiTheme="minorEastAsia" w:hAnsiTheme="minorEastAsia" w:eastAsiaTheme="minorEastAsia" w:cstheme="minorEastAsia"/>
                <w:lang w:val="en-US" w:eastAsia="zh-CN"/>
              </w:rPr>
              <w:t xml:space="preserve">投标</w:t>
            </w:r>
            <w:r>
              <w:rPr>
                <w:rFonts w:hint="eastAsia" w:asciiTheme="minorEastAsia" w:hAnsiTheme="minorEastAsia" w:eastAsiaTheme="minorEastAsia" w:cstheme="minorEastAsia"/>
              </w:rPr>
              <w:t xml:space="preserve">文件打印成纸质稿（编制页码打印并胶装），一式两份，分别递交至代理机构和采购人处（邮寄或当面送达)。未及时提供纸质</w:t>
            </w:r>
            <w:r>
              <w:rPr>
                <w:rFonts w:hint="eastAsia" w:asciiTheme="minorEastAsia" w:hAnsiTheme="minorEastAsia" w:eastAsiaTheme="minorEastAsia" w:cstheme="minorEastAsia"/>
                <w:lang w:eastAsia="zh-CN"/>
              </w:rPr>
              <w:t xml:space="preserve">投标</w:t>
            </w:r>
            <w:r>
              <w:rPr>
                <w:rFonts w:hint="eastAsia" w:asciiTheme="minorEastAsia" w:hAnsiTheme="minorEastAsia" w:eastAsiaTheme="minorEastAsia" w:cstheme="minorEastAsia"/>
              </w:rPr>
              <w:t xml:space="preserve">文件将可能影响合同签订，由此造成的后果及损失供应商自行负责。</w:t>
            </w:r>
            <w:r/>
          </w:p>
        </w:tc>
      </w:tr>
    </w:tbl>
    <w:p>
      <w:pPr>
        <w:pStyle w:val="809"/>
        <w:spacing w:before="0" w:line="400" w:lineRule="exact"/>
        <w:rPr>
          <w:rFonts w:hint="eastAsia"/>
          <w:sz w:val="21"/>
        </w:rPr>
      </w:pPr>
      <w:r>
        <w:rPr>
          <w:rFonts w:hint="eastAsia"/>
          <w:sz w:val="21"/>
        </w:rPr>
      </w:r>
      <w:r/>
    </w:p>
    <w:p>
      <w:pPr>
        <w:pStyle w:val="1088"/>
        <w:numPr>
          <w:ilvl w:val="0"/>
          <w:numId w:val="4"/>
        </w:numPr>
        <w:jc w:val="both"/>
        <w:widowControl w:val="off"/>
        <w:rPr>
          <w:rFonts w:hint="eastAsia" w:asciiTheme="minorEastAsia" w:hAnsiTheme="minorEastAsia" w:eastAsiaTheme="minorEastAsia" w:cstheme="minorEastAsia"/>
          <w:b/>
        </w:rPr>
      </w:pPr>
      <w:r>
        <w:rPr>
          <w:rFonts w:hint="eastAsia" w:asciiTheme="minorEastAsia" w:hAnsiTheme="minorEastAsia" w:eastAsiaTheme="minorEastAsia" w:cstheme="minorEastAsia"/>
          <w:b/>
        </w:rPr>
        <w:t xml:space="preserve">技术要求</w:t>
      </w:r>
      <w:r/>
    </w:p>
    <w:p>
      <w:pPr>
        <w:numPr>
          <w:ilvl w:val="0"/>
          <w:numId w:val="8"/>
        </w:numPr>
        <w:spacing w:line="276"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sz w:val="24"/>
          <w:szCs w:val="24"/>
        </w:rPr>
        <w:t xml:space="preserve">基本要求：</w:t>
      </w:r>
      <w:r>
        <w:rPr>
          <w:rFonts w:hint="eastAsia" w:asciiTheme="minorEastAsia" w:hAnsiTheme="minorEastAsia" w:eastAsiaTheme="minorEastAsia" w:cstheme="minorEastAsia"/>
          <w:b/>
          <w:bCs/>
          <w:color w:val="auto"/>
          <w:sz w:val="24"/>
          <w:szCs w:val="24"/>
        </w:rPr>
        <w:t xml:space="preserve"> </w:t>
      </w:r>
      <w:r/>
    </w:p>
    <w:p>
      <w:pPr>
        <w:numPr>
          <w:ilvl w:val="1"/>
          <w:numId w:val="9"/>
        </w:numPr>
        <w:spacing w:line="360" w:lineRule="auto"/>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 xml:space="preserve">所有单位的基本要求汇总（汇总的采购清单若与各单位批复的采购清单不一致，以批复的各单位的采购清单为准）</w:t>
      </w:r>
      <w:r/>
    </w:p>
    <w:tbl>
      <w:tblPr>
        <w:tblStyle w:val="806"/>
        <w:tblW w:w="894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98"/>
        <w:gridCol w:w="6306"/>
        <w:gridCol w:w="1065"/>
        <w:gridCol w:w="975"/>
      </w:tblGrid>
      <w:tr>
        <w:trPr>
          <w:jc w:val="center"/>
          <w:trHeight w:val="488"/>
          <w:tblHeader/>
        </w:trPr>
        <w:tc>
          <w:tcPr>
            <w:shd w:val="clear" w:color="auto" w:fill="auto"/>
            <w:tcBorders>
              <w:top w:val="single" w:color="000000" w:sz="4" w:space="0"/>
              <w:left w:val="single" w:color="000000" w:sz="4" w:space="0"/>
              <w:bottom w:val="single" w:color="000000" w:sz="4" w:space="0"/>
              <w:right w:val="single" w:color="000000" w:sz="4" w:space="0"/>
            </w:tcBorders>
            <w:tcW w:w="598" w:type="dxa"/>
            <w:vAlign w:val="center"/>
            <w:textDirection w:val="lrTb"/>
            <w:noWrap/>
          </w:tcPr>
          <w:p>
            <w:pPr>
              <w:jc w:val="center"/>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306" w:type="dxa"/>
            <w:vAlign w:val="center"/>
            <w:textDirection w:val="lrTb"/>
            <w:noWrap/>
          </w:tcPr>
          <w:p>
            <w:pPr>
              <w:jc w:val="center"/>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总数量</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单位</w:t>
            </w:r>
            <w:r/>
          </w:p>
        </w:tc>
      </w:tr>
      <w:tr>
        <w:trPr>
          <w:jc w:val="center"/>
          <w:trHeight w:val="488"/>
          <w:tblHeader/>
        </w:trPr>
        <w:tc>
          <w:tcPr>
            <w:shd w:val="clear" w:color="auto" w:fill="auto"/>
            <w:tcBorders>
              <w:top w:val="single" w:color="000000" w:sz="4" w:space="0"/>
              <w:left w:val="single" w:color="000000" w:sz="4" w:space="0"/>
              <w:bottom w:val="single" w:color="000000" w:sz="4" w:space="0"/>
              <w:right w:val="single" w:color="000000" w:sz="4" w:space="0"/>
            </w:tcBorders>
            <w:tcW w:w="59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06"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智能网关</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台</w:t>
            </w:r>
            <w:r/>
          </w:p>
        </w:tc>
      </w:tr>
      <w:tr>
        <w:trPr>
          <w:jc w:val="center"/>
          <w:trHeight w:val="488"/>
          <w:tblHeader/>
        </w:trPr>
        <w:tc>
          <w:tcPr>
            <w:shd w:val="clear" w:color="auto" w:fill="auto"/>
            <w:tcBorders>
              <w:top w:val="single" w:color="000000" w:sz="4" w:space="0"/>
              <w:left w:val="single" w:color="000000" w:sz="4" w:space="0"/>
              <w:bottom w:val="single" w:color="000000" w:sz="4" w:space="0"/>
              <w:right w:val="single" w:color="000000" w:sz="4" w:space="0"/>
            </w:tcBorders>
            <w:tcW w:w="59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06"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多波段紫红外火焰探测器</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个</w:t>
            </w:r>
            <w:r/>
          </w:p>
        </w:tc>
      </w:tr>
      <w:tr>
        <w:trPr>
          <w:jc w:val="center"/>
          <w:trHeight w:val="488"/>
          <w:tblHeader/>
        </w:trPr>
        <w:tc>
          <w:tcPr>
            <w:shd w:val="clear" w:color="auto" w:fill="auto"/>
            <w:tcBorders>
              <w:top w:val="single" w:color="000000" w:sz="4" w:space="0"/>
              <w:left w:val="single" w:color="000000" w:sz="4" w:space="0"/>
              <w:bottom w:val="single" w:color="000000" w:sz="4" w:space="0"/>
              <w:right w:val="single" w:color="000000" w:sz="4" w:space="0"/>
            </w:tcBorders>
            <w:tcW w:w="59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306" w:type="dxa"/>
            <w:vAlign w:val="center"/>
            <w:textDirection w:val="lrTb"/>
            <w:noWrap/>
          </w:tcPr>
          <w:p>
            <w:pPr>
              <w:jc w:val="left"/>
              <w:keepLines w:val="0"/>
              <w:keepNext w:val="0"/>
              <w:widowControl/>
              <w:rPr>
                <w:rFonts w:hint="default" w:asciiTheme="minorEastAsia" w:hAnsiTheme="minorEastAsia" w:eastAsiaTheme="minorEastAsia" w:cstheme="minorEastAsia"/>
                <w:i w:val="0"/>
                <w:iCs w:val="0"/>
                <w:color w:val="auto"/>
                <w:sz w:val="21"/>
                <w:szCs w:val="21"/>
                <w:u w:val="none"/>
                <w:lang w:val="en-US"/>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热成像双目枪式摄像机(含拾音器)</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317</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台</w:t>
            </w:r>
            <w:r/>
          </w:p>
        </w:tc>
      </w:tr>
      <w:tr>
        <w:trPr>
          <w:jc w:val="center"/>
          <w:trHeight w:val="488"/>
          <w:tblHeader/>
        </w:trPr>
        <w:tc>
          <w:tcPr>
            <w:shd w:val="clear" w:color="auto" w:fill="auto"/>
            <w:tcBorders>
              <w:top w:val="single" w:color="000000" w:sz="4" w:space="0"/>
              <w:left w:val="single" w:color="000000" w:sz="4" w:space="0"/>
              <w:bottom w:val="single" w:color="000000" w:sz="4" w:space="0"/>
              <w:right w:val="single" w:color="000000" w:sz="4" w:space="0"/>
            </w:tcBorders>
            <w:tcW w:w="59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06"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防欺凌预警终端（拾音器），核心设备</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2171</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台</w:t>
            </w:r>
            <w:r/>
          </w:p>
        </w:tc>
      </w:tr>
      <w:tr>
        <w:trPr>
          <w:jc w:val="center"/>
          <w:trHeight w:val="488"/>
          <w:tblHeader/>
        </w:trPr>
        <w:tc>
          <w:tcPr>
            <w:shd w:val="clear" w:color="auto" w:fill="auto"/>
            <w:tcBorders>
              <w:top w:val="single" w:color="000000" w:sz="4" w:space="0"/>
              <w:left w:val="single" w:color="000000" w:sz="4" w:space="0"/>
              <w:bottom w:val="single" w:color="000000" w:sz="4" w:space="0"/>
              <w:right w:val="single" w:color="000000" w:sz="4" w:space="0"/>
            </w:tcBorders>
            <w:tcW w:w="59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06"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电源控制箱</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只</w:t>
            </w:r>
            <w:r/>
          </w:p>
        </w:tc>
      </w:tr>
      <w:tr>
        <w:trPr>
          <w:jc w:val="center"/>
          <w:trHeight w:val="488"/>
          <w:tblHeader/>
        </w:trPr>
        <w:tc>
          <w:tcPr>
            <w:shd w:val="clear" w:color="auto" w:fill="auto"/>
            <w:tcBorders>
              <w:top w:val="single" w:color="000000" w:sz="4" w:space="0"/>
              <w:left w:val="single" w:color="000000" w:sz="4" w:space="0"/>
              <w:bottom w:val="single" w:color="000000" w:sz="4" w:space="0"/>
              <w:right w:val="single" w:color="000000" w:sz="4" w:space="0"/>
            </w:tcBorders>
            <w:tcW w:w="59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306"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24电口千兆POE交换机</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台</w:t>
            </w:r>
            <w:r/>
          </w:p>
        </w:tc>
      </w:tr>
      <w:tr>
        <w:trPr>
          <w:jc w:val="center"/>
          <w:trHeight w:val="488"/>
          <w:tblHeader/>
        </w:trPr>
        <w:tc>
          <w:tcPr>
            <w:shd w:val="clear" w:color="auto" w:fill="auto"/>
            <w:tcBorders>
              <w:top w:val="single" w:color="000000" w:sz="4" w:space="0"/>
              <w:left w:val="single" w:color="000000" w:sz="4" w:space="0"/>
              <w:bottom w:val="single" w:color="000000" w:sz="4" w:space="0"/>
              <w:right w:val="single" w:color="000000" w:sz="4" w:space="0"/>
            </w:tcBorders>
            <w:tcW w:w="59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306"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48电口千兆POE交换机</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台</w:t>
            </w:r>
            <w:r/>
          </w:p>
        </w:tc>
      </w:tr>
      <w:tr>
        <w:trPr>
          <w:jc w:val="center"/>
          <w:trHeight w:val="488"/>
          <w:tblHeader/>
        </w:trPr>
        <w:tc>
          <w:tcPr>
            <w:shd w:val="clear" w:color="auto" w:fill="auto"/>
            <w:tcBorders>
              <w:top w:val="single" w:color="000000" w:sz="4" w:space="0"/>
              <w:left w:val="single" w:color="000000" w:sz="4" w:space="0"/>
              <w:bottom w:val="single" w:color="000000" w:sz="4" w:space="0"/>
              <w:right w:val="single" w:color="000000" w:sz="4" w:space="0"/>
            </w:tcBorders>
            <w:tcW w:w="59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06"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8电口千兆POE交换机</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台</w:t>
            </w:r>
            <w:r/>
          </w:p>
        </w:tc>
      </w:tr>
      <w:tr>
        <w:trPr>
          <w:jc w:val="center"/>
          <w:trHeight w:val="488"/>
          <w:tblHeader/>
        </w:trPr>
        <w:tc>
          <w:tcPr>
            <w:shd w:val="clear" w:color="auto" w:fill="auto"/>
            <w:tcBorders>
              <w:top w:val="single" w:color="000000" w:sz="4" w:space="0"/>
              <w:left w:val="single" w:color="000000" w:sz="4" w:space="0"/>
              <w:bottom w:val="single" w:color="000000" w:sz="4" w:space="0"/>
              <w:right w:val="single" w:color="000000" w:sz="4" w:space="0"/>
            </w:tcBorders>
            <w:tcW w:w="59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306"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8口POE GPON</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台</w:t>
            </w:r>
            <w:r/>
          </w:p>
        </w:tc>
      </w:tr>
      <w:tr>
        <w:trPr>
          <w:jc w:val="center"/>
          <w:trHeight w:val="488"/>
          <w:tblHeader/>
        </w:trPr>
        <w:tc>
          <w:tcPr>
            <w:shd w:val="clear" w:color="auto" w:fill="auto"/>
            <w:tcBorders>
              <w:top w:val="single" w:color="000000" w:sz="4" w:space="0"/>
              <w:left w:val="single" w:color="000000" w:sz="4" w:space="0"/>
              <w:bottom w:val="single" w:color="000000" w:sz="4" w:space="0"/>
              <w:right w:val="single" w:color="000000" w:sz="4" w:space="0"/>
            </w:tcBorders>
            <w:tcW w:w="59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306"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分光器</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个</w:t>
            </w:r>
            <w:r/>
          </w:p>
        </w:tc>
      </w:tr>
      <w:tr>
        <w:trPr>
          <w:jc w:val="center"/>
          <w:trHeight w:val="488"/>
          <w:tblHeader/>
        </w:trPr>
        <w:tc>
          <w:tcPr>
            <w:shd w:val="clear" w:color="auto" w:fill="auto"/>
            <w:tcBorders>
              <w:top w:val="single" w:color="000000" w:sz="4" w:space="0"/>
              <w:left w:val="single" w:color="000000" w:sz="4" w:space="0"/>
              <w:bottom w:val="single" w:color="000000" w:sz="4" w:space="0"/>
              <w:right w:val="single" w:color="000000" w:sz="4" w:space="0"/>
            </w:tcBorders>
            <w:tcW w:w="59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306"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千兆光模块</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352</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个</w:t>
            </w:r>
            <w:r/>
          </w:p>
        </w:tc>
      </w:tr>
      <w:tr>
        <w:trPr>
          <w:jc w:val="center"/>
          <w:trHeight w:val="488"/>
          <w:tblHeader/>
        </w:trPr>
        <w:tc>
          <w:tcPr>
            <w:shd w:val="clear" w:color="auto" w:fill="auto"/>
            <w:tcBorders>
              <w:top w:val="single" w:color="000000" w:sz="4" w:space="0"/>
              <w:left w:val="single" w:color="000000" w:sz="4" w:space="0"/>
              <w:bottom w:val="single" w:color="000000" w:sz="4" w:space="0"/>
              <w:right w:val="single" w:color="000000" w:sz="4" w:space="0"/>
            </w:tcBorders>
            <w:tcW w:w="59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306"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六类4对非屏蔽双绞线</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182960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米</w:t>
            </w:r>
            <w:r/>
          </w:p>
        </w:tc>
      </w:tr>
      <w:tr>
        <w:trPr>
          <w:jc w:val="center"/>
          <w:trHeight w:val="488"/>
          <w:tblHeader/>
        </w:trPr>
        <w:tc>
          <w:tcPr>
            <w:shd w:val="clear" w:color="auto" w:fill="auto"/>
            <w:tcBorders>
              <w:top w:val="single" w:color="000000" w:sz="4" w:space="0"/>
              <w:left w:val="single" w:color="000000" w:sz="4" w:space="0"/>
              <w:bottom w:val="single" w:color="000000" w:sz="4" w:space="0"/>
              <w:right w:val="single" w:color="000000" w:sz="4" w:space="0"/>
            </w:tcBorders>
            <w:tcW w:w="59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306"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2米六类4对非屏蔽跳线</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1958</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根</w:t>
            </w:r>
            <w:r/>
          </w:p>
        </w:tc>
      </w:tr>
      <w:tr>
        <w:trPr>
          <w:jc w:val="center"/>
          <w:trHeight w:val="488"/>
          <w:tblHeader/>
        </w:trPr>
        <w:tc>
          <w:tcPr>
            <w:shd w:val="clear" w:color="auto" w:fill="auto"/>
            <w:tcBorders>
              <w:top w:val="single" w:color="000000" w:sz="4" w:space="0"/>
              <w:left w:val="single" w:color="000000" w:sz="4" w:space="0"/>
              <w:bottom w:val="single" w:color="000000" w:sz="4" w:space="0"/>
              <w:right w:val="single" w:color="000000" w:sz="4" w:space="0"/>
            </w:tcBorders>
            <w:tcW w:w="59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306"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4芯室外单模光缆</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1450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米</w:t>
            </w:r>
            <w:r/>
          </w:p>
        </w:tc>
      </w:tr>
      <w:tr>
        <w:trPr>
          <w:jc w:val="center"/>
          <w:trHeight w:val="488"/>
          <w:tblHeader/>
        </w:trPr>
        <w:tc>
          <w:tcPr>
            <w:shd w:val="clear" w:color="auto" w:fill="auto"/>
            <w:tcBorders>
              <w:top w:val="single" w:color="000000" w:sz="4" w:space="0"/>
              <w:left w:val="single" w:color="000000" w:sz="4" w:space="0"/>
              <w:bottom w:val="single" w:color="000000" w:sz="4" w:space="0"/>
              <w:right w:val="single" w:color="000000" w:sz="4" w:space="0"/>
            </w:tcBorders>
            <w:tcW w:w="59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306"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6芯室外单模光缆</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米</w:t>
            </w:r>
            <w:r/>
          </w:p>
        </w:tc>
      </w:tr>
      <w:tr>
        <w:trPr>
          <w:jc w:val="center"/>
          <w:trHeight w:val="488"/>
          <w:tblHeader/>
        </w:trPr>
        <w:tc>
          <w:tcPr>
            <w:shd w:val="clear" w:color="auto" w:fill="auto"/>
            <w:tcBorders>
              <w:top w:val="single" w:color="000000" w:sz="4" w:space="0"/>
              <w:left w:val="single" w:color="000000" w:sz="4" w:space="0"/>
              <w:bottom w:val="single" w:color="000000" w:sz="4" w:space="0"/>
              <w:right w:val="single" w:color="000000" w:sz="4" w:space="0"/>
            </w:tcBorders>
            <w:tcW w:w="59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306"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8芯室内单模光缆</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米</w:t>
            </w:r>
            <w:r/>
          </w:p>
        </w:tc>
      </w:tr>
      <w:tr>
        <w:trPr>
          <w:jc w:val="center"/>
          <w:trHeight w:val="488"/>
          <w:tblHeader/>
        </w:trPr>
        <w:tc>
          <w:tcPr>
            <w:shd w:val="clear" w:color="auto" w:fill="auto"/>
            <w:tcBorders>
              <w:top w:val="single" w:color="000000" w:sz="4" w:space="0"/>
              <w:left w:val="single" w:color="000000" w:sz="4" w:space="0"/>
              <w:bottom w:val="single" w:color="000000" w:sz="4" w:space="0"/>
              <w:right w:val="single" w:color="000000" w:sz="4" w:space="0"/>
            </w:tcBorders>
            <w:tcW w:w="59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6306"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强电电缆</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947</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米</w:t>
            </w:r>
            <w:r/>
          </w:p>
        </w:tc>
      </w:tr>
      <w:tr>
        <w:trPr>
          <w:jc w:val="center"/>
          <w:trHeight w:val="488"/>
          <w:tblHeader/>
        </w:trPr>
        <w:tc>
          <w:tcPr>
            <w:shd w:val="clear" w:color="auto" w:fill="auto"/>
            <w:tcBorders>
              <w:top w:val="single" w:color="000000" w:sz="4" w:space="0"/>
              <w:left w:val="single" w:color="000000" w:sz="4" w:space="0"/>
              <w:bottom w:val="single" w:color="000000" w:sz="4" w:space="0"/>
              <w:right w:val="single" w:color="000000" w:sz="4" w:space="0"/>
            </w:tcBorders>
            <w:tcW w:w="59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6306"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信号线（4*1.5）</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16750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米</w:t>
            </w:r>
            <w:r/>
          </w:p>
        </w:tc>
      </w:tr>
      <w:tr>
        <w:trPr>
          <w:jc w:val="center"/>
          <w:trHeight w:val="488"/>
          <w:tblHeader/>
        </w:trPr>
        <w:tc>
          <w:tcPr>
            <w:shd w:val="clear" w:color="auto" w:fill="auto"/>
            <w:tcBorders>
              <w:top w:val="single" w:color="000000" w:sz="4" w:space="0"/>
              <w:left w:val="single" w:color="000000" w:sz="4" w:space="0"/>
              <w:bottom w:val="single" w:color="000000" w:sz="4" w:space="0"/>
              <w:right w:val="single" w:color="000000" w:sz="4" w:space="0"/>
            </w:tcBorders>
            <w:tcW w:w="59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306"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电源线（2*1.5）</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74650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米</w:t>
            </w:r>
            <w:r/>
          </w:p>
        </w:tc>
      </w:tr>
      <w:tr>
        <w:trPr>
          <w:jc w:val="center"/>
          <w:trHeight w:val="488"/>
          <w:tblHeader/>
        </w:trPr>
        <w:tc>
          <w:tcPr>
            <w:shd w:val="clear" w:color="auto" w:fill="auto"/>
            <w:tcBorders>
              <w:top w:val="single" w:color="000000" w:sz="4" w:space="0"/>
              <w:left w:val="single" w:color="000000" w:sz="4" w:space="0"/>
              <w:bottom w:val="single" w:color="000000" w:sz="4" w:space="0"/>
              <w:right w:val="single" w:color="000000" w:sz="4" w:space="0"/>
            </w:tcBorders>
            <w:tcW w:w="59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306"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电源线（3*1.5）</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4800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米</w:t>
            </w:r>
            <w:r/>
          </w:p>
        </w:tc>
      </w:tr>
      <w:tr>
        <w:trPr>
          <w:jc w:val="center"/>
          <w:trHeight w:val="488"/>
          <w:tblHeader/>
        </w:trPr>
        <w:tc>
          <w:tcPr>
            <w:shd w:val="clear" w:color="auto" w:fill="auto"/>
            <w:tcBorders>
              <w:top w:val="single" w:color="000000" w:sz="4" w:space="0"/>
              <w:left w:val="single" w:color="000000" w:sz="4" w:space="0"/>
              <w:bottom w:val="single" w:color="000000" w:sz="4" w:space="0"/>
              <w:right w:val="single" w:color="000000" w:sz="4" w:space="0"/>
            </w:tcBorders>
            <w:tcW w:w="59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6306"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室外安防箱</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套</w:t>
            </w:r>
            <w:r/>
          </w:p>
        </w:tc>
      </w:tr>
      <w:tr>
        <w:trPr>
          <w:jc w:val="center"/>
          <w:trHeight w:val="488"/>
          <w:tblHeader/>
        </w:trPr>
        <w:tc>
          <w:tcPr>
            <w:shd w:val="clear" w:color="auto" w:fill="auto"/>
            <w:tcBorders>
              <w:top w:val="single" w:color="000000" w:sz="4" w:space="0"/>
              <w:left w:val="single" w:color="000000" w:sz="4" w:space="0"/>
              <w:bottom w:val="single" w:color="000000" w:sz="4" w:space="0"/>
              <w:right w:val="single" w:color="000000" w:sz="4" w:space="0"/>
            </w:tcBorders>
            <w:tcW w:w="59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306"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摄像机支架</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317</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套</w:t>
            </w:r>
            <w:r/>
          </w:p>
        </w:tc>
      </w:tr>
      <w:tr>
        <w:trPr>
          <w:jc w:val="center"/>
          <w:trHeight w:val="488"/>
          <w:tblHeader/>
        </w:trPr>
        <w:tc>
          <w:tcPr>
            <w:shd w:val="clear" w:color="auto" w:fill="auto"/>
            <w:tcBorders>
              <w:top w:val="single" w:color="000000" w:sz="4" w:space="0"/>
              <w:left w:val="single" w:color="000000" w:sz="4" w:space="0"/>
              <w:bottom w:val="single" w:color="000000" w:sz="4" w:space="0"/>
              <w:right w:val="single" w:color="000000" w:sz="4" w:space="0"/>
            </w:tcBorders>
            <w:tcW w:w="59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6306"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42U机柜</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台</w:t>
            </w:r>
            <w:r/>
          </w:p>
        </w:tc>
      </w:tr>
      <w:tr>
        <w:trPr>
          <w:jc w:val="center"/>
          <w:trHeight w:val="488"/>
          <w:tblHeader/>
        </w:trPr>
        <w:tc>
          <w:tcPr>
            <w:shd w:val="clear" w:color="auto" w:fill="auto"/>
            <w:tcBorders>
              <w:top w:val="single" w:color="000000" w:sz="4" w:space="0"/>
              <w:left w:val="single" w:color="000000" w:sz="4" w:space="0"/>
              <w:bottom w:val="single" w:color="000000" w:sz="4" w:space="0"/>
              <w:right w:val="single" w:color="000000" w:sz="4" w:space="0"/>
            </w:tcBorders>
            <w:tcW w:w="59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306"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9U壁挂机柜</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套</w:t>
            </w:r>
            <w:r/>
          </w:p>
        </w:tc>
      </w:tr>
      <w:tr>
        <w:trPr>
          <w:jc w:val="center"/>
          <w:trHeight w:val="488"/>
          <w:tblHeader/>
        </w:trPr>
        <w:tc>
          <w:tcPr>
            <w:shd w:val="clear" w:color="auto" w:fill="auto"/>
            <w:tcBorders>
              <w:top w:val="single" w:color="000000" w:sz="4" w:space="0"/>
              <w:left w:val="single" w:color="000000" w:sz="4" w:space="0"/>
              <w:bottom w:val="single" w:color="000000" w:sz="4" w:space="0"/>
              <w:right w:val="single" w:color="000000" w:sz="4" w:space="0"/>
            </w:tcBorders>
            <w:tcW w:w="59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306"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24芯光纤配线架</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个</w:t>
            </w:r>
            <w:r/>
          </w:p>
        </w:tc>
      </w:tr>
      <w:tr>
        <w:trPr>
          <w:jc w:val="center"/>
          <w:trHeight w:val="488"/>
          <w:tblHeader/>
        </w:trPr>
        <w:tc>
          <w:tcPr>
            <w:shd w:val="clear" w:color="auto" w:fill="auto"/>
            <w:tcBorders>
              <w:top w:val="single" w:color="000000" w:sz="4" w:space="0"/>
              <w:left w:val="single" w:color="000000" w:sz="4" w:space="0"/>
              <w:bottom w:val="single" w:color="000000" w:sz="4" w:space="0"/>
              <w:right w:val="single" w:color="000000" w:sz="4" w:space="0"/>
            </w:tcBorders>
            <w:tcW w:w="59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6306"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24口六类非屏蔽配线架</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个</w:t>
            </w:r>
            <w:r/>
          </w:p>
        </w:tc>
      </w:tr>
      <w:tr>
        <w:trPr>
          <w:jc w:val="center"/>
          <w:trHeight w:val="488"/>
          <w:tblHeader/>
        </w:trPr>
        <w:tc>
          <w:tcPr>
            <w:shd w:val="clear" w:color="auto" w:fill="auto"/>
            <w:tcBorders>
              <w:top w:val="single" w:color="000000" w:sz="4" w:space="0"/>
              <w:left w:val="single" w:color="000000" w:sz="4" w:space="0"/>
              <w:bottom w:val="single" w:color="000000" w:sz="4" w:space="0"/>
              <w:right w:val="single" w:color="000000" w:sz="4" w:space="0"/>
            </w:tcBorders>
            <w:tcW w:w="59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6306"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理线器</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个</w:t>
            </w:r>
            <w:r/>
          </w:p>
        </w:tc>
      </w:tr>
      <w:tr>
        <w:trPr>
          <w:jc w:val="center"/>
          <w:trHeight w:val="488"/>
          <w:tblHeader/>
        </w:trPr>
        <w:tc>
          <w:tcPr>
            <w:shd w:val="clear" w:color="auto" w:fill="auto"/>
            <w:tcBorders>
              <w:top w:val="single" w:color="000000" w:sz="4" w:space="0"/>
              <w:left w:val="single" w:color="000000" w:sz="4" w:space="0"/>
              <w:bottom w:val="single" w:color="000000" w:sz="4" w:space="0"/>
              <w:right w:val="single" w:color="000000" w:sz="4" w:space="0"/>
            </w:tcBorders>
            <w:tcW w:w="59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306"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1.5米单模单芯光纤尾纤</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根</w:t>
            </w:r>
            <w:r/>
          </w:p>
        </w:tc>
      </w:tr>
      <w:tr>
        <w:trPr>
          <w:jc w:val="center"/>
          <w:trHeight w:val="488"/>
          <w:tblHeader/>
        </w:trPr>
        <w:tc>
          <w:tcPr>
            <w:shd w:val="clear" w:color="auto" w:fill="auto"/>
            <w:tcBorders>
              <w:top w:val="single" w:color="000000" w:sz="4" w:space="0"/>
              <w:left w:val="single" w:color="000000" w:sz="4" w:space="0"/>
              <w:bottom w:val="single" w:color="000000" w:sz="4" w:space="0"/>
              <w:right w:val="single" w:color="000000" w:sz="4" w:space="0"/>
            </w:tcBorders>
            <w:tcW w:w="59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6306"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3米单模双芯光纤跳线</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373</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对</w:t>
            </w:r>
            <w:r/>
          </w:p>
        </w:tc>
      </w:tr>
      <w:tr>
        <w:trPr>
          <w:jc w:val="center"/>
          <w:trHeight w:val="488"/>
          <w:tblHeader/>
        </w:trPr>
        <w:tc>
          <w:tcPr>
            <w:shd w:val="clear" w:color="auto" w:fill="auto"/>
            <w:tcBorders>
              <w:top w:val="single" w:color="000000" w:sz="4" w:space="0"/>
              <w:left w:val="single" w:color="000000" w:sz="4" w:space="0"/>
              <w:bottom w:val="single" w:color="000000" w:sz="4" w:space="0"/>
              <w:right w:val="single" w:color="000000" w:sz="4" w:space="0"/>
            </w:tcBorders>
            <w:tcW w:w="59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306"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4芯光纤终端盒（含耦合器)）</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只</w:t>
            </w:r>
            <w:r/>
          </w:p>
        </w:tc>
      </w:tr>
      <w:tr>
        <w:trPr>
          <w:jc w:val="center"/>
          <w:trHeight w:val="488"/>
          <w:tblHeader/>
        </w:trPr>
        <w:tc>
          <w:tcPr>
            <w:shd w:val="clear" w:color="auto" w:fill="auto"/>
            <w:tcBorders>
              <w:top w:val="single" w:color="000000" w:sz="4" w:space="0"/>
              <w:left w:val="single" w:color="000000" w:sz="4" w:space="0"/>
              <w:bottom w:val="single" w:color="000000" w:sz="4" w:space="0"/>
              <w:right w:val="single" w:color="000000" w:sz="4" w:space="0"/>
            </w:tcBorders>
            <w:tcW w:w="59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6306"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8口光纤终端盒(含耦合器)</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个</w:t>
            </w:r>
            <w:r/>
          </w:p>
        </w:tc>
      </w:tr>
      <w:tr>
        <w:trPr>
          <w:jc w:val="center"/>
          <w:trHeight w:val="488"/>
          <w:tblHeader/>
        </w:trPr>
        <w:tc>
          <w:tcPr>
            <w:shd w:val="clear" w:color="auto" w:fill="auto"/>
            <w:tcBorders>
              <w:top w:val="single" w:color="000000" w:sz="4" w:space="0"/>
              <w:left w:val="single" w:color="000000" w:sz="4" w:space="0"/>
              <w:bottom w:val="single" w:color="000000" w:sz="4" w:space="0"/>
              <w:right w:val="single" w:color="000000" w:sz="4" w:space="0"/>
            </w:tcBorders>
            <w:tcW w:w="59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6306"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光纤收发器</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对</w:t>
            </w:r>
            <w:r/>
          </w:p>
        </w:tc>
      </w:tr>
      <w:tr>
        <w:trPr>
          <w:jc w:val="center"/>
          <w:trHeight w:val="488"/>
          <w:tblHeader/>
        </w:trPr>
        <w:tc>
          <w:tcPr>
            <w:shd w:val="clear" w:color="auto" w:fill="auto"/>
            <w:tcBorders>
              <w:top w:val="single" w:color="000000" w:sz="4" w:space="0"/>
              <w:left w:val="single" w:color="000000" w:sz="4" w:space="0"/>
              <w:bottom w:val="single" w:color="000000" w:sz="4" w:space="0"/>
              <w:right w:val="single" w:color="000000" w:sz="4" w:space="0"/>
            </w:tcBorders>
            <w:tcW w:w="59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6306"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光纤熔接</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芯</w:t>
            </w:r>
            <w:r/>
          </w:p>
        </w:tc>
      </w:tr>
      <w:tr>
        <w:trPr>
          <w:jc w:val="center"/>
          <w:trHeight w:val="488"/>
          <w:tblHeader/>
        </w:trPr>
        <w:tc>
          <w:tcPr>
            <w:shd w:val="clear" w:color="auto" w:fill="auto"/>
            <w:tcBorders>
              <w:top w:val="single" w:color="000000" w:sz="4" w:space="0"/>
              <w:left w:val="single" w:color="000000" w:sz="4" w:space="0"/>
              <w:bottom w:val="single" w:color="000000" w:sz="4" w:space="0"/>
              <w:right w:val="single" w:color="000000" w:sz="4" w:space="0"/>
            </w:tcBorders>
            <w:tcW w:w="59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6306"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护线管</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49430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米</w:t>
            </w:r>
            <w:r/>
          </w:p>
        </w:tc>
      </w:tr>
      <w:tr>
        <w:trPr>
          <w:jc w:val="center"/>
          <w:trHeight w:val="488"/>
          <w:tblHeader/>
        </w:trPr>
        <w:tc>
          <w:tcPr>
            <w:shd w:val="clear" w:color="auto" w:fill="auto"/>
            <w:tcBorders>
              <w:top w:val="single" w:color="000000" w:sz="4" w:space="0"/>
              <w:left w:val="single" w:color="000000" w:sz="4" w:space="0"/>
              <w:bottom w:val="single" w:color="000000" w:sz="4" w:space="0"/>
              <w:right w:val="single" w:color="000000" w:sz="4" w:space="0"/>
            </w:tcBorders>
            <w:tcW w:w="59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6306"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金属软管</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419</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米</w:t>
            </w:r>
            <w:r/>
          </w:p>
        </w:tc>
      </w:tr>
      <w:tr>
        <w:trPr>
          <w:jc w:val="center"/>
          <w:trHeight w:val="488"/>
          <w:tblHeader/>
        </w:trPr>
        <w:tc>
          <w:tcPr>
            <w:shd w:val="clear" w:color="auto" w:fill="auto"/>
            <w:tcBorders>
              <w:top w:val="single" w:color="000000" w:sz="4" w:space="0"/>
              <w:left w:val="single" w:color="000000" w:sz="4" w:space="0"/>
              <w:bottom w:val="single" w:color="000000" w:sz="4" w:space="0"/>
              <w:right w:val="single" w:color="000000" w:sz="4" w:space="0"/>
            </w:tcBorders>
            <w:tcW w:w="59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6306"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拖线板</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只</w:t>
            </w:r>
            <w:r/>
          </w:p>
        </w:tc>
      </w:tr>
      <w:tr>
        <w:trPr>
          <w:jc w:val="center"/>
          <w:trHeight w:val="488"/>
          <w:tblHeader/>
        </w:trPr>
        <w:tc>
          <w:tcPr>
            <w:shd w:val="clear" w:color="auto" w:fill="auto"/>
            <w:tcBorders>
              <w:top w:val="single" w:color="000000" w:sz="4" w:space="0"/>
              <w:left w:val="single" w:color="000000" w:sz="4" w:space="0"/>
              <w:bottom w:val="single" w:color="000000" w:sz="4" w:space="0"/>
              <w:right w:val="single" w:color="000000" w:sz="4" w:space="0"/>
            </w:tcBorders>
            <w:tcW w:w="59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6306"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Style w:val="1122"/>
                <w:rFonts w:hint="eastAsia" w:asciiTheme="minorEastAsia" w:hAnsiTheme="minorEastAsia" w:eastAsiaTheme="minorEastAsia" w:cstheme="minorEastAsia"/>
                <w:sz w:val="21"/>
                <w:szCs w:val="21"/>
                <w:lang w:val="en-US" w:eastAsia="zh-CN" w:bidi="ar"/>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default" w:asciiTheme="minorEastAsia" w:hAnsiTheme="minorEastAsia" w:eastAsiaTheme="minorEastAsia" w:cstheme="minorEastAsia"/>
                <w:i w:val="0"/>
                <w:iCs w:val="0"/>
                <w:color w:val="ff0000"/>
                <w:sz w:val="21"/>
                <w:szCs w:val="21"/>
                <w:u w:val="none"/>
                <w:lang w:val="en-US"/>
              </w:rPr>
              <w:suppressLineNumbers w:val="0"/>
            </w:pPr>
            <w:r>
              <w:rPr>
                <w:rFonts w:hint="eastAsia" w:asciiTheme="minorEastAsia" w:hAnsiTheme="minorEastAsia" w:eastAsiaTheme="minorEastAsia" w:cstheme="minorEastAsia"/>
                <w:i w:val="0"/>
                <w:iCs w:val="0"/>
                <w:color w:val="ff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ff0000"/>
                <w:sz w:val="21"/>
                <w:szCs w:val="21"/>
                <w:u w:val="none"/>
              </w:rPr>
              <w:suppressLineNumbers w:val="0"/>
            </w:pPr>
            <w:r>
              <w:rPr>
                <w:rFonts w:hint="eastAsia" w:asciiTheme="minorEastAsia" w:hAnsiTheme="minorEastAsia" w:eastAsiaTheme="minorEastAsia" w:cstheme="minorEastAsia"/>
                <w:i w:val="0"/>
                <w:iCs w:val="0"/>
                <w:color w:val="ff0000"/>
                <w:sz w:val="21"/>
                <w:szCs w:val="21"/>
                <w:u w:val="none"/>
                <w:lang w:val="en-US" w:eastAsia="zh-CN" w:bidi="ar"/>
              </w:rPr>
              <w:t xml:space="preserve">项</w:t>
            </w:r>
            <w:r/>
          </w:p>
        </w:tc>
      </w:tr>
    </w:tbl>
    <w:p>
      <w:pPr>
        <w:pStyle w:val="810"/>
        <w:ind w:left="0" w:firstLine="0"/>
        <w:rPr>
          <w:rFonts w:hint="eastAsia" w:asciiTheme="minorEastAsia" w:hAnsiTheme="minorEastAsia" w:eastAsiaTheme="minorEastAsia" w:cstheme="minorEastAsia"/>
          <w:b/>
          <w:bCs/>
          <w:color w:val="auto"/>
          <w:sz w:val="24"/>
          <w:szCs w:val="24"/>
          <w:lang w:val="en-US" w:eastAsia="zh-CN"/>
        </w:rPr>
      </w:pPr>
      <w:r>
        <w:rPr>
          <w:rFonts w:hint="eastAsia" w:asciiTheme="minorEastAsia" w:hAnsiTheme="minorEastAsia" w:eastAsiaTheme="minorEastAsia" w:cstheme="minorEastAsia"/>
          <w:b/>
          <w:bCs/>
          <w:color w:val="auto"/>
          <w:sz w:val="24"/>
          <w:szCs w:val="24"/>
          <w:lang w:val="en-US" w:eastAsia="zh-CN"/>
        </w:rPr>
        <w:t xml:space="preserve">各单位批复的采购清单，详见附件。</w:t>
      </w:r>
      <w:r/>
    </w:p>
    <w:p>
      <w:pPr>
        <w:pStyle w:val="810"/>
        <w:ind w:left="0" w:firstLine="0"/>
        <w:rPr>
          <w:rFonts w:hint="default" w:asciiTheme="minorEastAsia" w:hAnsiTheme="minorEastAsia" w:eastAsiaTheme="minorEastAsia" w:cstheme="minorEastAsia"/>
          <w:b/>
          <w:bCs/>
          <w:color w:val="auto"/>
          <w:sz w:val="24"/>
          <w:szCs w:val="24"/>
          <w:lang w:val="en-US" w:eastAsia="zh-CN"/>
        </w:rPr>
      </w:pPr>
      <w:r>
        <w:rPr>
          <w:rFonts w:hint="eastAsia" w:asciiTheme="minorEastAsia" w:hAnsiTheme="minorEastAsia" w:eastAsiaTheme="minorEastAsia" w:cstheme="minorEastAsia"/>
          <w:b/>
          <w:bCs/>
          <w:color w:val="auto"/>
          <w:sz w:val="24"/>
          <w:szCs w:val="24"/>
          <w:lang w:val="en-US" w:eastAsia="zh-CN"/>
        </w:rPr>
        <w:t xml:space="preserve">各采购单位现有在用安防管理平台的品牌和版本信息，如下：</w:t>
      </w:r>
      <w:r/>
    </w:p>
    <w:tbl>
      <w:tblPr>
        <w:tblStyle w:val="829"/>
        <w:tblW w:w="89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7"/>
        <w:gridCol w:w="3180"/>
        <w:gridCol w:w="861"/>
        <w:gridCol w:w="4260"/>
      </w:tblGrid>
      <w:tr>
        <w:trPr>
          <w:jc w:val="center"/>
        </w:trPr>
        <w:tc>
          <w:tcPr>
            <w:tcW w:w="667" w:type="dxa"/>
            <w:vAlign w:val="center"/>
            <w:textDirection w:val="lrTb"/>
            <w:noWrap w:val="false"/>
          </w:tcPr>
          <w:p>
            <w:pPr>
              <w:pStyle w:val="810"/>
              <w:ind w:left="0" w:firstLine="0"/>
              <w:jc w:val="center"/>
              <w:rPr>
                <w:rFonts w:hint="eastAsia" w:asciiTheme="minorEastAsia" w:hAnsiTheme="minorEastAsia" w:eastAsiaTheme="minorEastAsia" w:cstheme="minorEastAsia"/>
                <w:b/>
                <w:bCs/>
                <w:color w:val="auto"/>
                <w:sz w:val="18"/>
                <w:szCs w:val="18"/>
                <w:vertAlign w:val="baseline"/>
                <w:lang w:val="en-US" w:eastAsia="zh-CN"/>
              </w:rPr>
            </w:pPr>
            <w:r>
              <w:rPr>
                <w:rFonts w:hint="eastAsia" w:asciiTheme="minorEastAsia" w:hAnsiTheme="minorEastAsia" w:eastAsiaTheme="minorEastAsia" w:cstheme="minorEastAsia"/>
                <w:b/>
                <w:bCs/>
                <w:color w:val="auto"/>
                <w:sz w:val="18"/>
                <w:szCs w:val="18"/>
                <w:vertAlign w:val="baseline"/>
                <w:lang w:val="en-US" w:eastAsia="zh-CN"/>
              </w:rPr>
              <w:t xml:space="preserve">序号</w:t>
            </w:r>
            <w:r/>
          </w:p>
        </w:tc>
        <w:tc>
          <w:tcPr>
            <w:tcW w:w="3180" w:type="dxa"/>
            <w:vAlign w:val="center"/>
            <w:textDirection w:val="lrTb"/>
            <w:noWrap w:val="false"/>
          </w:tcPr>
          <w:p>
            <w:pPr>
              <w:pStyle w:val="810"/>
              <w:ind w:left="0" w:firstLine="0"/>
              <w:jc w:val="center"/>
              <w:rPr>
                <w:rFonts w:hint="eastAsia" w:asciiTheme="minorEastAsia" w:hAnsiTheme="minorEastAsia" w:eastAsiaTheme="minorEastAsia" w:cstheme="minorEastAsia"/>
                <w:b/>
                <w:bCs/>
                <w:color w:val="auto"/>
                <w:sz w:val="18"/>
                <w:szCs w:val="18"/>
                <w:vertAlign w:val="baseline"/>
                <w:lang w:val="en-US" w:eastAsia="zh-CN"/>
              </w:rPr>
            </w:pPr>
            <w:r>
              <w:rPr>
                <w:rFonts w:hint="eastAsia" w:asciiTheme="minorEastAsia" w:hAnsiTheme="minorEastAsia" w:eastAsiaTheme="minorEastAsia" w:cstheme="minorEastAsia"/>
                <w:b/>
                <w:bCs/>
                <w:color w:val="auto"/>
                <w:sz w:val="18"/>
                <w:szCs w:val="18"/>
                <w:vertAlign w:val="baseline"/>
                <w:lang w:val="en-US" w:eastAsia="zh-CN"/>
              </w:rPr>
              <w:t xml:space="preserve">单位名称</w:t>
            </w:r>
            <w:r/>
          </w:p>
        </w:tc>
        <w:tc>
          <w:tcPr>
            <w:tcW w:w="861" w:type="dxa"/>
            <w:vAlign w:val="center"/>
            <w:textDirection w:val="lrTb"/>
            <w:noWrap w:val="false"/>
          </w:tcPr>
          <w:p>
            <w:pPr>
              <w:pStyle w:val="810"/>
              <w:ind w:left="0" w:firstLine="0"/>
              <w:jc w:val="center"/>
              <w:rPr>
                <w:rFonts w:hint="eastAsia" w:asciiTheme="minorEastAsia" w:hAnsiTheme="minorEastAsia" w:eastAsiaTheme="minorEastAsia" w:cstheme="minorEastAsia"/>
                <w:b/>
                <w:bCs/>
                <w:color w:val="auto"/>
                <w:sz w:val="18"/>
                <w:szCs w:val="18"/>
                <w:vertAlign w:val="baseline"/>
                <w:lang w:val="en-US" w:eastAsia="zh-CN"/>
              </w:rPr>
            </w:pPr>
            <w:r>
              <w:rPr>
                <w:rFonts w:hint="eastAsia" w:asciiTheme="minorEastAsia" w:hAnsiTheme="minorEastAsia" w:eastAsiaTheme="minorEastAsia" w:cstheme="minorEastAsia"/>
                <w:b/>
                <w:bCs/>
                <w:color w:val="auto"/>
                <w:sz w:val="18"/>
                <w:szCs w:val="18"/>
                <w:vertAlign w:val="baseline"/>
                <w:lang w:val="en-US" w:eastAsia="zh-CN"/>
              </w:rPr>
              <w:t xml:space="preserve">品牌</w:t>
            </w:r>
            <w:r/>
          </w:p>
        </w:tc>
        <w:tc>
          <w:tcPr>
            <w:tcW w:w="4260" w:type="dxa"/>
            <w:vAlign w:val="center"/>
            <w:textDirection w:val="lrTb"/>
            <w:noWrap w:val="false"/>
          </w:tcPr>
          <w:p>
            <w:pPr>
              <w:pStyle w:val="810"/>
              <w:ind w:left="0" w:firstLine="0"/>
              <w:jc w:val="center"/>
              <w:rPr>
                <w:rFonts w:hint="eastAsia" w:asciiTheme="minorEastAsia" w:hAnsiTheme="minorEastAsia" w:eastAsiaTheme="minorEastAsia" w:cstheme="minorEastAsia"/>
                <w:b/>
                <w:bCs/>
                <w:color w:val="auto"/>
                <w:sz w:val="18"/>
                <w:szCs w:val="18"/>
                <w:vertAlign w:val="baseline"/>
                <w:lang w:val="en-US" w:eastAsia="zh-CN"/>
              </w:rPr>
            </w:pPr>
            <w:r>
              <w:rPr>
                <w:rFonts w:hint="eastAsia" w:asciiTheme="minorEastAsia" w:hAnsiTheme="minorEastAsia" w:eastAsiaTheme="minorEastAsia" w:cstheme="minorEastAsia"/>
                <w:b/>
                <w:bCs/>
                <w:color w:val="auto"/>
                <w:sz w:val="18"/>
                <w:szCs w:val="18"/>
                <w:vertAlign w:val="baseline"/>
                <w:lang w:val="en-US" w:eastAsia="zh-CN"/>
              </w:rPr>
              <w:t xml:space="preserve">版本信息</w:t>
            </w:r>
            <w:r/>
          </w:p>
        </w:tc>
      </w:tr>
      <w:tr>
        <w:trPr>
          <w:jc w:val="center"/>
        </w:trPr>
        <w:tc>
          <w:tcPr>
            <w:tcW w:w="667" w:type="dxa"/>
            <w:vAlign w:val="center"/>
            <w:textDirection w:val="lrTb"/>
            <w:noWrap w:val="false"/>
          </w:tcPr>
          <w:p>
            <w:pPr>
              <w:pStyle w:val="810"/>
              <w:ind w:left="0" w:firstLine="0"/>
              <w:jc w:val="center"/>
              <w:rPr>
                <w:rFonts w:hint="eastAsia" w:asciiTheme="minorEastAsia" w:hAnsiTheme="minorEastAsia" w:eastAsiaTheme="minorEastAsia" w:cstheme="minorEastAsia"/>
                <w:b w:val="0"/>
                <w:bCs w:val="0"/>
                <w:color w:val="auto"/>
                <w:sz w:val="18"/>
                <w:szCs w:val="18"/>
                <w:vertAlign w:val="baseline"/>
                <w:lang w:val="en-US" w:eastAsia="zh-CN"/>
              </w:rPr>
            </w:pPr>
            <w:r>
              <w:rPr>
                <w:rFonts w:hint="eastAsia" w:asciiTheme="minorEastAsia" w:hAnsiTheme="minorEastAsia" w:eastAsiaTheme="minorEastAsia" w:cstheme="minorEastAsia"/>
                <w:b w:val="0"/>
                <w:bCs w:val="0"/>
                <w:color w:val="auto"/>
                <w:sz w:val="18"/>
                <w:szCs w:val="18"/>
                <w:vertAlign w:val="baseline"/>
                <w:lang w:val="en-US" w:eastAsia="zh-CN"/>
              </w:rPr>
              <w:t xml:space="preserve">1</w:t>
            </w:r>
            <w:r/>
          </w:p>
        </w:tc>
        <w:tc>
          <w:tcPr>
            <w:shd w:val="clear" w:color="auto" w:fill="auto"/>
            <w:tcW w:w="318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auto"/>
                <w:sz w:val="18"/>
                <w:szCs w:val="18"/>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江苏省常州高级中学</w:t>
            </w:r>
            <w:r/>
          </w:p>
        </w:tc>
        <w:tc>
          <w:tcPr>
            <w:tcW w:w="861" w:type="dxa"/>
            <w:vAlign w:val="center"/>
            <w:textDirection w:val="lrTb"/>
            <w:noWrap w:val="false"/>
          </w:tcPr>
          <w:p>
            <w:pPr>
              <w:pStyle w:val="810"/>
              <w:ind w:left="0" w:firstLine="0"/>
              <w:jc w:val="center"/>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i w:val="0"/>
                <w:strike w:val="0"/>
                <w:color w:val="auto"/>
                <w:spacing w:val="0"/>
                <w:sz w:val="18"/>
                <w:szCs w:val="18"/>
                <w:u w:val="none"/>
              </w:rPr>
              <w:t xml:space="preserve">华为</w:t>
            </w:r>
            <w:r/>
          </w:p>
        </w:tc>
        <w:tc>
          <w:tcPr>
            <w:tcW w:w="4260" w:type="dxa"/>
            <w:vAlign w:val="center"/>
            <w:textDirection w:val="lrTb"/>
            <w:noWrap w:val="false"/>
          </w:tcPr>
          <w:p>
            <w:pPr>
              <w:pStyle w:val="810"/>
              <w:ind w:left="0" w:firstLine="0"/>
              <w:jc w:val="left"/>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i w:val="0"/>
                <w:strike w:val="0"/>
                <w:color w:val="auto"/>
                <w:spacing w:val="0"/>
                <w:sz w:val="18"/>
                <w:szCs w:val="18"/>
                <w:u w:val="none"/>
              </w:rPr>
              <w:t xml:space="preserve">9.0.0.SPC205</w:t>
            </w:r>
            <w:r/>
          </w:p>
        </w:tc>
      </w:tr>
      <w:tr>
        <w:trPr>
          <w:jc w:val="center"/>
        </w:trPr>
        <w:tc>
          <w:tcPr>
            <w:tcW w:w="667" w:type="dxa"/>
            <w:vAlign w:val="center"/>
            <w:textDirection w:val="lrTb"/>
            <w:noWrap w:val="false"/>
          </w:tcPr>
          <w:p>
            <w:pPr>
              <w:pStyle w:val="810"/>
              <w:ind w:left="0" w:firstLine="0"/>
              <w:jc w:val="center"/>
              <w:rPr>
                <w:rFonts w:hint="eastAsia" w:asciiTheme="minorEastAsia" w:hAnsiTheme="minorEastAsia" w:eastAsiaTheme="minorEastAsia" w:cstheme="minorEastAsia"/>
                <w:b w:val="0"/>
                <w:bCs w:val="0"/>
                <w:color w:val="auto"/>
                <w:sz w:val="18"/>
                <w:szCs w:val="18"/>
                <w:vertAlign w:val="baseline"/>
                <w:lang w:val="en-US" w:eastAsia="zh-CN"/>
              </w:rPr>
            </w:pPr>
            <w:r>
              <w:rPr>
                <w:rFonts w:hint="eastAsia" w:asciiTheme="minorEastAsia" w:hAnsiTheme="minorEastAsia" w:eastAsiaTheme="minorEastAsia" w:cstheme="minorEastAsia"/>
                <w:b w:val="0"/>
                <w:bCs w:val="0"/>
                <w:color w:val="auto"/>
                <w:sz w:val="18"/>
                <w:szCs w:val="18"/>
                <w:vertAlign w:val="baseline"/>
                <w:lang w:val="en-US" w:eastAsia="zh-CN"/>
              </w:rPr>
              <w:t xml:space="preserve">2</w:t>
            </w:r>
            <w:r/>
          </w:p>
        </w:tc>
        <w:tc>
          <w:tcPr>
            <w:shd w:val="clear" w:color="auto" w:fill="auto"/>
            <w:tcW w:w="318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auto"/>
                <w:sz w:val="18"/>
                <w:szCs w:val="18"/>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常州市第一中学</w:t>
            </w:r>
            <w:r/>
          </w:p>
        </w:tc>
        <w:tc>
          <w:tcPr>
            <w:tcW w:w="861" w:type="dxa"/>
            <w:vAlign w:val="center"/>
            <w:textDirection w:val="lrTb"/>
            <w:noWrap w:val="false"/>
          </w:tcPr>
          <w:p>
            <w:pPr>
              <w:jc w:val="center"/>
              <w:rPr>
                <w:rFonts w:hint="eastAsia" w:asciiTheme="minorEastAsia" w:hAnsiTheme="minorEastAsia" w:eastAsiaTheme="minorEastAsia" w:cstheme="minorEastAsia"/>
                <w:color w:val="auto"/>
                <w:sz w:val="18"/>
                <w:szCs w:val="18"/>
                <w:vertAlign w:val="baseline"/>
                <w:lang w:val="en-US" w:eastAsia="zh-CN"/>
              </w:rPr>
              <w:pBdr>
                <w:bottom w:val="none" w:color="auto" w:sz="0" w:space="0"/>
              </w:pBdr>
            </w:pPr>
            <w:r>
              <w:rPr>
                <w:rFonts w:hint="eastAsia" w:asciiTheme="minorEastAsia" w:hAnsiTheme="minorEastAsia" w:eastAsiaTheme="minorEastAsia" w:cstheme="minorEastAsia"/>
                <w:color w:val="auto"/>
                <w:sz w:val="18"/>
                <w:szCs w:val="18"/>
                <w:vertAlign w:val="baseline"/>
                <w:lang w:val="en-US" w:eastAsia="zh-CN"/>
              </w:rPr>
              <w:t xml:space="preserve">海康</w:t>
            </w:r>
            <w:r/>
          </w:p>
          <w:p>
            <w:pPr>
              <w:jc w:val="center"/>
              <w:rPr>
                <w:rFonts w:hint="eastAsia" w:asciiTheme="minorEastAsia" w:hAnsiTheme="minorEastAsia" w:eastAsiaTheme="minorEastAsia" w:cstheme="minorEastAsia"/>
                <w:color w:val="auto"/>
                <w:sz w:val="18"/>
                <w:szCs w:val="18"/>
                <w:vertAlign w:val="baseline"/>
                <w:lang w:val="en-US" w:eastAsia="zh-CN"/>
              </w:rPr>
              <w:pBdr>
                <w:bottom w:val="none" w:color="auto" w:sz="0" w:space="0"/>
              </w:pBdr>
            </w:pPr>
            <w:r>
              <w:rPr>
                <w:rFonts w:hint="eastAsia" w:asciiTheme="minorEastAsia" w:hAnsiTheme="minorEastAsia" w:eastAsiaTheme="minorEastAsia" w:cstheme="minorEastAsia"/>
                <w:color w:val="auto"/>
                <w:sz w:val="18"/>
                <w:szCs w:val="18"/>
                <w:vertAlign w:val="baseline"/>
                <w:lang w:val="en-US" w:eastAsia="zh-CN"/>
              </w:rPr>
              <w:t xml:space="preserve">威视</w:t>
            </w:r>
            <w:r/>
          </w:p>
        </w:tc>
        <w:tc>
          <w:tcPr>
            <w:tcW w:w="4260" w:type="dxa"/>
            <w:vAlign w:val="center"/>
            <w:textDirection w:val="lrTb"/>
            <w:noWrap w:val="false"/>
          </w:tcPr>
          <w:p>
            <w:pPr>
              <w:jc w:val="left"/>
              <w:spacing w:line="240" w:lineRule="auto"/>
              <w:rPr>
                <w:rFonts w:hint="eastAsia" w:asciiTheme="minorEastAsia" w:hAnsiTheme="minorEastAsia" w:eastAsiaTheme="minorEastAsia" w:cstheme="minorEastAsia"/>
                <w:color w:val="auto"/>
                <w:sz w:val="18"/>
                <w:szCs w:val="18"/>
              </w:rPr>
            </w:pPr>
            <w:r>
              <w:rPr>
                <w:rFonts w:hint="eastAsia" w:asciiTheme="minorEastAsia" w:hAnsiTheme="minorEastAsia" w:eastAsiaTheme="minorEastAsia" w:cstheme="minorEastAsia"/>
                <w:i w:val="0"/>
                <w:strike w:val="0"/>
                <w:color w:val="auto"/>
                <w:spacing w:val="0"/>
                <w:sz w:val="18"/>
                <w:szCs w:val="18"/>
                <w:u w:val="none"/>
              </w:rPr>
              <w:t xml:space="preserve">iSecure Center</w:t>
            </w:r>
            <w:r/>
          </w:p>
          <w:p>
            <w:pPr>
              <w:jc w:val="left"/>
              <w:spacing w:line="240" w:lineRule="auto"/>
              <w:rPr>
                <w:rFonts w:hint="eastAsia" w:asciiTheme="minorEastAsia" w:hAnsiTheme="minorEastAsia" w:eastAsiaTheme="minorEastAsia" w:cstheme="minorEastAsia"/>
                <w:color w:val="auto"/>
                <w:sz w:val="18"/>
                <w:szCs w:val="18"/>
                <w:vertAlign w:val="baseline"/>
                <w:lang w:val="en-US" w:eastAsia="zh-CN"/>
              </w:rPr>
              <w:pBdr>
                <w:bottom w:val="none" w:color="auto" w:sz="0" w:space="0"/>
              </w:pBdr>
            </w:pPr>
            <w:r>
              <w:rPr>
                <w:rFonts w:hint="eastAsia" w:asciiTheme="minorEastAsia" w:hAnsiTheme="minorEastAsia" w:eastAsiaTheme="minorEastAsia" w:cstheme="minorEastAsia"/>
                <w:i w:val="0"/>
                <w:strike w:val="0"/>
                <w:color w:val="auto"/>
                <w:spacing w:val="0"/>
                <w:sz w:val="18"/>
                <w:szCs w:val="18"/>
                <w:u w:val="none"/>
              </w:rPr>
              <w:t xml:space="preserve">:V1.5.100_20200630</w:t>
            </w:r>
            <w:r/>
          </w:p>
        </w:tc>
      </w:tr>
      <w:tr>
        <w:trPr>
          <w:jc w:val="center"/>
        </w:trPr>
        <w:tc>
          <w:tcPr>
            <w:tcW w:w="667" w:type="dxa"/>
            <w:vAlign w:val="center"/>
            <w:textDirection w:val="lrTb"/>
            <w:noWrap w:val="false"/>
          </w:tcPr>
          <w:p>
            <w:pPr>
              <w:pStyle w:val="810"/>
              <w:ind w:left="0" w:firstLine="0"/>
              <w:jc w:val="center"/>
              <w:rPr>
                <w:rFonts w:hint="eastAsia" w:asciiTheme="minorEastAsia" w:hAnsiTheme="minorEastAsia" w:eastAsiaTheme="minorEastAsia" w:cstheme="minorEastAsia"/>
                <w:b w:val="0"/>
                <w:bCs w:val="0"/>
                <w:color w:val="auto"/>
                <w:sz w:val="18"/>
                <w:szCs w:val="18"/>
                <w:vertAlign w:val="baseline"/>
                <w:lang w:val="en-US" w:eastAsia="zh-CN"/>
              </w:rPr>
            </w:pPr>
            <w:r>
              <w:rPr>
                <w:rFonts w:hint="eastAsia" w:asciiTheme="minorEastAsia" w:hAnsiTheme="minorEastAsia" w:eastAsiaTheme="minorEastAsia" w:cstheme="minorEastAsia"/>
                <w:b w:val="0"/>
                <w:bCs w:val="0"/>
                <w:color w:val="auto"/>
                <w:sz w:val="18"/>
                <w:szCs w:val="18"/>
                <w:vertAlign w:val="baseline"/>
                <w:lang w:val="en-US" w:eastAsia="zh-CN"/>
              </w:rPr>
              <w:t xml:space="preserve">3</w:t>
            </w:r>
            <w:r/>
          </w:p>
        </w:tc>
        <w:tc>
          <w:tcPr>
            <w:shd w:val="clear" w:color="auto" w:fill="auto"/>
            <w:tcW w:w="318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auto"/>
                <w:sz w:val="18"/>
                <w:szCs w:val="18"/>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常州市北郊高级中学</w:t>
            </w:r>
            <w:r/>
          </w:p>
        </w:tc>
        <w:tc>
          <w:tcPr>
            <w:tcW w:w="861" w:type="dxa"/>
            <w:vAlign w:val="center"/>
            <w:textDirection w:val="lrTb"/>
            <w:noWrap w:val="false"/>
          </w:tcPr>
          <w:p>
            <w:pPr>
              <w:jc w:val="center"/>
              <w:rPr>
                <w:rFonts w:hint="eastAsia" w:asciiTheme="minorEastAsia" w:hAnsiTheme="minorEastAsia" w:eastAsiaTheme="minorEastAsia" w:cstheme="minorEastAsia"/>
                <w:color w:val="auto"/>
                <w:sz w:val="18"/>
                <w:szCs w:val="18"/>
                <w:vertAlign w:val="baseline"/>
                <w:lang w:val="en-US" w:eastAsia="zh-CN"/>
              </w:rPr>
              <w:pBdr>
                <w:bottom w:val="none" w:color="auto" w:sz="0" w:space="0"/>
              </w:pBdr>
            </w:pPr>
            <w:r>
              <w:rPr>
                <w:rFonts w:hint="eastAsia" w:asciiTheme="minorEastAsia" w:hAnsiTheme="minorEastAsia" w:eastAsiaTheme="minorEastAsia" w:cstheme="minorEastAsia"/>
                <w:color w:val="auto"/>
                <w:sz w:val="18"/>
                <w:szCs w:val="18"/>
                <w:vertAlign w:val="baseline"/>
                <w:lang w:val="en-US" w:eastAsia="zh-CN"/>
              </w:rPr>
              <w:t xml:space="preserve">大华</w:t>
            </w:r>
            <w:r/>
          </w:p>
        </w:tc>
        <w:tc>
          <w:tcPr>
            <w:tcW w:w="4260" w:type="dxa"/>
            <w:vAlign w:val="center"/>
            <w:textDirection w:val="lrTb"/>
            <w:noWrap w:val="false"/>
          </w:tcPr>
          <w:p>
            <w:pPr>
              <w:pStyle w:val="810"/>
              <w:ind w:left="0" w:firstLine="0"/>
              <w:jc w:val="left"/>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i w:val="0"/>
                <w:strike w:val="0"/>
                <w:color w:val="auto"/>
                <w:spacing w:val="0"/>
                <w:sz w:val="18"/>
                <w:szCs w:val="18"/>
                <w:u w:val="none"/>
              </w:rPr>
              <w:t xml:space="preserve">V1.000.0000004.0.R</w:t>
            </w:r>
            <w:r/>
          </w:p>
        </w:tc>
      </w:tr>
      <w:tr>
        <w:trPr>
          <w:jc w:val="center"/>
        </w:trPr>
        <w:tc>
          <w:tcPr>
            <w:tcW w:w="667" w:type="dxa"/>
            <w:vAlign w:val="center"/>
            <w:textDirection w:val="lrTb"/>
            <w:noWrap w:val="false"/>
          </w:tcPr>
          <w:p>
            <w:pPr>
              <w:pStyle w:val="810"/>
              <w:ind w:left="0" w:firstLine="0"/>
              <w:jc w:val="center"/>
              <w:rPr>
                <w:rFonts w:hint="eastAsia" w:asciiTheme="minorEastAsia" w:hAnsiTheme="minorEastAsia" w:eastAsiaTheme="minorEastAsia" w:cstheme="minorEastAsia"/>
                <w:b w:val="0"/>
                <w:bCs w:val="0"/>
                <w:color w:val="auto"/>
                <w:sz w:val="18"/>
                <w:szCs w:val="18"/>
                <w:vertAlign w:val="baseline"/>
                <w:lang w:val="en-US" w:eastAsia="zh-CN"/>
              </w:rPr>
            </w:pPr>
            <w:r>
              <w:rPr>
                <w:rFonts w:hint="eastAsia" w:asciiTheme="minorEastAsia" w:hAnsiTheme="minorEastAsia" w:eastAsiaTheme="minorEastAsia" w:cstheme="minorEastAsia"/>
                <w:b w:val="0"/>
                <w:bCs w:val="0"/>
                <w:color w:val="auto"/>
                <w:sz w:val="18"/>
                <w:szCs w:val="18"/>
                <w:vertAlign w:val="baseline"/>
                <w:lang w:val="en-US" w:eastAsia="zh-CN"/>
              </w:rPr>
              <w:t xml:space="preserve">4</w:t>
            </w:r>
            <w:r/>
          </w:p>
        </w:tc>
        <w:tc>
          <w:tcPr>
            <w:shd w:val="clear" w:color="auto" w:fill="auto"/>
            <w:tcW w:w="318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auto"/>
                <w:sz w:val="18"/>
                <w:szCs w:val="18"/>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常州市第二中学</w:t>
            </w:r>
            <w:r/>
          </w:p>
        </w:tc>
        <w:tc>
          <w:tcPr>
            <w:tcW w:w="861" w:type="dxa"/>
            <w:vAlign w:val="center"/>
            <w:textDirection w:val="lrTb"/>
            <w:noWrap w:val="false"/>
          </w:tcPr>
          <w:p>
            <w:pPr>
              <w:jc w:val="center"/>
              <w:rPr>
                <w:rFonts w:hint="eastAsia" w:asciiTheme="minorEastAsia" w:hAnsiTheme="minorEastAsia" w:eastAsiaTheme="minorEastAsia" w:cstheme="minorEastAsia"/>
                <w:color w:val="auto"/>
                <w:sz w:val="18"/>
                <w:szCs w:val="18"/>
                <w:vertAlign w:val="baseline"/>
                <w:lang w:val="en-US" w:eastAsia="zh-CN"/>
              </w:rPr>
              <w:pBdr>
                <w:bottom w:val="none" w:color="auto" w:sz="0" w:space="0"/>
              </w:pBdr>
            </w:pPr>
            <w:r>
              <w:rPr>
                <w:rFonts w:hint="eastAsia" w:asciiTheme="minorEastAsia" w:hAnsiTheme="minorEastAsia" w:eastAsiaTheme="minorEastAsia" w:cstheme="minorEastAsia"/>
                <w:color w:val="auto"/>
                <w:sz w:val="18"/>
                <w:szCs w:val="18"/>
                <w:vertAlign w:val="baseline"/>
                <w:lang w:val="en-US" w:eastAsia="zh-CN"/>
              </w:rPr>
              <w:t xml:space="preserve">大华</w:t>
            </w:r>
            <w:r/>
          </w:p>
        </w:tc>
        <w:tc>
          <w:tcPr>
            <w:tcW w:w="4260" w:type="dxa"/>
            <w:vAlign w:val="center"/>
            <w:textDirection w:val="lrTb"/>
            <w:noWrap w:val="false"/>
          </w:tcPr>
          <w:p>
            <w:pPr>
              <w:pStyle w:val="810"/>
              <w:ind w:left="0" w:firstLine="0"/>
              <w:jc w:val="left"/>
              <w:rPr>
                <w:rFonts w:hint="eastAsia" w:asciiTheme="minorEastAsia" w:hAnsiTheme="minorEastAsia" w:eastAsiaTheme="minorEastAsia" w:cstheme="minorEastAsia"/>
                <w:color w:val="auto"/>
                <w:sz w:val="18"/>
                <w:szCs w:val="18"/>
                <w:vertAlign w:val="baseline"/>
                <w:lang w:val="en-US" w:eastAsia="zh-CN"/>
              </w:rPr>
              <w:pBdr>
                <w:bottom w:val="none" w:color="auto" w:sz="0" w:space="0"/>
              </w:pBdr>
            </w:pPr>
            <w:r>
              <w:rPr>
                <w:rFonts w:hint="eastAsia" w:asciiTheme="minorEastAsia" w:hAnsiTheme="minorEastAsia" w:eastAsiaTheme="minorEastAsia" w:cstheme="minorEastAsia"/>
                <w:i w:val="0"/>
                <w:strike w:val="0"/>
                <w:color w:val="auto"/>
                <w:spacing w:val="0"/>
                <w:sz w:val="18"/>
                <w:szCs w:val="18"/>
                <w:u w:val="none"/>
              </w:rPr>
              <w:t xml:space="preserve">V1.000.0000004.0.R</w:t>
            </w:r>
            <w:r/>
          </w:p>
        </w:tc>
      </w:tr>
      <w:tr>
        <w:trPr>
          <w:jc w:val="center"/>
        </w:trPr>
        <w:tc>
          <w:tcPr>
            <w:tcW w:w="667" w:type="dxa"/>
            <w:vAlign w:val="center"/>
            <w:textDirection w:val="lrTb"/>
            <w:noWrap w:val="false"/>
          </w:tcPr>
          <w:p>
            <w:pPr>
              <w:pStyle w:val="810"/>
              <w:ind w:left="0" w:firstLine="0"/>
              <w:jc w:val="center"/>
              <w:rPr>
                <w:rFonts w:hint="eastAsia" w:asciiTheme="minorEastAsia" w:hAnsiTheme="minorEastAsia" w:eastAsiaTheme="minorEastAsia" w:cstheme="minorEastAsia"/>
                <w:b w:val="0"/>
                <w:bCs w:val="0"/>
                <w:color w:val="auto"/>
                <w:sz w:val="18"/>
                <w:szCs w:val="18"/>
                <w:vertAlign w:val="baseline"/>
                <w:lang w:val="en-US" w:eastAsia="zh-CN"/>
              </w:rPr>
            </w:pPr>
            <w:r>
              <w:rPr>
                <w:rFonts w:hint="eastAsia" w:asciiTheme="minorEastAsia" w:hAnsiTheme="minorEastAsia" w:eastAsiaTheme="minorEastAsia" w:cstheme="minorEastAsia"/>
                <w:b w:val="0"/>
                <w:bCs w:val="0"/>
                <w:color w:val="auto"/>
                <w:sz w:val="18"/>
                <w:szCs w:val="18"/>
                <w:vertAlign w:val="baseline"/>
                <w:lang w:val="en-US" w:eastAsia="zh-CN"/>
              </w:rPr>
              <w:t xml:space="preserve">5</w:t>
            </w:r>
            <w:r/>
          </w:p>
        </w:tc>
        <w:tc>
          <w:tcPr>
            <w:shd w:val="clear" w:color="auto" w:fill="auto"/>
            <w:tcW w:w="318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auto"/>
                <w:sz w:val="18"/>
                <w:szCs w:val="18"/>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常州市第三中学</w:t>
            </w:r>
            <w:r/>
          </w:p>
        </w:tc>
        <w:tc>
          <w:tcPr>
            <w:tcW w:w="861" w:type="dxa"/>
            <w:vAlign w:val="center"/>
            <w:textDirection w:val="lrTb"/>
            <w:noWrap w:val="false"/>
          </w:tcPr>
          <w:p>
            <w:pPr>
              <w:jc w:val="center"/>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color w:val="auto"/>
                <w:sz w:val="18"/>
                <w:szCs w:val="18"/>
                <w:vertAlign w:val="baseline"/>
                <w:lang w:val="en-US" w:eastAsia="zh-CN"/>
              </w:rPr>
              <w:t xml:space="preserve">大华</w:t>
            </w:r>
            <w:r/>
          </w:p>
        </w:tc>
        <w:tc>
          <w:tcPr>
            <w:tcW w:w="4260" w:type="dxa"/>
            <w:vAlign w:val="center"/>
            <w:textDirection w:val="lrTb"/>
            <w:noWrap w:val="false"/>
          </w:tcPr>
          <w:p>
            <w:pPr>
              <w:pStyle w:val="810"/>
              <w:ind w:left="0" w:firstLine="0"/>
              <w:jc w:val="left"/>
              <w:rPr>
                <w:rFonts w:hint="eastAsia" w:asciiTheme="minorEastAsia" w:hAnsiTheme="minorEastAsia" w:eastAsiaTheme="minorEastAsia" w:cstheme="minorEastAsia"/>
                <w:color w:val="auto"/>
                <w:sz w:val="18"/>
                <w:szCs w:val="18"/>
                <w:vertAlign w:val="baseline"/>
                <w:lang w:val="en-US" w:eastAsia="zh-CN"/>
              </w:rPr>
              <w:pBdr>
                <w:bottom w:val="none" w:color="auto" w:sz="0" w:space="0"/>
              </w:pBdr>
            </w:pPr>
            <w:r>
              <w:rPr>
                <w:rFonts w:hint="eastAsia" w:asciiTheme="minorEastAsia" w:hAnsiTheme="minorEastAsia" w:eastAsiaTheme="minorEastAsia" w:cstheme="minorEastAsia"/>
                <w:color w:val="auto"/>
                <w:sz w:val="18"/>
                <w:szCs w:val="18"/>
                <w:vertAlign w:val="baseline"/>
                <w:lang w:val="en-US" w:eastAsia="zh-CN"/>
              </w:rPr>
              <w:t xml:space="preserve">V3.10.005.R.20170920.781593</w:t>
            </w:r>
            <w:r/>
          </w:p>
        </w:tc>
      </w:tr>
      <w:tr>
        <w:trPr>
          <w:jc w:val="center"/>
        </w:trPr>
        <w:tc>
          <w:tcPr>
            <w:tcW w:w="667" w:type="dxa"/>
            <w:vAlign w:val="center"/>
            <w:textDirection w:val="lrTb"/>
            <w:noWrap w:val="false"/>
          </w:tcPr>
          <w:p>
            <w:pPr>
              <w:pStyle w:val="810"/>
              <w:ind w:left="0" w:firstLine="0"/>
              <w:jc w:val="center"/>
              <w:rPr>
                <w:rFonts w:hint="eastAsia" w:asciiTheme="minorEastAsia" w:hAnsiTheme="minorEastAsia" w:eastAsiaTheme="minorEastAsia" w:cstheme="minorEastAsia"/>
                <w:b w:val="0"/>
                <w:bCs w:val="0"/>
                <w:color w:val="auto"/>
                <w:sz w:val="18"/>
                <w:szCs w:val="18"/>
                <w:vertAlign w:val="baseline"/>
                <w:lang w:val="en-US" w:eastAsia="zh-CN"/>
              </w:rPr>
            </w:pPr>
            <w:r>
              <w:rPr>
                <w:rFonts w:hint="eastAsia" w:asciiTheme="minorEastAsia" w:hAnsiTheme="minorEastAsia" w:eastAsiaTheme="minorEastAsia" w:cstheme="minorEastAsia"/>
                <w:b w:val="0"/>
                <w:bCs w:val="0"/>
                <w:color w:val="auto"/>
                <w:sz w:val="18"/>
                <w:szCs w:val="18"/>
                <w:vertAlign w:val="baseline"/>
                <w:lang w:val="en-US" w:eastAsia="zh-CN"/>
              </w:rPr>
              <w:t xml:space="preserve">6</w:t>
            </w:r>
            <w:r/>
          </w:p>
        </w:tc>
        <w:tc>
          <w:tcPr>
            <w:shd w:val="clear" w:color="auto" w:fill="auto"/>
            <w:tcW w:w="318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auto"/>
                <w:sz w:val="18"/>
                <w:szCs w:val="18"/>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常州市田家炳高级中学</w:t>
            </w:r>
            <w:r/>
          </w:p>
        </w:tc>
        <w:tc>
          <w:tcPr>
            <w:tcW w:w="861" w:type="dxa"/>
            <w:vAlign w:val="center"/>
            <w:textDirection w:val="lrTb"/>
            <w:noWrap w:val="false"/>
          </w:tcPr>
          <w:p>
            <w:pPr>
              <w:jc w:val="center"/>
              <w:rPr>
                <w:rFonts w:hint="eastAsia" w:asciiTheme="minorEastAsia" w:hAnsiTheme="minorEastAsia" w:eastAsiaTheme="minorEastAsia" w:cstheme="minorEastAsia"/>
                <w:color w:val="auto"/>
                <w:sz w:val="18"/>
                <w:szCs w:val="18"/>
                <w:vertAlign w:val="baseline"/>
                <w:lang w:val="en-US" w:eastAsia="zh-CN"/>
              </w:rPr>
              <w:pBdr>
                <w:bottom w:val="none" w:color="auto" w:sz="0" w:space="0"/>
              </w:pBdr>
            </w:pPr>
            <w:r>
              <w:rPr>
                <w:rFonts w:hint="eastAsia" w:asciiTheme="minorEastAsia" w:hAnsiTheme="minorEastAsia" w:eastAsiaTheme="minorEastAsia" w:cstheme="minorEastAsia"/>
                <w:color w:val="auto"/>
                <w:sz w:val="18"/>
                <w:szCs w:val="18"/>
                <w:vertAlign w:val="baseline"/>
                <w:lang w:val="en-US" w:eastAsia="zh-CN"/>
              </w:rPr>
              <w:t xml:space="preserve">大华</w:t>
            </w:r>
            <w:r/>
          </w:p>
        </w:tc>
        <w:tc>
          <w:tcPr>
            <w:tcW w:w="4260" w:type="dxa"/>
            <w:vAlign w:val="center"/>
            <w:textDirection w:val="lrTb"/>
            <w:noWrap w:val="false"/>
          </w:tcPr>
          <w:p>
            <w:pPr>
              <w:pStyle w:val="810"/>
              <w:ind w:left="0" w:firstLine="0"/>
              <w:jc w:val="left"/>
              <w:rPr>
                <w:rFonts w:hint="eastAsia" w:asciiTheme="minorEastAsia" w:hAnsiTheme="minorEastAsia" w:eastAsiaTheme="minorEastAsia" w:cstheme="minorEastAsia"/>
                <w:color w:val="auto"/>
                <w:sz w:val="18"/>
                <w:szCs w:val="18"/>
                <w:vertAlign w:val="baseline"/>
                <w:lang w:val="en-US" w:eastAsia="zh-CN"/>
              </w:rPr>
              <w:pBdr>
                <w:bottom w:val="none" w:color="auto" w:sz="0" w:space="0"/>
              </w:pBdr>
            </w:pPr>
            <w:r>
              <w:rPr>
                <w:rFonts w:hint="eastAsia" w:asciiTheme="minorEastAsia" w:hAnsiTheme="minorEastAsia" w:eastAsiaTheme="minorEastAsia" w:cstheme="minorEastAsia"/>
                <w:i w:val="0"/>
                <w:strike w:val="0"/>
                <w:color w:val="auto"/>
                <w:spacing w:val="0"/>
                <w:sz w:val="18"/>
                <w:szCs w:val="18"/>
                <w:u w:val="none"/>
              </w:rPr>
              <w:t xml:space="preserve">v3.11.004.R.20151223.430832</w:t>
            </w:r>
            <w:r/>
          </w:p>
        </w:tc>
      </w:tr>
      <w:tr>
        <w:trPr>
          <w:jc w:val="center"/>
        </w:trPr>
        <w:tc>
          <w:tcPr>
            <w:tcW w:w="667" w:type="dxa"/>
            <w:vAlign w:val="center"/>
            <w:textDirection w:val="lrTb"/>
            <w:noWrap w:val="false"/>
          </w:tcPr>
          <w:p>
            <w:pPr>
              <w:pStyle w:val="810"/>
              <w:ind w:left="0" w:firstLine="0"/>
              <w:jc w:val="center"/>
              <w:rPr>
                <w:rFonts w:hint="eastAsia" w:asciiTheme="minorEastAsia" w:hAnsiTheme="minorEastAsia" w:eastAsiaTheme="minorEastAsia" w:cstheme="minorEastAsia"/>
                <w:b w:val="0"/>
                <w:bCs w:val="0"/>
                <w:color w:val="auto"/>
                <w:sz w:val="18"/>
                <w:szCs w:val="18"/>
                <w:vertAlign w:val="baseline"/>
                <w:lang w:val="en-US" w:eastAsia="zh-CN"/>
              </w:rPr>
            </w:pPr>
            <w:r>
              <w:rPr>
                <w:rFonts w:hint="eastAsia" w:asciiTheme="minorEastAsia" w:hAnsiTheme="minorEastAsia" w:eastAsiaTheme="minorEastAsia" w:cstheme="minorEastAsia"/>
                <w:b w:val="0"/>
                <w:bCs w:val="0"/>
                <w:color w:val="auto"/>
                <w:sz w:val="18"/>
                <w:szCs w:val="18"/>
                <w:vertAlign w:val="baseline"/>
                <w:lang w:val="en-US" w:eastAsia="zh-CN"/>
              </w:rPr>
              <w:t xml:space="preserve">7</w:t>
            </w:r>
            <w:r/>
          </w:p>
        </w:tc>
        <w:tc>
          <w:tcPr>
            <w:shd w:val="clear" w:color="auto" w:fill="auto"/>
            <w:tcW w:w="318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auto"/>
                <w:sz w:val="18"/>
                <w:szCs w:val="18"/>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常州市第五中学</w:t>
            </w:r>
            <w:r/>
          </w:p>
        </w:tc>
        <w:tc>
          <w:tcPr>
            <w:tcW w:w="861" w:type="dxa"/>
            <w:vAlign w:val="center"/>
            <w:textDirection w:val="lrTb"/>
            <w:noWrap w:val="false"/>
          </w:tcPr>
          <w:p>
            <w:pPr>
              <w:jc w:val="center"/>
              <w:rPr>
                <w:rFonts w:hint="eastAsia" w:asciiTheme="minorEastAsia" w:hAnsiTheme="minorEastAsia" w:eastAsiaTheme="minorEastAsia" w:cstheme="minorEastAsia"/>
                <w:color w:val="auto"/>
                <w:sz w:val="18"/>
                <w:szCs w:val="18"/>
                <w:vertAlign w:val="baseline"/>
                <w:lang w:val="en-US" w:eastAsia="zh-CN"/>
              </w:rPr>
              <w:pBdr>
                <w:bottom w:val="none" w:color="auto" w:sz="0" w:space="0"/>
              </w:pBdr>
            </w:pPr>
            <w:r>
              <w:rPr>
                <w:rFonts w:hint="eastAsia" w:asciiTheme="minorEastAsia" w:hAnsiTheme="minorEastAsia" w:eastAsiaTheme="minorEastAsia" w:cstheme="minorEastAsia"/>
                <w:color w:val="auto"/>
                <w:sz w:val="18"/>
                <w:szCs w:val="18"/>
                <w:vertAlign w:val="baseline"/>
                <w:lang w:val="en-US" w:eastAsia="zh-CN"/>
              </w:rPr>
              <w:t xml:space="preserve">大华</w:t>
            </w:r>
            <w:r/>
          </w:p>
        </w:tc>
        <w:tc>
          <w:tcPr>
            <w:tcW w:w="4260" w:type="dxa"/>
            <w:vAlign w:val="center"/>
            <w:textDirection w:val="lrTb"/>
            <w:noWrap w:val="false"/>
          </w:tcPr>
          <w:p>
            <w:pPr>
              <w:pStyle w:val="810"/>
              <w:ind w:left="0" w:firstLine="0"/>
              <w:jc w:val="left"/>
              <w:rPr>
                <w:rFonts w:hint="eastAsia" w:asciiTheme="minorEastAsia" w:hAnsiTheme="minorEastAsia" w:eastAsiaTheme="minorEastAsia" w:cstheme="minorEastAsia"/>
                <w:color w:val="auto"/>
                <w:sz w:val="18"/>
                <w:szCs w:val="18"/>
                <w:vertAlign w:val="baseline"/>
                <w:lang w:val="en-US" w:eastAsia="zh-CN"/>
              </w:rPr>
              <w:pBdr>
                <w:bottom w:val="none" w:color="auto" w:sz="0" w:space="0"/>
              </w:pBdr>
            </w:pPr>
            <w:r>
              <w:rPr>
                <w:rFonts w:hint="eastAsia" w:asciiTheme="minorEastAsia" w:hAnsiTheme="minorEastAsia" w:eastAsiaTheme="minorEastAsia" w:cstheme="minorEastAsia"/>
                <w:i w:val="0"/>
                <w:strike w:val="0"/>
                <w:color w:val="auto"/>
                <w:spacing w:val="0"/>
                <w:sz w:val="18"/>
                <w:szCs w:val="18"/>
                <w:u w:val="none"/>
              </w:rPr>
              <w:t xml:space="preserve">v3.11.004.R.20151223.430832</w:t>
            </w:r>
            <w:r/>
          </w:p>
        </w:tc>
      </w:tr>
      <w:tr>
        <w:trPr>
          <w:jc w:val="center"/>
        </w:trPr>
        <w:tc>
          <w:tcPr>
            <w:tcW w:w="667" w:type="dxa"/>
            <w:vAlign w:val="center"/>
            <w:textDirection w:val="lrTb"/>
            <w:noWrap w:val="false"/>
          </w:tcPr>
          <w:p>
            <w:pPr>
              <w:pStyle w:val="810"/>
              <w:ind w:left="0" w:firstLine="0"/>
              <w:jc w:val="center"/>
              <w:rPr>
                <w:rFonts w:hint="eastAsia" w:asciiTheme="minorEastAsia" w:hAnsiTheme="minorEastAsia" w:eastAsiaTheme="minorEastAsia" w:cstheme="minorEastAsia"/>
                <w:b w:val="0"/>
                <w:bCs w:val="0"/>
                <w:color w:val="auto"/>
                <w:sz w:val="18"/>
                <w:szCs w:val="18"/>
                <w:vertAlign w:val="baseline"/>
                <w:lang w:val="en-US" w:eastAsia="zh-CN"/>
              </w:rPr>
            </w:pPr>
            <w:r>
              <w:rPr>
                <w:rFonts w:hint="eastAsia" w:asciiTheme="minorEastAsia" w:hAnsiTheme="minorEastAsia" w:eastAsiaTheme="minorEastAsia" w:cstheme="minorEastAsia"/>
                <w:b w:val="0"/>
                <w:bCs w:val="0"/>
                <w:color w:val="auto"/>
                <w:sz w:val="18"/>
                <w:szCs w:val="18"/>
                <w:vertAlign w:val="baseline"/>
                <w:lang w:val="en-US" w:eastAsia="zh-CN"/>
              </w:rPr>
              <w:t xml:space="preserve">8</w:t>
            </w:r>
            <w:r/>
          </w:p>
        </w:tc>
        <w:tc>
          <w:tcPr>
            <w:shd w:val="clear" w:color="auto" w:fill="auto"/>
            <w:tcW w:w="318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auto"/>
                <w:sz w:val="18"/>
                <w:szCs w:val="18"/>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常州市戚墅堰高级中学</w:t>
            </w:r>
            <w:r/>
          </w:p>
        </w:tc>
        <w:tc>
          <w:tcPr>
            <w:tcW w:w="861" w:type="dxa"/>
            <w:vAlign w:val="center"/>
            <w:textDirection w:val="lrTb"/>
            <w:noWrap w:val="false"/>
          </w:tcPr>
          <w:p>
            <w:pPr>
              <w:jc w:val="center"/>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color w:val="auto"/>
                <w:sz w:val="18"/>
                <w:szCs w:val="18"/>
                <w:vertAlign w:val="baseline"/>
                <w:lang w:val="en-US" w:eastAsia="zh-CN"/>
              </w:rPr>
              <w:t xml:space="preserve">海康威视</w:t>
            </w:r>
            <w:r/>
          </w:p>
        </w:tc>
        <w:tc>
          <w:tcPr>
            <w:tcW w:w="4260" w:type="dxa"/>
            <w:vAlign w:val="center"/>
            <w:textDirection w:val="lrTb"/>
            <w:noWrap w:val="false"/>
          </w:tcPr>
          <w:p>
            <w:pPr>
              <w:pStyle w:val="810"/>
              <w:ind w:left="0" w:firstLine="0"/>
              <w:jc w:val="left"/>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color w:val="auto"/>
                <w:sz w:val="18"/>
                <w:szCs w:val="18"/>
                <w:vertAlign w:val="baseline"/>
                <w:lang w:val="en-US" w:eastAsia="zh-CN"/>
              </w:rPr>
              <w:t xml:space="preserve">9600 VERSION:V2.4.2</w:t>
            </w:r>
            <w:r/>
          </w:p>
        </w:tc>
      </w:tr>
      <w:tr>
        <w:trPr>
          <w:jc w:val="center"/>
        </w:trPr>
        <w:tc>
          <w:tcPr>
            <w:tcW w:w="667" w:type="dxa"/>
            <w:vAlign w:val="center"/>
            <w:textDirection w:val="lrTb"/>
            <w:noWrap w:val="false"/>
          </w:tcPr>
          <w:p>
            <w:pPr>
              <w:pStyle w:val="810"/>
              <w:ind w:left="0" w:firstLine="0"/>
              <w:jc w:val="center"/>
              <w:rPr>
                <w:rFonts w:hint="eastAsia" w:asciiTheme="minorEastAsia" w:hAnsiTheme="minorEastAsia" w:eastAsiaTheme="minorEastAsia" w:cstheme="minorEastAsia"/>
                <w:b w:val="0"/>
                <w:bCs w:val="0"/>
                <w:color w:val="auto"/>
                <w:sz w:val="18"/>
                <w:szCs w:val="18"/>
                <w:vertAlign w:val="baseline"/>
                <w:lang w:val="en-US" w:eastAsia="zh-CN"/>
              </w:rPr>
            </w:pPr>
            <w:r>
              <w:rPr>
                <w:rFonts w:hint="eastAsia" w:asciiTheme="minorEastAsia" w:hAnsiTheme="minorEastAsia" w:eastAsiaTheme="minorEastAsia" w:cstheme="minorEastAsia"/>
                <w:b w:val="0"/>
                <w:bCs w:val="0"/>
                <w:color w:val="auto"/>
                <w:sz w:val="18"/>
                <w:szCs w:val="18"/>
                <w:vertAlign w:val="baseline"/>
                <w:lang w:val="en-US" w:eastAsia="zh-CN"/>
              </w:rPr>
              <w:t xml:space="preserve">9</w:t>
            </w:r>
            <w:r/>
          </w:p>
        </w:tc>
        <w:tc>
          <w:tcPr>
            <w:shd w:val="clear" w:color="auto" w:fill="auto"/>
            <w:tcW w:w="318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auto"/>
                <w:sz w:val="18"/>
                <w:szCs w:val="18"/>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常州市正行中学</w:t>
            </w:r>
            <w:r/>
          </w:p>
        </w:tc>
        <w:tc>
          <w:tcPr>
            <w:tcW w:w="861" w:type="dxa"/>
            <w:vAlign w:val="center"/>
            <w:textDirection w:val="lrTb"/>
            <w:noWrap w:val="false"/>
          </w:tcPr>
          <w:p>
            <w:pPr>
              <w:jc w:val="center"/>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color w:val="auto"/>
                <w:sz w:val="18"/>
                <w:szCs w:val="18"/>
                <w:vertAlign w:val="baseline"/>
                <w:lang w:val="en-US" w:eastAsia="zh-CN"/>
              </w:rPr>
              <w:t xml:space="preserve">同为</w:t>
            </w:r>
            <w:r/>
          </w:p>
        </w:tc>
        <w:tc>
          <w:tcPr>
            <w:tcW w:w="4260" w:type="dxa"/>
            <w:vAlign w:val="center"/>
            <w:textDirection w:val="lrTb"/>
            <w:noWrap w:val="false"/>
          </w:tcPr>
          <w:p>
            <w:pPr>
              <w:jc w:val="left"/>
              <w:spacing w:line="240" w:lineRule="auto"/>
              <w:rPr>
                <w:rFonts w:hint="eastAsia" w:asciiTheme="minorEastAsia" w:hAnsiTheme="minorEastAsia" w:eastAsiaTheme="minorEastAsia" w:cstheme="minorEastAsia"/>
                <w:color w:val="auto"/>
                <w:sz w:val="18"/>
                <w:szCs w:val="18"/>
                <w:vertAlign w:val="baseline"/>
                <w:lang w:val="en-US" w:eastAsia="zh-CN"/>
              </w:rPr>
              <w:pBdr>
                <w:bottom w:val="none" w:color="auto" w:sz="0" w:space="0"/>
              </w:pBdr>
            </w:pPr>
            <w:r>
              <w:rPr>
                <w:rFonts w:hint="eastAsia" w:asciiTheme="minorEastAsia" w:hAnsiTheme="minorEastAsia" w:eastAsiaTheme="minorEastAsia" w:cstheme="minorEastAsia"/>
                <w:i w:val="0"/>
                <w:strike w:val="0"/>
                <w:color w:val="auto"/>
                <w:sz w:val="18"/>
                <w:szCs w:val="18"/>
                <w:u w:val="none"/>
              </w:rPr>
              <w:t xml:space="preserve">NVMS</w:t>
            </w:r>
            <w:r/>
          </w:p>
        </w:tc>
      </w:tr>
      <w:tr>
        <w:trPr>
          <w:jc w:val="center"/>
        </w:trPr>
        <w:tc>
          <w:tcPr>
            <w:tcW w:w="667" w:type="dxa"/>
            <w:vAlign w:val="center"/>
            <w:textDirection w:val="lrTb"/>
            <w:noWrap w:val="false"/>
          </w:tcPr>
          <w:p>
            <w:pPr>
              <w:pStyle w:val="810"/>
              <w:ind w:left="0" w:firstLine="0"/>
              <w:jc w:val="center"/>
              <w:rPr>
                <w:rFonts w:hint="eastAsia" w:asciiTheme="minorEastAsia" w:hAnsiTheme="minorEastAsia" w:eastAsiaTheme="minorEastAsia" w:cstheme="minorEastAsia"/>
                <w:b w:val="0"/>
                <w:bCs w:val="0"/>
                <w:color w:val="auto"/>
                <w:sz w:val="18"/>
                <w:szCs w:val="18"/>
                <w:vertAlign w:val="baseline"/>
                <w:lang w:val="en-US" w:eastAsia="zh-CN"/>
              </w:rPr>
            </w:pPr>
            <w:r>
              <w:rPr>
                <w:rFonts w:hint="eastAsia" w:asciiTheme="minorEastAsia" w:hAnsiTheme="minorEastAsia" w:eastAsiaTheme="minorEastAsia" w:cstheme="minorEastAsia"/>
                <w:b w:val="0"/>
                <w:bCs w:val="0"/>
                <w:color w:val="auto"/>
                <w:sz w:val="18"/>
                <w:szCs w:val="18"/>
                <w:vertAlign w:val="baseline"/>
                <w:lang w:val="en-US" w:eastAsia="zh-CN"/>
              </w:rPr>
              <w:t xml:space="preserve">10</w:t>
            </w:r>
            <w:r/>
          </w:p>
        </w:tc>
        <w:tc>
          <w:tcPr>
            <w:shd w:val="clear" w:color="auto" w:fill="auto"/>
            <w:tcW w:w="318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auto"/>
                <w:sz w:val="18"/>
                <w:szCs w:val="18"/>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常州市教科院附属高级中学</w:t>
            </w:r>
            <w:r/>
          </w:p>
        </w:tc>
        <w:tc>
          <w:tcPr>
            <w:tcW w:w="861" w:type="dxa"/>
            <w:vAlign w:val="center"/>
            <w:textDirection w:val="lrTb"/>
            <w:noWrap w:val="false"/>
          </w:tcPr>
          <w:p>
            <w:pPr>
              <w:jc w:val="center"/>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color w:val="auto"/>
                <w:sz w:val="18"/>
                <w:szCs w:val="18"/>
                <w:vertAlign w:val="baseline"/>
                <w:lang w:val="en-US" w:eastAsia="zh-CN"/>
              </w:rPr>
              <w:t xml:space="preserve">海康威视</w:t>
            </w:r>
            <w:r/>
          </w:p>
        </w:tc>
        <w:tc>
          <w:tcPr>
            <w:tcW w:w="4260" w:type="dxa"/>
            <w:vAlign w:val="center"/>
            <w:textDirection w:val="lrTb"/>
            <w:noWrap w:val="false"/>
          </w:tcPr>
          <w:p>
            <w:pPr>
              <w:pStyle w:val="810"/>
              <w:ind w:left="0" w:firstLine="0"/>
              <w:jc w:val="left"/>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i w:val="0"/>
                <w:strike w:val="0"/>
                <w:color w:val="auto"/>
                <w:spacing w:val="0"/>
                <w:sz w:val="18"/>
                <w:szCs w:val="18"/>
                <w:u w:val="none"/>
              </w:rPr>
              <w:t xml:space="preserve">v1.5.113.20230613120000</w:t>
            </w:r>
            <w:r/>
          </w:p>
        </w:tc>
      </w:tr>
      <w:tr>
        <w:trPr>
          <w:jc w:val="center"/>
        </w:trPr>
        <w:tc>
          <w:tcPr>
            <w:tcW w:w="667" w:type="dxa"/>
            <w:vAlign w:val="center"/>
            <w:textDirection w:val="lrTb"/>
            <w:noWrap w:val="false"/>
          </w:tcPr>
          <w:p>
            <w:pPr>
              <w:pStyle w:val="810"/>
              <w:ind w:left="0" w:firstLine="0"/>
              <w:jc w:val="center"/>
              <w:rPr>
                <w:rFonts w:hint="eastAsia" w:asciiTheme="minorEastAsia" w:hAnsiTheme="minorEastAsia" w:eastAsiaTheme="minorEastAsia" w:cstheme="minorEastAsia"/>
                <w:b w:val="0"/>
                <w:bCs w:val="0"/>
                <w:color w:val="auto"/>
                <w:sz w:val="18"/>
                <w:szCs w:val="18"/>
                <w:vertAlign w:val="baseline"/>
                <w:lang w:val="en-US" w:eastAsia="zh-CN"/>
              </w:rPr>
            </w:pPr>
            <w:r>
              <w:rPr>
                <w:rFonts w:hint="eastAsia" w:asciiTheme="minorEastAsia" w:hAnsiTheme="minorEastAsia" w:eastAsiaTheme="minorEastAsia" w:cstheme="minorEastAsia"/>
                <w:b w:val="0"/>
                <w:bCs w:val="0"/>
                <w:color w:val="auto"/>
                <w:sz w:val="18"/>
                <w:szCs w:val="18"/>
                <w:vertAlign w:val="baseline"/>
                <w:lang w:val="en-US" w:eastAsia="zh-CN"/>
              </w:rPr>
              <w:t xml:space="preserve">11</w:t>
            </w:r>
            <w:r/>
          </w:p>
        </w:tc>
        <w:tc>
          <w:tcPr>
            <w:shd w:val="clear" w:color="auto" w:fill="auto"/>
            <w:tcW w:w="318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auto"/>
                <w:sz w:val="18"/>
                <w:szCs w:val="18"/>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常州市龙城高级中学</w:t>
            </w:r>
            <w:r/>
          </w:p>
        </w:tc>
        <w:tc>
          <w:tcPr>
            <w:tcW w:w="861" w:type="dxa"/>
            <w:vAlign w:val="center"/>
            <w:textDirection w:val="lrTb"/>
            <w:noWrap w:val="false"/>
          </w:tcPr>
          <w:p>
            <w:pPr>
              <w:pStyle w:val="810"/>
              <w:ind w:left="0" w:firstLine="0"/>
              <w:jc w:val="center"/>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color w:val="auto"/>
                <w:sz w:val="18"/>
                <w:szCs w:val="18"/>
                <w:vertAlign w:val="baseline"/>
                <w:lang w:val="en-US" w:eastAsia="zh-CN"/>
              </w:rPr>
              <w:t xml:space="preserve">大华</w:t>
            </w:r>
            <w:r/>
          </w:p>
        </w:tc>
        <w:tc>
          <w:tcPr>
            <w:tcW w:w="4260" w:type="dxa"/>
            <w:vAlign w:val="center"/>
            <w:textDirection w:val="lrTb"/>
            <w:noWrap w:val="false"/>
          </w:tcPr>
          <w:p>
            <w:pPr>
              <w:pStyle w:val="810"/>
              <w:ind w:left="0" w:firstLine="0"/>
              <w:jc w:val="left"/>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color w:val="auto"/>
                <w:sz w:val="18"/>
                <w:szCs w:val="18"/>
                <w:vertAlign w:val="baseline"/>
                <w:lang w:val="en-US" w:eastAsia="zh-CN"/>
              </w:rPr>
              <w:t xml:space="preserve">General ICC-B8900 ARM OL Chn Evolution V5.000.0000012.6.R.20230302.20230224172332</w:t>
            </w:r>
            <w:r/>
          </w:p>
        </w:tc>
      </w:tr>
      <w:tr>
        <w:trPr>
          <w:jc w:val="center"/>
        </w:trPr>
        <w:tc>
          <w:tcPr>
            <w:tcW w:w="667" w:type="dxa"/>
            <w:vAlign w:val="center"/>
            <w:textDirection w:val="lrTb"/>
            <w:noWrap w:val="false"/>
          </w:tcPr>
          <w:p>
            <w:pPr>
              <w:pStyle w:val="810"/>
              <w:ind w:left="0" w:firstLine="0"/>
              <w:jc w:val="center"/>
              <w:rPr>
                <w:rFonts w:hint="eastAsia" w:asciiTheme="minorEastAsia" w:hAnsiTheme="minorEastAsia" w:eastAsiaTheme="minorEastAsia" w:cstheme="minorEastAsia"/>
                <w:b w:val="0"/>
                <w:bCs w:val="0"/>
                <w:color w:val="auto"/>
                <w:sz w:val="18"/>
                <w:szCs w:val="18"/>
                <w:vertAlign w:val="baseline"/>
                <w:lang w:val="en-US" w:eastAsia="zh-CN"/>
              </w:rPr>
            </w:pPr>
            <w:r>
              <w:rPr>
                <w:rFonts w:hint="eastAsia" w:asciiTheme="minorEastAsia" w:hAnsiTheme="minorEastAsia" w:eastAsiaTheme="minorEastAsia" w:cstheme="minorEastAsia"/>
                <w:b w:val="0"/>
                <w:bCs w:val="0"/>
                <w:color w:val="auto"/>
                <w:sz w:val="18"/>
                <w:szCs w:val="18"/>
                <w:vertAlign w:val="baseline"/>
                <w:lang w:val="en-US" w:eastAsia="zh-CN"/>
              </w:rPr>
              <w:t xml:space="preserve">12</w:t>
            </w:r>
            <w:r/>
          </w:p>
        </w:tc>
        <w:tc>
          <w:tcPr>
            <w:shd w:val="clear" w:color="auto" w:fill="auto"/>
            <w:tcW w:w="318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auto"/>
                <w:sz w:val="18"/>
                <w:szCs w:val="18"/>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常州市三河口高级中学</w:t>
            </w:r>
            <w:r/>
          </w:p>
        </w:tc>
        <w:tc>
          <w:tcPr>
            <w:tcW w:w="861" w:type="dxa"/>
            <w:vAlign w:val="center"/>
            <w:textDirection w:val="lrTb"/>
            <w:noWrap w:val="false"/>
          </w:tcPr>
          <w:p>
            <w:pPr>
              <w:jc w:val="center"/>
              <w:rPr>
                <w:rFonts w:hint="eastAsia" w:asciiTheme="minorEastAsia" w:hAnsiTheme="minorEastAsia" w:eastAsiaTheme="minorEastAsia" w:cstheme="minorEastAsia"/>
                <w:color w:val="auto"/>
                <w:sz w:val="18"/>
                <w:szCs w:val="18"/>
                <w:vertAlign w:val="baseline"/>
                <w:lang w:val="en-US" w:eastAsia="zh-CN"/>
              </w:rPr>
              <w:pBdr>
                <w:bottom w:val="none" w:color="auto" w:sz="0" w:space="0"/>
              </w:pBdr>
            </w:pPr>
            <w:r>
              <w:rPr>
                <w:rFonts w:hint="eastAsia" w:asciiTheme="minorEastAsia" w:hAnsiTheme="minorEastAsia" w:eastAsiaTheme="minorEastAsia" w:cstheme="minorEastAsia"/>
                <w:color w:val="auto"/>
                <w:sz w:val="18"/>
                <w:szCs w:val="18"/>
                <w:vertAlign w:val="baseline"/>
                <w:lang w:val="en-US" w:eastAsia="zh-CN"/>
              </w:rPr>
              <w:t xml:space="preserve">大华</w:t>
            </w:r>
            <w:r/>
          </w:p>
        </w:tc>
        <w:tc>
          <w:tcPr>
            <w:tcW w:w="4260" w:type="dxa"/>
            <w:vAlign w:val="center"/>
            <w:textDirection w:val="lrTb"/>
            <w:noWrap w:val="false"/>
          </w:tcPr>
          <w:p>
            <w:pPr>
              <w:pStyle w:val="810"/>
              <w:ind w:left="0" w:firstLine="0"/>
              <w:jc w:val="left"/>
              <w:rPr>
                <w:rFonts w:hint="eastAsia" w:asciiTheme="minorEastAsia" w:hAnsiTheme="minorEastAsia" w:eastAsiaTheme="minorEastAsia" w:cstheme="minorEastAsia"/>
                <w:color w:val="auto"/>
                <w:sz w:val="18"/>
                <w:szCs w:val="18"/>
                <w:vertAlign w:val="baseline"/>
                <w:lang w:val="en-US" w:eastAsia="zh-CN"/>
              </w:rPr>
              <w:pBdr>
                <w:bottom w:val="none" w:color="auto" w:sz="0" w:space="0"/>
              </w:pBdr>
            </w:pPr>
            <w:r>
              <w:rPr>
                <w:rFonts w:hint="eastAsia" w:asciiTheme="minorEastAsia" w:hAnsiTheme="minorEastAsia" w:eastAsiaTheme="minorEastAsia" w:cstheme="minorEastAsia"/>
                <w:i w:val="0"/>
                <w:strike w:val="0"/>
                <w:color w:val="auto"/>
                <w:spacing w:val="0"/>
                <w:sz w:val="18"/>
                <w:szCs w:val="18"/>
                <w:u w:val="none"/>
              </w:rPr>
              <w:t xml:space="preserve">V1.000.0000004.0.R</w:t>
            </w:r>
            <w:r/>
          </w:p>
        </w:tc>
      </w:tr>
      <w:tr>
        <w:trPr>
          <w:jc w:val="center"/>
        </w:trPr>
        <w:tc>
          <w:tcPr>
            <w:tcW w:w="667" w:type="dxa"/>
            <w:vAlign w:val="center"/>
            <w:textDirection w:val="lrTb"/>
            <w:noWrap w:val="false"/>
          </w:tcPr>
          <w:p>
            <w:pPr>
              <w:pStyle w:val="810"/>
              <w:ind w:left="0" w:firstLine="0"/>
              <w:jc w:val="center"/>
              <w:rPr>
                <w:rFonts w:hint="eastAsia" w:asciiTheme="minorEastAsia" w:hAnsiTheme="minorEastAsia" w:eastAsiaTheme="minorEastAsia" w:cstheme="minorEastAsia"/>
                <w:b w:val="0"/>
                <w:bCs w:val="0"/>
                <w:color w:val="auto"/>
                <w:sz w:val="18"/>
                <w:szCs w:val="18"/>
                <w:vertAlign w:val="baseline"/>
                <w:lang w:val="en-US" w:eastAsia="zh-CN"/>
              </w:rPr>
            </w:pPr>
            <w:r>
              <w:rPr>
                <w:rFonts w:hint="eastAsia" w:asciiTheme="minorEastAsia" w:hAnsiTheme="minorEastAsia" w:eastAsiaTheme="minorEastAsia" w:cstheme="minorEastAsia"/>
                <w:b w:val="0"/>
                <w:bCs w:val="0"/>
                <w:color w:val="auto"/>
                <w:sz w:val="18"/>
                <w:szCs w:val="18"/>
                <w:vertAlign w:val="baseline"/>
                <w:lang w:val="en-US" w:eastAsia="zh-CN"/>
              </w:rPr>
              <w:t xml:space="preserve">13</w:t>
            </w:r>
            <w:r/>
          </w:p>
        </w:tc>
        <w:tc>
          <w:tcPr>
            <w:shd w:val="clear" w:color="auto" w:fill="auto"/>
            <w:tcW w:w="318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auto"/>
                <w:sz w:val="18"/>
                <w:szCs w:val="18"/>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常州刘国钧高等职业技术学校</w:t>
            </w:r>
            <w:r/>
          </w:p>
        </w:tc>
        <w:tc>
          <w:tcPr>
            <w:tcW w:w="861" w:type="dxa"/>
            <w:vAlign w:val="center"/>
            <w:textDirection w:val="lrTb"/>
            <w:noWrap w:val="false"/>
          </w:tcPr>
          <w:p>
            <w:pPr>
              <w:pStyle w:val="810"/>
              <w:ind w:left="0" w:firstLine="0"/>
              <w:jc w:val="center"/>
              <w:rPr>
                <w:rFonts w:hint="eastAsia" w:asciiTheme="minorEastAsia" w:hAnsiTheme="minorEastAsia" w:eastAsiaTheme="minorEastAsia" w:cstheme="minorEastAsia"/>
                <w:color w:val="auto"/>
                <w:sz w:val="18"/>
                <w:szCs w:val="18"/>
                <w:vertAlign w:val="baseline"/>
                <w:lang w:val="en-US" w:eastAsia="zh-CN"/>
              </w:rPr>
              <w:pBdr>
                <w:bottom w:val="none" w:color="auto" w:sz="0" w:space="0"/>
              </w:pBdr>
            </w:pPr>
            <w:r>
              <w:rPr>
                <w:rFonts w:hint="eastAsia" w:asciiTheme="minorEastAsia" w:hAnsiTheme="minorEastAsia" w:eastAsiaTheme="minorEastAsia" w:cstheme="minorEastAsia"/>
                <w:color w:val="auto"/>
                <w:sz w:val="18"/>
                <w:szCs w:val="18"/>
                <w:vertAlign w:val="baseline"/>
                <w:lang w:val="en-US" w:eastAsia="zh-CN"/>
              </w:rPr>
              <w:t xml:space="preserve">宇视</w:t>
            </w:r>
            <w:r/>
          </w:p>
        </w:tc>
        <w:tc>
          <w:tcPr>
            <w:tcW w:w="4260" w:type="dxa"/>
            <w:vAlign w:val="center"/>
            <w:textDirection w:val="lrTb"/>
            <w:noWrap w:val="false"/>
          </w:tcPr>
          <w:p>
            <w:pPr>
              <w:pStyle w:val="810"/>
              <w:ind w:left="0" w:firstLine="0"/>
              <w:jc w:val="left"/>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i w:val="0"/>
                <w:strike w:val="0"/>
                <w:color w:val="auto"/>
                <w:spacing w:val="0"/>
                <w:sz w:val="18"/>
                <w:szCs w:val="18"/>
                <w:u w:val="none"/>
              </w:rPr>
              <w:t xml:space="preserve">VMPS5.0-B3333.133.1.190125</w:t>
            </w:r>
            <w:r/>
          </w:p>
        </w:tc>
      </w:tr>
      <w:tr>
        <w:trPr>
          <w:jc w:val="center"/>
        </w:trPr>
        <w:tc>
          <w:tcPr>
            <w:tcW w:w="667" w:type="dxa"/>
            <w:vAlign w:val="center"/>
            <w:textDirection w:val="lrTb"/>
            <w:noWrap w:val="false"/>
          </w:tcPr>
          <w:p>
            <w:pPr>
              <w:pStyle w:val="810"/>
              <w:ind w:left="0" w:firstLine="0"/>
              <w:jc w:val="center"/>
              <w:rPr>
                <w:rFonts w:hint="eastAsia" w:asciiTheme="minorEastAsia" w:hAnsiTheme="minorEastAsia" w:eastAsiaTheme="minorEastAsia" w:cstheme="minorEastAsia"/>
                <w:b w:val="0"/>
                <w:bCs w:val="0"/>
                <w:color w:val="auto"/>
                <w:sz w:val="18"/>
                <w:szCs w:val="18"/>
                <w:vertAlign w:val="baseline"/>
                <w:lang w:val="en-US" w:eastAsia="zh-CN"/>
              </w:rPr>
            </w:pPr>
            <w:r>
              <w:rPr>
                <w:rFonts w:hint="eastAsia" w:asciiTheme="minorEastAsia" w:hAnsiTheme="minorEastAsia" w:eastAsiaTheme="minorEastAsia" w:cstheme="minorEastAsia"/>
                <w:b w:val="0"/>
                <w:bCs w:val="0"/>
                <w:color w:val="auto"/>
                <w:sz w:val="18"/>
                <w:szCs w:val="18"/>
                <w:vertAlign w:val="baseline"/>
                <w:lang w:val="en-US" w:eastAsia="zh-CN"/>
              </w:rPr>
              <w:t xml:space="preserve">14</w:t>
            </w:r>
            <w:r/>
          </w:p>
        </w:tc>
        <w:tc>
          <w:tcPr>
            <w:shd w:val="clear" w:color="auto" w:fill="auto"/>
            <w:tcW w:w="318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auto"/>
                <w:sz w:val="18"/>
                <w:szCs w:val="18"/>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常州开放大学</w:t>
            </w:r>
            <w:r/>
          </w:p>
        </w:tc>
        <w:tc>
          <w:tcPr>
            <w:tcW w:w="861" w:type="dxa"/>
            <w:vAlign w:val="center"/>
            <w:textDirection w:val="lrTb"/>
            <w:noWrap w:val="false"/>
          </w:tcPr>
          <w:p>
            <w:pPr>
              <w:jc w:val="center"/>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color w:val="auto"/>
                <w:sz w:val="18"/>
                <w:szCs w:val="18"/>
                <w:vertAlign w:val="baseline"/>
                <w:lang w:val="en-US" w:eastAsia="zh-CN"/>
              </w:rPr>
              <w:t xml:space="preserve">华为</w:t>
            </w:r>
            <w:r/>
          </w:p>
        </w:tc>
        <w:tc>
          <w:tcPr>
            <w:tcW w:w="4260" w:type="dxa"/>
            <w:vAlign w:val="center"/>
            <w:textDirection w:val="lrTb"/>
            <w:noWrap w:val="false"/>
          </w:tcPr>
          <w:p>
            <w:pPr>
              <w:pStyle w:val="810"/>
              <w:ind w:left="0" w:firstLine="0"/>
              <w:jc w:val="left"/>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color w:val="auto"/>
                <w:sz w:val="18"/>
                <w:szCs w:val="18"/>
                <w:vertAlign w:val="baseline"/>
                <w:lang w:val="en-US" w:eastAsia="zh-CN"/>
              </w:rPr>
              <w:t xml:space="preserve">holosensv10.0.0</w:t>
            </w:r>
            <w:r/>
          </w:p>
        </w:tc>
      </w:tr>
      <w:tr>
        <w:trPr>
          <w:jc w:val="center"/>
        </w:trPr>
        <w:tc>
          <w:tcPr>
            <w:tcW w:w="667" w:type="dxa"/>
            <w:vAlign w:val="center"/>
            <w:textDirection w:val="lrTb"/>
            <w:noWrap w:val="false"/>
          </w:tcPr>
          <w:p>
            <w:pPr>
              <w:pStyle w:val="810"/>
              <w:ind w:left="0" w:firstLine="0"/>
              <w:jc w:val="center"/>
              <w:rPr>
                <w:rFonts w:hint="eastAsia" w:asciiTheme="minorEastAsia" w:hAnsiTheme="minorEastAsia" w:eastAsiaTheme="minorEastAsia" w:cstheme="minorEastAsia"/>
                <w:b w:val="0"/>
                <w:bCs w:val="0"/>
                <w:color w:val="auto"/>
                <w:sz w:val="18"/>
                <w:szCs w:val="18"/>
                <w:vertAlign w:val="baseline"/>
                <w:lang w:val="en-US" w:eastAsia="zh-CN"/>
              </w:rPr>
            </w:pPr>
            <w:r>
              <w:rPr>
                <w:rFonts w:hint="eastAsia" w:asciiTheme="minorEastAsia" w:hAnsiTheme="minorEastAsia" w:eastAsiaTheme="minorEastAsia" w:cstheme="minorEastAsia"/>
                <w:b w:val="0"/>
                <w:bCs w:val="0"/>
                <w:color w:val="auto"/>
                <w:sz w:val="18"/>
                <w:szCs w:val="18"/>
                <w:vertAlign w:val="baseline"/>
                <w:lang w:val="en-US" w:eastAsia="zh-CN"/>
              </w:rPr>
              <w:t xml:space="preserve">15</w:t>
            </w:r>
            <w:r/>
          </w:p>
        </w:tc>
        <w:tc>
          <w:tcPr>
            <w:shd w:val="clear" w:color="auto" w:fill="auto"/>
            <w:tcW w:w="318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auto"/>
                <w:sz w:val="18"/>
                <w:szCs w:val="18"/>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常州</w:t>
            </w:r>
            <w:r>
              <w:rPr>
                <w:rFonts w:hint="eastAsia" w:ascii="宋体" w:hAnsi="宋体" w:cs="宋体"/>
                <w:i w:val="0"/>
                <w:iCs w:val="0"/>
                <w:color w:val="auto"/>
                <w:sz w:val="21"/>
                <w:szCs w:val="21"/>
                <w:u w:val="none"/>
                <w:lang w:val="en-US" w:eastAsia="zh-CN" w:bidi="ar"/>
              </w:rPr>
              <w:t xml:space="preserve">旅游</w:t>
            </w:r>
            <w:r>
              <w:rPr>
                <w:rFonts w:hint="eastAsia" w:ascii="宋体" w:hAnsi="宋体" w:eastAsia="宋体" w:cs="宋体"/>
                <w:i w:val="0"/>
                <w:iCs w:val="0"/>
                <w:color w:val="auto"/>
                <w:sz w:val="21"/>
                <w:szCs w:val="21"/>
                <w:u w:val="none"/>
                <w:lang w:val="en-US" w:eastAsia="zh-CN" w:bidi="ar"/>
              </w:rPr>
              <w:t xml:space="preserve">商贸高等职业技术学校</w:t>
            </w:r>
            <w:r/>
          </w:p>
        </w:tc>
        <w:tc>
          <w:tcPr>
            <w:tcW w:w="861" w:type="dxa"/>
            <w:vAlign w:val="center"/>
            <w:textDirection w:val="lrTb"/>
            <w:noWrap w:val="false"/>
          </w:tcPr>
          <w:p>
            <w:pPr>
              <w:jc w:val="center"/>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color w:val="auto"/>
                <w:sz w:val="18"/>
                <w:szCs w:val="18"/>
                <w:vertAlign w:val="baseline"/>
                <w:lang w:val="en-US" w:eastAsia="zh-CN"/>
              </w:rPr>
              <w:t xml:space="preserve">海康</w:t>
            </w:r>
            <w:r/>
          </w:p>
          <w:p>
            <w:pPr>
              <w:jc w:val="center"/>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color w:val="auto"/>
                <w:sz w:val="18"/>
                <w:szCs w:val="18"/>
                <w:vertAlign w:val="baseline"/>
                <w:lang w:val="en-US" w:eastAsia="zh-CN"/>
              </w:rPr>
              <w:t xml:space="preserve">威视</w:t>
            </w:r>
            <w:r/>
          </w:p>
        </w:tc>
        <w:tc>
          <w:tcPr>
            <w:tcW w:w="4260" w:type="dxa"/>
            <w:vAlign w:val="center"/>
            <w:textDirection w:val="lrTb"/>
            <w:noWrap w:val="false"/>
          </w:tcPr>
          <w:p>
            <w:pPr>
              <w:pStyle w:val="810"/>
              <w:ind w:left="0" w:firstLine="0"/>
              <w:jc w:val="left"/>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color w:val="auto"/>
                <w:sz w:val="18"/>
                <w:szCs w:val="18"/>
                <w:vertAlign w:val="baseline"/>
                <w:lang w:val="en-US" w:eastAsia="zh-CN"/>
              </w:rPr>
              <w:t xml:space="preserve">V1.4.100_20200831</w:t>
            </w:r>
            <w:r/>
          </w:p>
        </w:tc>
      </w:tr>
      <w:tr>
        <w:trPr>
          <w:jc w:val="center"/>
        </w:trPr>
        <w:tc>
          <w:tcPr>
            <w:tcW w:w="667" w:type="dxa"/>
            <w:vAlign w:val="center"/>
            <w:textDirection w:val="lrTb"/>
            <w:noWrap w:val="false"/>
          </w:tcPr>
          <w:p>
            <w:pPr>
              <w:pStyle w:val="810"/>
              <w:ind w:left="0" w:firstLine="0"/>
              <w:jc w:val="center"/>
              <w:rPr>
                <w:rFonts w:hint="eastAsia" w:asciiTheme="minorEastAsia" w:hAnsiTheme="minorEastAsia" w:eastAsiaTheme="minorEastAsia" w:cstheme="minorEastAsia"/>
                <w:b w:val="0"/>
                <w:bCs w:val="0"/>
                <w:color w:val="auto"/>
                <w:sz w:val="18"/>
                <w:szCs w:val="18"/>
                <w:vertAlign w:val="baseline"/>
                <w:lang w:val="en-US" w:eastAsia="zh-CN"/>
              </w:rPr>
            </w:pPr>
            <w:r>
              <w:rPr>
                <w:rFonts w:hint="eastAsia" w:asciiTheme="minorEastAsia" w:hAnsiTheme="minorEastAsia" w:eastAsiaTheme="minorEastAsia" w:cstheme="minorEastAsia"/>
                <w:b w:val="0"/>
                <w:bCs w:val="0"/>
                <w:color w:val="auto"/>
                <w:sz w:val="18"/>
                <w:szCs w:val="18"/>
                <w:vertAlign w:val="baseline"/>
                <w:lang w:val="en-US" w:eastAsia="zh-CN"/>
              </w:rPr>
              <w:t xml:space="preserve">16</w:t>
            </w:r>
            <w:r/>
          </w:p>
        </w:tc>
        <w:tc>
          <w:tcPr>
            <w:shd w:val="clear" w:color="auto" w:fill="auto"/>
            <w:tcW w:w="318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auto"/>
                <w:sz w:val="18"/>
                <w:szCs w:val="18"/>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常州市中吴实验学校</w:t>
            </w:r>
            <w:r/>
          </w:p>
        </w:tc>
        <w:tc>
          <w:tcPr>
            <w:tcW w:w="861" w:type="dxa"/>
            <w:vAlign w:val="center"/>
            <w:textDirection w:val="lrTb"/>
            <w:noWrap w:val="false"/>
          </w:tcPr>
          <w:p>
            <w:pPr>
              <w:jc w:val="center"/>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color w:val="auto"/>
                <w:sz w:val="18"/>
                <w:szCs w:val="18"/>
                <w:vertAlign w:val="baseline"/>
                <w:lang w:val="en-US" w:eastAsia="zh-CN"/>
              </w:rPr>
              <w:t xml:space="preserve">大华</w:t>
            </w:r>
            <w:r/>
          </w:p>
        </w:tc>
        <w:tc>
          <w:tcPr>
            <w:tcW w:w="4260" w:type="dxa"/>
            <w:vAlign w:val="center"/>
            <w:textDirection w:val="lrTb"/>
            <w:noWrap w:val="false"/>
          </w:tcPr>
          <w:p>
            <w:pPr>
              <w:pStyle w:val="810"/>
              <w:ind w:left="0" w:firstLine="0"/>
              <w:jc w:val="left"/>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color w:val="auto"/>
                <w:sz w:val="18"/>
                <w:szCs w:val="18"/>
                <w:vertAlign w:val="baseline"/>
                <w:lang w:val="en-US" w:eastAsia="zh-CN"/>
              </w:rPr>
              <w:t xml:space="preserve">V3.10.005.R.20170920.781593</w:t>
            </w:r>
            <w:r/>
          </w:p>
        </w:tc>
      </w:tr>
      <w:tr>
        <w:trPr>
          <w:jc w:val="center"/>
        </w:trPr>
        <w:tc>
          <w:tcPr>
            <w:tcW w:w="667" w:type="dxa"/>
            <w:vAlign w:val="center"/>
            <w:textDirection w:val="lrTb"/>
            <w:noWrap w:val="false"/>
          </w:tcPr>
          <w:p>
            <w:pPr>
              <w:pStyle w:val="810"/>
              <w:ind w:left="0" w:firstLine="0"/>
              <w:jc w:val="center"/>
              <w:rPr>
                <w:rFonts w:hint="eastAsia" w:asciiTheme="minorEastAsia" w:hAnsiTheme="minorEastAsia" w:eastAsiaTheme="minorEastAsia" w:cstheme="minorEastAsia"/>
                <w:b w:val="0"/>
                <w:bCs w:val="0"/>
                <w:color w:val="auto"/>
                <w:sz w:val="18"/>
                <w:szCs w:val="18"/>
                <w:vertAlign w:val="baseline"/>
                <w:lang w:val="en-US" w:eastAsia="zh-CN"/>
              </w:rPr>
            </w:pPr>
            <w:r>
              <w:rPr>
                <w:rFonts w:hint="eastAsia" w:asciiTheme="minorEastAsia" w:hAnsiTheme="minorEastAsia" w:eastAsiaTheme="minorEastAsia" w:cstheme="minorEastAsia"/>
                <w:b w:val="0"/>
                <w:bCs w:val="0"/>
                <w:color w:val="auto"/>
                <w:sz w:val="18"/>
                <w:szCs w:val="18"/>
                <w:vertAlign w:val="baseline"/>
                <w:lang w:val="en-US" w:eastAsia="zh-CN"/>
              </w:rPr>
              <w:t xml:space="preserve">17</w:t>
            </w:r>
            <w:r/>
          </w:p>
        </w:tc>
        <w:tc>
          <w:tcPr>
            <w:shd w:val="clear" w:color="auto" w:fill="auto"/>
            <w:tcW w:w="318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auto"/>
                <w:sz w:val="18"/>
                <w:szCs w:val="18"/>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常州市市北实验初级中学</w:t>
            </w:r>
            <w:r/>
          </w:p>
        </w:tc>
        <w:tc>
          <w:tcPr>
            <w:tcW w:w="861" w:type="dxa"/>
            <w:vAlign w:val="center"/>
            <w:textDirection w:val="lrTb"/>
            <w:noWrap w:val="false"/>
          </w:tcPr>
          <w:p>
            <w:pPr>
              <w:jc w:val="center"/>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color w:val="auto"/>
                <w:sz w:val="18"/>
                <w:szCs w:val="18"/>
                <w:vertAlign w:val="baseline"/>
                <w:lang w:val="en-US" w:eastAsia="zh-CN"/>
              </w:rPr>
              <w:t xml:space="preserve">海康</w:t>
            </w:r>
            <w:r/>
          </w:p>
          <w:p>
            <w:pPr>
              <w:jc w:val="center"/>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color w:val="auto"/>
                <w:sz w:val="18"/>
                <w:szCs w:val="18"/>
                <w:vertAlign w:val="baseline"/>
                <w:lang w:val="en-US" w:eastAsia="zh-CN"/>
              </w:rPr>
              <w:t xml:space="preserve">威视</w:t>
            </w:r>
            <w:r/>
          </w:p>
        </w:tc>
        <w:tc>
          <w:tcPr>
            <w:tcW w:w="4260" w:type="dxa"/>
            <w:vAlign w:val="center"/>
            <w:textDirection w:val="lrTb"/>
            <w:noWrap w:val="false"/>
          </w:tcPr>
          <w:p>
            <w:pPr>
              <w:pStyle w:val="810"/>
              <w:ind w:left="0" w:firstLine="0"/>
              <w:jc w:val="left"/>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i w:val="0"/>
                <w:strike w:val="0"/>
                <w:color w:val="auto"/>
                <w:spacing w:val="0"/>
                <w:sz w:val="18"/>
                <w:szCs w:val="18"/>
                <w:u w:val="none"/>
              </w:rPr>
              <w:t xml:space="preserve">lite_V1.2_321111.build20160923</w:t>
            </w:r>
            <w:r/>
          </w:p>
        </w:tc>
      </w:tr>
      <w:tr>
        <w:trPr>
          <w:jc w:val="center"/>
        </w:trPr>
        <w:tc>
          <w:tcPr>
            <w:tcW w:w="667" w:type="dxa"/>
            <w:vAlign w:val="center"/>
            <w:textDirection w:val="lrTb"/>
            <w:noWrap w:val="false"/>
          </w:tcPr>
          <w:p>
            <w:pPr>
              <w:pStyle w:val="810"/>
              <w:ind w:left="0" w:firstLine="0"/>
              <w:jc w:val="center"/>
              <w:rPr>
                <w:rFonts w:hint="eastAsia" w:asciiTheme="minorEastAsia" w:hAnsiTheme="minorEastAsia" w:eastAsiaTheme="minorEastAsia" w:cstheme="minorEastAsia"/>
                <w:b w:val="0"/>
                <w:bCs w:val="0"/>
                <w:color w:val="auto"/>
                <w:sz w:val="18"/>
                <w:szCs w:val="18"/>
                <w:vertAlign w:val="baseline"/>
                <w:lang w:val="en-US" w:eastAsia="zh-CN"/>
              </w:rPr>
            </w:pPr>
            <w:r>
              <w:rPr>
                <w:rFonts w:hint="eastAsia" w:asciiTheme="minorEastAsia" w:hAnsiTheme="minorEastAsia" w:eastAsiaTheme="minorEastAsia" w:cstheme="minorEastAsia"/>
                <w:b w:val="0"/>
                <w:bCs w:val="0"/>
                <w:color w:val="auto"/>
                <w:sz w:val="18"/>
                <w:szCs w:val="18"/>
                <w:vertAlign w:val="baseline"/>
                <w:lang w:val="en-US" w:eastAsia="zh-CN"/>
              </w:rPr>
              <w:t xml:space="preserve">18</w:t>
            </w:r>
            <w:r/>
          </w:p>
        </w:tc>
        <w:tc>
          <w:tcPr>
            <w:shd w:val="clear" w:color="auto" w:fill="auto"/>
            <w:tcW w:w="318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auto"/>
                <w:sz w:val="18"/>
                <w:szCs w:val="18"/>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常州市虹景中学</w:t>
            </w:r>
            <w:r/>
          </w:p>
        </w:tc>
        <w:tc>
          <w:tcPr>
            <w:tcW w:w="861" w:type="dxa"/>
            <w:vAlign w:val="center"/>
            <w:textDirection w:val="lrTb"/>
            <w:noWrap w:val="false"/>
          </w:tcPr>
          <w:p>
            <w:pPr>
              <w:jc w:val="center"/>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color w:val="auto"/>
                <w:sz w:val="18"/>
                <w:szCs w:val="18"/>
                <w:vertAlign w:val="baseline"/>
                <w:lang w:val="en-US" w:eastAsia="zh-CN"/>
              </w:rPr>
              <w:t xml:space="preserve">海康</w:t>
            </w:r>
            <w:r/>
          </w:p>
          <w:p>
            <w:pPr>
              <w:jc w:val="center"/>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color w:val="auto"/>
                <w:sz w:val="18"/>
                <w:szCs w:val="18"/>
                <w:vertAlign w:val="baseline"/>
                <w:lang w:val="en-US" w:eastAsia="zh-CN"/>
              </w:rPr>
              <w:t xml:space="preserve">威视</w:t>
            </w:r>
            <w:r/>
          </w:p>
        </w:tc>
        <w:tc>
          <w:tcPr>
            <w:tcW w:w="4260" w:type="dxa"/>
            <w:vAlign w:val="center"/>
            <w:textDirection w:val="lrTb"/>
            <w:noWrap w:val="false"/>
          </w:tcPr>
          <w:p>
            <w:pPr>
              <w:pStyle w:val="810"/>
              <w:ind w:left="0" w:firstLine="0"/>
              <w:jc w:val="left"/>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color w:val="auto"/>
                <w:sz w:val="18"/>
                <w:szCs w:val="18"/>
                <w:vertAlign w:val="baseline"/>
                <w:lang w:val="en-US" w:eastAsia="zh-CN"/>
              </w:rPr>
              <w:t xml:space="preserve">V1.7.0_20210930</w:t>
            </w:r>
            <w:r/>
          </w:p>
        </w:tc>
      </w:tr>
      <w:tr>
        <w:trPr>
          <w:jc w:val="center"/>
        </w:trPr>
        <w:tc>
          <w:tcPr>
            <w:tcW w:w="667" w:type="dxa"/>
            <w:vAlign w:val="center"/>
            <w:textDirection w:val="lrTb"/>
            <w:noWrap w:val="false"/>
          </w:tcPr>
          <w:p>
            <w:pPr>
              <w:pStyle w:val="810"/>
              <w:ind w:left="0" w:firstLine="0"/>
              <w:jc w:val="center"/>
              <w:rPr>
                <w:rFonts w:hint="eastAsia" w:asciiTheme="minorEastAsia" w:hAnsiTheme="minorEastAsia" w:eastAsiaTheme="minorEastAsia" w:cstheme="minorEastAsia"/>
                <w:b w:val="0"/>
                <w:bCs w:val="0"/>
                <w:color w:val="auto"/>
                <w:sz w:val="18"/>
                <w:szCs w:val="18"/>
                <w:vertAlign w:val="baseline"/>
                <w:lang w:val="en-US" w:eastAsia="zh-CN"/>
              </w:rPr>
            </w:pPr>
            <w:r>
              <w:rPr>
                <w:rFonts w:hint="eastAsia" w:asciiTheme="minorEastAsia" w:hAnsiTheme="minorEastAsia" w:eastAsiaTheme="minorEastAsia" w:cstheme="minorEastAsia"/>
                <w:b w:val="0"/>
                <w:bCs w:val="0"/>
                <w:color w:val="auto"/>
                <w:sz w:val="18"/>
                <w:szCs w:val="18"/>
                <w:vertAlign w:val="baseline"/>
                <w:lang w:val="en-US" w:eastAsia="zh-CN"/>
              </w:rPr>
              <w:t xml:space="preserve">19</w:t>
            </w:r>
            <w:r/>
          </w:p>
        </w:tc>
        <w:tc>
          <w:tcPr>
            <w:shd w:val="clear" w:color="auto" w:fill="auto"/>
            <w:tcW w:w="318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auto"/>
                <w:sz w:val="18"/>
                <w:szCs w:val="18"/>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常州市田家炳初</w:t>
            </w:r>
            <w:r>
              <w:rPr>
                <w:rFonts w:hint="eastAsia" w:ascii="宋体" w:hAnsi="宋体" w:cs="宋体"/>
                <w:i w:val="0"/>
                <w:iCs w:val="0"/>
                <w:color w:val="auto"/>
                <w:sz w:val="21"/>
                <w:szCs w:val="21"/>
                <w:u w:val="none"/>
                <w:lang w:val="en-US" w:eastAsia="zh-CN" w:bidi="ar"/>
              </w:rPr>
              <w:t xml:space="preserve">级</w:t>
            </w:r>
            <w:r>
              <w:rPr>
                <w:rFonts w:hint="eastAsia" w:ascii="宋体" w:hAnsi="宋体" w:eastAsia="宋体" w:cs="宋体"/>
                <w:i w:val="0"/>
                <w:iCs w:val="0"/>
                <w:color w:val="auto"/>
                <w:sz w:val="21"/>
                <w:szCs w:val="21"/>
                <w:u w:val="none"/>
                <w:lang w:val="en-US" w:eastAsia="zh-CN" w:bidi="ar"/>
              </w:rPr>
              <w:t xml:space="preserve">中</w:t>
            </w:r>
            <w:r>
              <w:rPr>
                <w:rFonts w:hint="eastAsia" w:ascii="宋体" w:hAnsi="宋体" w:cs="宋体"/>
                <w:i w:val="0"/>
                <w:iCs w:val="0"/>
                <w:color w:val="auto"/>
                <w:sz w:val="21"/>
                <w:szCs w:val="21"/>
                <w:u w:val="none"/>
                <w:lang w:val="en-US" w:eastAsia="zh-CN" w:bidi="ar"/>
              </w:rPr>
              <w:t xml:space="preserve">学</w:t>
            </w:r>
            <w:r/>
          </w:p>
        </w:tc>
        <w:tc>
          <w:tcPr>
            <w:tcW w:w="861" w:type="dxa"/>
            <w:vAlign w:val="center"/>
            <w:textDirection w:val="lrTb"/>
            <w:noWrap w:val="false"/>
          </w:tcPr>
          <w:p>
            <w:pPr>
              <w:pStyle w:val="827"/>
              <w:ind w:left="0" w:right="0"/>
              <w:jc w:val="center"/>
              <w:keepLines w:val="0"/>
              <w:keepNext w:val="0"/>
              <w:spacing w:before="0" w:beforeAutospacing="0" w:after="0" w:afterAutospacing="0"/>
              <w:widowControl/>
              <w:rPr>
                <w:rFonts w:hint="eastAsia" w:asciiTheme="minorEastAsia" w:hAnsiTheme="minorEastAsia" w:eastAsiaTheme="minorEastAsia" w:cstheme="minorEastAsia"/>
                <w:color w:val="auto"/>
                <w:sz w:val="18"/>
                <w:szCs w:val="18"/>
                <w:vertAlign w:val="baseline"/>
                <w:lang w:val="en-US" w:eastAsia="zh-CN"/>
              </w:rPr>
              <w:suppressLineNumbers w:val="0"/>
            </w:pPr>
            <w:r>
              <w:rPr>
                <w:rFonts w:hint="eastAsia" w:ascii="宋体" w:hAnsi="宋体" w:eastAsia="宋体" w:cs="宋体"/>
                <w:b w:val="0"/>
                <w:bCs w:val="0"/>
                <w:i w:val="0"/>
                <w:iCs w:val="0"/>
                <w:color w:val="auto"/>
                <w:spacing w:val="0"/>
                <w:sz w:val="18"/>
                <w:szCs w:val="18"/>
                <w:vertAlign w:val="baseline"/>
              </w:rPr>
              <w:t xml:space="preserve">大华</w:t>
            </w:r>
            <w:r/>
          </w:p>
        </w:tc>
        <w:tc>
          <w:tcPr>
            <w:tcW w:w="4260" w:type="dxa"/>
            <w:vAlign w:val="center"/>
            <w:textDirection w:val="lrTb"/>
            <w:noWrap w:val="false"/>
          </w:tcPr>
          <w:p>
            <w:pPr>
              <w:pStyle w:val="827"/>
              <w:ind w:left="0" w:right="0"/>
              <w:jc w:val="left"/>
              <w:keepLines w:val="0"/>
              <w:keepNext w:val="0"/>
              <w:spacing w:before="0" w:beforeAutospacing="0" w:after="0" w:afterAutospacing="0" w:line="23" w:lineRule="atLeast"/>
              <w:widowControl/>
              <w:rPr>
                <w:rFonts w:hint="eastAsia" w:asciiTheme="minorEastAsia" w:hAnsiTheme="minorEastAsia" w:eastAsiaTheme="minorEastAsia" w:cstheme="minorEastAsia"/>
                <w:color w:val="auto"/>
                <w:sz w:val="18"/>
                <w:szCs w:val="18"/>
                <w:vertAlign w:val="baseline"/>
                <w:lang w:val="en-US" w:eastAsia="zh-CN"/>
              </w:rPr>
              <w:suppressLineNumbers w:val="0"/>
            </w:pPr>
            <w:r>
              <w:rPr>
                <w:rFonts w:hint="eastAsia" w:ascii="宋体" w:hAnsi="宋体" w:eastAsia="宋体" w:cs="宋体"/>
                <w:b w:val="0"/>
                <w:bCs w:val="0"/>
                <w:i w:val="0"/>
                <w:iCs w:val="0"/>
                <w:color w:val="auto"/>
                <w:spacing w:val="0"/>
                <w:sz w:val="18"/>
                <w:szCs w:val="18"/>
                <w:vertAlign w:val="baseline"/>
              </w:rPr>
              <w:t xml:space="preserve">v3.11.004.R.20151223.430832</w:t>
            </w:r>
            <w:r/>
          </w:p>
        </w:tc>
      </w:tr>
      <w:tr>
        <w:trPr>
          <w:jc w:val="center"/>
        </w:trPr>
        <w:tc>
          <w:tcPr>
            <w:tcW w:w="667" w:type="dxa"/>
            <w:vAlign w:val="center"/>
            <w:textDirection w:val="lrTb"/>
            <w:noWrap w:val="false"/>
          </w:tcPr>
          <w:p>
            <w:pPr>
              <w:pStyle w:val="810"/>
              <w:ind w:left="0" w:firstLine="0"/>
              <w:jc w:val="center"/>
              <w:rPr>
                <w:rFonts w:hint="eastAsia" w:asciiTheme="minorEastAsia" w:hAnsiTheme="minorEastAsia" w:eastAsiaTheme="minorEastAsia" w:cstheme="minorEastAsia"/>
                <w:b w:val="0"/>
                <w:bCs w:val="0"/>
                <w:color w:val="auto"/>
                <w:sz w:val="18"/>
                <w:szCs w:val="18"/>
                <w:vertAlign w:val="baseline"/>
                <w:lang w:val="en-US" w:eastAsia="zh-CN"/>
              </w:rPr>
            </w:pPr>
            <w:r>
              <w:rPr>
                <w:rFonts w:hint="eastAsia" w:asciiTheme="minorEastAsia" w:hAnsiTheme="minorEastAsia" w:eastAsiaTheme="minorEastAsia" w:cstheme="minorEastAsia"/>
                <w:b w:val="0"/>
                <w:bCs w:val="0"/>
                <w:color w:val="auto"/>
                <w:sz w:val="18"/>
                <w:szCs w:val="18"/>
                <w:vertAlign w:val="baseline"/>
                <w:lang w:val="en-US" w:eastAsia="zh-CN"/>
              </w:rPr>
              <w:t xml:space="preserve">20</w:t>
            </w:r>
            <w:r/>
          </w:p>
        </w:tc>
        <w:tc>
          <w:tcPr>
            <w:shd w:val="clear" w:color="auto" w:fill="auto"/>
            <w:tcW w:w="318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auto"/>
                <w:sz w:val="18"/>
                <w:szCs w:val="18"/>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常州市北环中学</w:t>
            </w:r>
            <w:r/>
          </w:p>
        </w:tc>
        <w:tc>
          <w:tcPr>
            <w:tcW w:w="861" w:type="dxa"/>
            <w:vAlign w:val="center"/>
            <w:textDirection w:val="lrTb"/>
            <w:noWrap w:val="false"/>
          </w:tcPr>
          <w:p>
            <w:pPr>
              <w:jc w:val="center"/>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color w:val="auto"/>
                <w:sz w:val="18"/>
                <w:szCs w:val="18"/>
                <w:vertAlign w:val="baseline"/>
                <w:lang w:val="en-US" w:eastAsia="zh-CN"/>
              </w:rPr>
              <w:t xml:space="preserve">海康</w:t>
            </w:r>
            <w:r/>
          </w:p>
          <w:p>
            <w:pPr>
              <w:jc w:val="center"/>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color w:val="auto"/>
                <w:sz w:val="18"/>
                <w:szCs w:val="18"/>
                <w:vertAlign w:val="baseline"/>
                <w:lang w:val="en-US" w:eastAsia="zh-CN"/>
              </w:rPr>
              <w:t xml:space="preserve">威视</w:t>
            </w:r>
            <w:r/>
          </w:p>
        </w:tc>
        <w:tc>
          <w:tcPr>
            <w:tcW w:w="4260" w:type="dxa"/>
            <w:vAlign w:val="center"/>
            <w:textDirection w:val="lrTb"/>
            <w:noWrap w:val="false"/>
          </w:tcPr>
          <w:p>
            <w:pPr>
              <w:jc w:val="left"/>
              <w:spacing w:line="240" w:lineRule="auto"/>
              <w:rPr>
                <w:rFonts w:hint="eastAsia" w:asciiTheme="minorEastAsia" w:hAnsiTheme="minorEastAsia" w:eastAsiaTheme="minorEastAsia" w:cstheme="minorEastAsia"/>
                <w:color w:val="auto"/>
                <w:sz w:val="18"/>
                <w:szCs w:val="18"/>
              </w:rPr>
            </w:pPr>
            <w:r>
              <w:rPr>
                <w:rFonts w:hint="eastAsia" w:asciiTheme="minorEastAsia" w:hAnsiTheme="minorEastAsia" w:eastAsiaTheme="minorEastAsia" w:cstheme="minorEastAsia"/>
                <w:i w:val="0"/>
                <w:strike w:val="0"/>
                <w:color w:val="auto"/>
                <w:spacing w:val="0"/>
                <w:sz w:val="18"/>
                <w:szCs w:val="18"/>
                <w:u w:val="none"/>
              </w:rPr>
              <w:t xml:space="preserve">平台型号：DS-VM21S-B</w:t>
            </w:r>
            <w:r/>
          </w:p>
          <w:p>
            <w:pPr>
              <w:pStyle w:val="810"/>
              <w:ind w:left="0" w:firstLine="0"/>
              <w:jc w:val="left"/>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i w:val="0"/>
                <w:strike w:val="0"/>
                <w:color w:val="auto"/>
                <w:spacing w:val="0"/>
                <w:sz w:val="18"/>
                <w:szCs w:val="18"/>
                <w:u w:val="none"/>
              </w:rPr>
              <w:t xml:space="preserve">平台版本：iSecure Center综合安防管理平台软件V2.0.0</w:t>
            </w:r>
            <w:r/>
          </w:p>
        </w:tc>
      </w:tr>
      <w:tr>
        <w:trPr>
          <w:jc w:val="center"/>
        </w:trPr>
        <w:tc>
          <w:tcPr>
            <w:tcW w:w="667" w:type="dxa"/>
            <w:vAlign w:val="center"/>
            <w:textDirection w:val="lrTb"/>
            <w:noWrap w:val="false"/>
          </w:tcPr>
          <w:p>
            <w:pPr>
              <w:pStyle w:val="810"/>
              <w:ind w:left="0" w:firstLine="0"/>
              <w:jc w:val="center"/>
              <w:rPr>
                <w:rFonts w:hint="eastAsia" w:asciiTheme="minorEastAsia" w:hAnsiTheme="minorEastAsia" w:eastAsiaTheme="minorEastAsia" w:cstheme="minorEastAsia"/>
                <w:b w:val="0"/>
                <w:bCs w:val="0"/>
                <w:color w:val="auto"/>
                <w:sz w:val="18"/>
                <w:szCs w:val="18"/>
                <w:vertAlign w:val="baseline"/>
                <w:lang w:val="en-US" w:eastAsia="zh-CN"/>
              </w:rPr>
            </w:pPr>
            <w:r>
              <w:rPr>
                <w:rFonts w:hint="eastAsia" w:asciiTheme="minorEastAsia" w:hAnsiTheme="minorEastAsia" w:eastAsiaTheme="minorEastAsia" w:cstheme="minorEastAsia"/>
                <w:b w:val="0"/>
                <w:bCs w:val="0"/>
                <w:color w:val="auto"/>
                <w:sz w:val="18"/>
                <w:szCs w:val="18"/>
                <w:vertAlign w:val="baseline"/>
                <w:lang w:val="en-US" w:eastAsia="zh-CN"/>
              </w:rPr>
              <w:t xml:space="preserve">21</w:t>
            </w:r>
            <w:r/>
          </w:p>
        </w:tc>
        <w:tc>
          <w:tcPr>
            <w:shd w:val="clear" w:color="auto" w:fill="auto"/>
            <w:tcW w:w="318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auto"/>
                <w:sz w:val="18"/>
                <w:szCs w:val="18"/>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常州市兰陵中学</w:t>
            </w:r>
            <w:r/>
          </w:p>
        </w:tc>
        <w:tc>
          <w:tcPr>
            <w:tcW w:w="861" w:type="dxa"/>
            <w:vAlign w:val="center"/>
            <w:textDirection w:val="lrTb"/>
            <w:noWrap w:val="false"/>
          </w:tcPr>
          <w:p>
            <w:pPr>
              <w:jc w:val="center"/>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color w:val="auto"/>
                <w:sz w:val="18"/>
                <w:szCs w:val="18"/>
                <w:vertAlign w:val="baseline"/>
                <w:lang w:val="en-US" w:eastAsia="zh-CN"/>
              </w:rPr>
              <w:t xml:space="preserve">海康</w:t>
            </w:r>
            <w:r/>
          </w:p>
          <w:p>
            <w:pPr>
              <w:jc w:val="center"/>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color w:val="auto"/>
                <w:sz w:val="18"/>
                <w:szCs w:val="18"/>
                <w:vertAlign w:val="baseline"/>
                <w:lang w:val="en-US" w:eastAsia="zh-CN"/>
              </w:rPr>
              <w:t xml:space="preserve">威视</w:t>
            </w:r>
            <w:r/>
          </w:p>
        </w:tc>
        <w:tc>
          <w:tcPr>
            <w:tcW w:w="4260" w:type="dxa"/>
            <w:vAlign w:val="center"/>
            <w:textDirection w:val="lrTb"/>
            <w:noWrap w:val="false"/>
          </w:tcPr>
          <w:p>
            <w:pPr>
              <w:pStyle w:val="810"/>
              <w:ind w:left="0" w:firstLine="0"/>
              <w:jc w:val="left"/>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color w:val="auto"/>
                <w:sz w:val="18"/>
                <w:szCs w:val="18"/>
                <w:vertAlign w:val="baseline"/>
                <w:lang w:val="en-US" w:eastAsia="zh-CN"/>
              </w:rPr>
              <w:t xml:space="preserve">V1.4.0.20201207</w:t>
            </w:r>
            <w:r/>
          </w:p>
        </w:tc>
      </w:tr>
      <w:tr>
        <w:trPr>
          <w:jc w:val="center"/>
        </w:trPr>
        <w:tc>
          <w:tcPr>
            <w:tcW w:w="667" w:type="dxa"/>
            <w:vAlign w:val="center"/>
            <w:textDirection w:val="lrTb"/>
            <w:noWrap w:val="false"/>
          </w:tcPr>
          <w:p>
            <w:pPr>
              <w:pStyle w:val="810"/>
              <w:ind w:left="0" w:firstLine="0"/>
              <w:jc w:val="center"/>
              <w:rPr>
                <w:rFonts w:hint="eastAsia" w:asciiTheme="minorEastAsia" w:hAnsiTheme="minorEastAsia" w:eastAsiaTheme="minorEastAsia" w:cstheme="minorEastAsia"/>
                <w:b w:val="0"/>
                <w:bCs w:val="0"/>
                <w:color w:val="auto"/>
                <w:sz w:val="18"/>
                <w:szCs w:val="18"/>
                <w:vertAlign w:val="baseline"/>
                <w:lang w:val="en-US" w:eastAsia="zh-CN"/>
              </w:rPr>
            </w:pPr>
            <w:r>
              <w:rPr>
                <w:rFonts w:hint="eastAsia" w:asciiTheme="minorEastAsia" w:hAnsiTheme="minorEastAsia" w:eastAsiaTheme="minorEastAsia" w:cstheme="minorEastAsia"/>
                <w:b w:val="0"/>
                <w:bCs w:val="0"/>
                <w:color w:val="auto"/>
                <w:sz w:val="18"/>
                <w:szCs w:val="18"/>
                <w:vertAlign w:val="baseline"/>
                <w:lang w:val="en-US" w:eastAsia="zh-CN"/>
              </w:rPr>
              <w:t xml:space="preserve">22</w:t>
            </w:r>
            <w:r/>
          </w:p>
        </w:tc>
        <w:tc>
          <w:tcPr>
            <w:shd w:val="clear" w:color="auto" w:fill="auto"/>
            <w:tcW w:w="318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auto"/>
                <w:sz w:val="18"/>
                <w:szCs w:val="18"/>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常州市勤业中学</w:t>
            </w:r>
            <w:r/>
          </w:p>
        </w:tc>
        <w:tc>
          <w:tcPr>
            <w:tcW w:w="861" w:type="dxa"/>
            <w:vAlign w:val="center"/>
            <w:textDirection w:val="lrTb"/>
            <w:noWrap w:val="false"/>
          </w:tcPr>
          <w:p>
            <w:pPr>
              <w:jc w:val="center"/>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color w:val="auto"/>
                <w:sz w:val="18"/>
                <w:szCs w:val="18"/>
                <w:vertAlign w:val="baseline"/>
                <w:lang w:val="en-US" w:eastAsia="zh-CN"/>
              </w:rPr>
              <w:t xml:space="preserve">海康</w:t>
            </w:r>
            <w:r/>
          </w:p>
          <w:p>
            <w:pPr>
              <w:jc w:val="center"/>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color w:val="auto"/>
                <w:sz w:val="18"/>
                <w:szCs w:val="18"/>
                <w:vertAlign w:val="baseline"/>
                <w:lang w:val="en-US" w:eastAsia="zh-CN"/>
              </w:rPr>
              <w:t xml:space="preserve">威视</w:t>
            </w:r>
            <w:r/>
          </w:p>
          <w:p>
            <w:pPr>
              <w:jc w:val="center"/>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color w:val="auto"/>
                <w:sz w:val="18"/>
                <w:szCs w:val="18"/>
                <w:vertAlign w:val="baseline"/>
                <w:lang w:val="en-US" w:eastAsia="zh-CN"/>
              </w:rPr>
            </w:r>
            <w:r/>
          </w:p>
        </w:tc>
        <w:tc>
          <w:tcPr>
            <w:tcW w:w="4260" w:type="dxa"/>
            <w:vAlign w:val="center"/>
            <w:textDirection w:val="lrTb"/>
            <w:noWrap w:val="false"/>
          </w:tcPr>
          <w:p>
            <w:pPr>
              <w:jc w:val="left"/>
              <w:spacing w:line="240" w:lineRule="auto"/>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i w:val="0"/>
                <w:strike w:val="0"/>
                <w:color w:val="auto"/>
                <w:spacing w:val="0"/>
                <w:sz w:val="18"/>
                <w:szCs w:val="18"/>
                <w:u w:val="none"/>
              </w:rPr>
              <w:t xml:space="preserve">iSecure Center</w:t>
            </w:r>
            <w:r>
              <w:rPr>
                <w:rFonts w:hint="eastAsia" w:asciiTheme="minorEastAsia" w:hAnsiTheme="minorEastAsia" w:eastAsiaTheme="minorEastAsia" w:cstheme="minorEastAsia"/>
                <w:i w:val="0"/>
                <w:strike w:val="0"/>
                <w:color w:val="auto"/>
                <w:spacing w:val="0"/>
                <w:sz w:val="18"/>
                <w:szCs w:val="18"/>
                <w:u w:val="none"/>
                <w:lang w:val="en-US" w:eastAsia="zh-CN"/>
              </w:rPr>
              <w:t xml:space="preserve"> </w:t>
            </w:r>
            <w:r>
              <w:rPr>
                <w:rFonts w:hint="eastAsia" w:asciiTheme="minorEastAsia" w:hAnsiTheme="minorEastAsia" w:eastAsiaTheme="minorEastAsia" w:cstheme="minorEastAsia"/>
                <w:i w:val="0"/>
                <w:strike w:val="0"/>
                <w:color w:val="auto"/>
                <w:spacing w:val="0"/>
                <w:sz w:val="18"/>
                <w:szCs w:val="18"/>
                <w:u w:val="none"/>
              </w:rPr>
              <w:t xml:space="preserve">:V1.5.100_20200630</w:t>
            </w:r>
            <w:r/>
          </w:p>
        </w:tc>
      </w:tr>
      <w:tr>
        <w:trPr>
          <w:jc w:val="center"/>
        </w:trPr>
        <w:tc>
          <w:tcPr>
            <w:tcW w:w="667" w:type="dxa"/>
            <w:vAlign w:val="center"/>
            <w:textDirection w:val="lrTb"/>
            <w:noWrap w:val="false"/>
          </w:tcPr>
          <w:p>
            <w:pPr>
              <w:pStyle w:val="810"/>
              <w:ind w:left="0" w:firstLine="0"/>
              <w:jc w:val="center"/>
              <w:rPr>
                <w:rFonts w:hint="eastAsia" w:asciiTheme="minorEastAsia" w:hAnsiTheme="minorEastAsia" w:eastAsiaTheme="minorEastAsia" w:cstheme="minorEastAsia"/>
                <w:b w:val="0"/>
                <w:bCs w:val="0"/>
                <w:color w:val="auto"/>
                <w:sz w:val="18"/>
                <w:szCs w:val="18"/>
                <w:vertAlign w:val="baseline"/>
                <w:lang w:val="en-US" w:eastAsia="zh-CN"/>
              </w:rPr>
            </w:pPr>
            <w:r>
              <w:rPr>
                <w:rFonts w:hint="eastAsia" w:asciiTheme="minorEastAsia" w:hAnsiTheme="minorEastAsia" w:eastAsiaTheme="minorEastAsia" w:cstheme="minorEastAsia"/>
                <w:b w:val="0"/>
                <w:bCs w:val="0"/>
                <w:color w:val="auto"/>
                <w:sz w:val="18"/>
                <w:szCs w:val="18"/>
                <w:vertAlign w:val="baseline"/>
                <w:lang w:val="en-US" w:eastAsia="zh-CN"/>
              </w:rPr>
              <w:t xml:space="preserve">23</w:t>
            </w:r>
            <w:r/>
          </w:p>
        </w:tc>
        <w:tc>
          <w:tcPr>
            <w:shd w:val="clear" w:color="auto" w:fill="auto"/>
            <w:tcW w:w="318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auto"/>
                <w:sz w:val="18"/>
                <w:szCs w:val="18"/>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常州市实验</w:t>
            </w:r>
            <w:r>
              <w:rPr>
                <w:rFonts w:hint="eastAsia" w:ascii="宋体" w:hAnsi="宋体" w:cs="宋体"/>
                <w:i w:val="0"/>
                <w:iCs w:val="0"/>
                <w:color w:val="auto"/>
                <w:sz w:val="21"/>
                <w:szCs w:val="21"/>
                <w:u w:val="none"/>
                <w:lang w:val="en-US" w:eastAsia="zh-CN" w:bidi="ar"/>
              </w:rPr>
              <w:t xml:space="preserve">初级中学</w:t>
            </w:r>
            <w:r/>
          </w:p>
        </w:tc>
        <w:tc>
          <w:tcPr>
            <w:tcW w:w="861" w:type="dxa"/>
            <w:vAlign w:val="center"/>
            <w:textDirection w:val="lrTb"/>
            <w:noWrap w:val="false"/>
          </w:tcPr>
          <w:p>
            <w:pPr>
              <w:jc w:val="center"/>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color w:val="auto"/>
                <w:sz w:val="18"/>
                <w:szCs w:val="18"/>
                <w:vertAlign w:val="baseline"/>
                <w:lang w:val="en-US" w:eastAsia="zh-CN"/>
              </w:rPr>
              <w:t xml:space="preserve">宇视</w:t>
            </w:r>
            <w:r/>
          </w:p>
        </w:tc>
        <w:tc>
          <w:tcPr>
            <w:tcW w:w="4260" w:type="dxa"/>
            <w:vAlign w:val="center"/>
            <w:textDirection w:val="lrTb"/>
            <w:noWrap w:val="false"/>
          </w:tcPr>
          <w:p>
            <w:pPr>
              <w:pStyle w:val="810"/>
              <w:ind w:left="0" w:firstLine="0"/>
              <w:jc w:val="left"/>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i w:val="0"/>
                <w:strike w:val="0"/>
                <w:color w:val="auto"/>
                <w:spacing w:val="0"/>
                <w:sz w:val="18"/>
                <w:szCs w:val="18"/>
                <w:u w:val="none"/>
              </w:rPr>
              <w:t xml:space="preserve">VMS-B1101.19.41.200320</w:t>
            </w:r>
            <w:r/>
          </w:p>
        </w:tc>
      </w:tr>
      <w:tr>
        <w:trPr>
          <w:jc w:val="center"/>
        </w:trPr>
        <w:tc>
          <w:tcPr>
            <w:tcW w:w="667" w:type="dxa"/>
            <w:vAlign w:val="center"/>
            <w:textDirection w:val="lrTb"/>
            <w:noWrap w:val="false"/>
          </w:tcPr>
          <w:p>
            <w:pPr>
              <w:pStyle w:val="810"/>
              <w:ind w:left="0" w:firstLine="0"/>
              <w:jc w:val="center"/>
              <w:rPr>
                <w:rFonts w:hint="eastAsia" w:asciiTheme="minorEastAsia" w:hAnsiTheme="minorEastAsia" w:eastAsiaTheme="minorEastAsia" w:cstheme="minorEastAsia"/>
                <w:b w:val="0"/>
                <w:bCs w:val="0"/>
                <w:color w:val="auto"/>
                <w:sz w:val="18"/>
                <w:szCs w:val="18"/>
                <w:vertAlign w:val="baseline"/>
                <w:lang w:val="en-US" w:eastAsia="zh-CN"/>
              </w:rPr>
            </w:pPr>
            <w:r>
              <w:rPr>
                <w:rFonts w:hint="eastAsia" w:asciiTheme="minorEastAsia" w:hAnsiTheme="minorEastAsia" w:eastAsiaTheme="minorEastAsia" w:cstheme="minorEastAsia"/>
                <w:b w:val="0"/>
                <w:bCs w:val="0"/>
                <w:color w:val="auto"/>
                <w:sz w:val="18"/>
                <w:szCs w:val="18"/>
                <w:vertAlign w:val="baseline"/>
                <w:lang w:val="en-US" w:eastAsia="zh-CN"/>
              </w:rPr>
              <w:t xml:space="preserve">24</w:t>
            </w:r>
            <w:r/>
          </w:p>
        </w:tc>
        <w:tc>
          <w:tcPr>
            <w:shd w:val="clear" w:color="auto" w:fill="auto"/>
            <w:tcW w:w="318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auto"/>
                <w:sz w:val="18"/>
                <w:szCs w:val="18"/>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常州市翠竹中学</w:t>
            </w:r>
            <w:r/>
          </w:p>
        </w:tc>
        <w:tc>
          <w:tcPr>
            <w:tcW w:w="861" w:type="dxa"/>
            <w:vAlign w:val="center"/>
            <w:textDirection w:val="lrTb"/>
            <w:noWrap w:val="false"/>
          </w:tcPr>
          <w:p>
            <w:pPr>
              <w:jc w:val="center"/>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color w:val="auto"/>
                <w:sz w:val="18"/>
                <w:szCs w:val="18"/>
                <w:vertAlign w:val="baseline"/>
                <w:lang w:val="en-US" w:eastAsia="zh-CN"/>
              </w:rPr>
              <w:t xml:space="preserve">海康</w:t>
            </w:r>
            <w:r/>
          </w:p>
          <w:p>
            <w:pPr>
              <w:jc w:val="center"/>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color w:val="auto"/>
                <w:sz w:val="18"/>
                <w:szCs w:val="18"/>
                <w:vertAlign w:val="baseline"/>
                <w:lang w:val="en-US" w:eastAsia="zh-CN"/>
              </w:rPr>
              <w:t xml:space="preserve">威视</w:t>
            </w:r>
            <w:r/>
          </w:p>
        </w:tc>
        <w:tc>
          <w:tcPr>
            <w:tcW w:w="4260" w:type="dxa"/>
            <w:vAlign w:val="center"/>
            <w:textDirection w:val="lrTb"/>
            <w:noWrap w:val="false"/>
          </w:tcPr>
          <w:p>
            <w:pPr>
              <w:pStyle w:val="810"/>
              <w:ind w:left="0" w:firstLine="0"/>
              <w:jc w:val="left"/>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i w:val="0"/>
                <w:strike w:val="0"/>
                <w:color w:val="auto"/>
                <w:spacing w:val="0"/>
                <w:sz w:val="18"/>
                <w:szCs w:val="18"/>
                <w:u w:val="none"/>
              </w:rPr>
              <w:t xml:space="preserve">V1.5.100_20200630</w:t>
            </w:r>
            <w:r/>
          </w:p>
        </w:tc>
      </w:tr>
      <w:tr>
        <w:trPr>
          <w:jc w:val="center"/>
        </w:trPr>
        <w:tc>
          <w:tcPr>
            <w:tcW w:w="667" w:type="dxa"/>
            <w:vAlign w:val="center"/>
            <w:textDirection w:val="lrTb"/>
            <w:noWrap w:val="false"/>
          </w:tcPr>
          <w:p>
            <w:pPr>
              <w:pStyle w:val="810"/>
              <w:ind w:left="0" w:firstLine="0"/>
              <w:jc w:val="center"/>
              <w:rPr>
                <w:rFonts w:hint="eastAsia" w:asciiTheme="minorEastAsia" w:hAnsiTheme="minorEastAsia" w:eastAsiaTheme="minorEastAsia" w:cstheme="minorEastAsia"/>
                <w:b w:val="0"/>
                <w:bCs w:val="0"/>
                <w:color w:val="auto"/>
                <w:sz w:val="18"/>
                <w:szCs w:val="18"/>
                <w:vertAlign w:val="baseline"/>
                <w:lang w:val="en-US" w:eastAsia="zh-CN"/>
              </w:rPr>
            </w:pPr>
            <w:r>
              <w:rPr>
                <w:rFonts w:hint="eastAsia" w:asciiTheme="minorEastAsia" w:hAnsiTheme="minorEastAsia" w:eastAsiaTheme="minorEastAsia" w:cstheme="minorEastAsia"/>
                <w:b w:val="0"/>
                <w:bCs w:val="0"/>
                <w:color w:val="auto"/>
                <w:sz w:val="18"/>
                <w:szCs w:val="18"/>
                <w:vertAlign w:val="baseline"/>
                <w:lang w:val="en-US" w:eastAsia="zh-CN"/>
              </w:rPr>
              <w:t xml:space="preserve">25</w:t>
            </w:r>
            <w:r/>
          </w:p>
        </w:tc>
        <w:tc>
          <w:tcPr>
            <w:shd w:val="clear" w:color="auto" w:fill="auto"/>
            <w:tcW w:w="318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auto"/>
                <w:sz w:val="18"/>
                <w:szCs w:val="18"/>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常州市清潭中学</w:t>
            </w:r>
            <w:r/>
          </w:p>
        </w:tc>
        <w:tc>
          <w:tcPr>
            <w:tcW w:w="861" w:type="dxa"/>
            <w:vAlign w:val="center"/>
            <w:textDirection w:val="lrTb"/>
            <w:noWrap w:val="false"/>
          </w:tcPr>
          <w:p>
            <w:pPr>
              <w:jc w:val="center"/>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color w:val="auto"/>
                <w:sz w:val="18"/>
                <w:szCs w:val="18"/>
                <w:vertAlign w:val="baseline"/>
                <w:lang w:val="en-US" w:eastAsia="zh-CN"/>
              </w:rPr>
              <w:t xml:space="preserve">大华</w:t>
            </w:r>
            <w:r/>
          </w:p>
        </w:tc>
        <w:tc>
          <w:tcPr>
            <w:tcW w:w="4260" w:type="dxa"/>
            <w:vAlign w:val="center"/>
            <w:textDirection w:val="lrTb"/>
            <w:noWrap w:val="false"/>
          </w:tcPr>
          <w:p>
            <w:pPr>
              <w:jc w:val="left"/>
              <w:spacing w:line="240" w:lineRule="auto"/>
              <w:rPr>
                <w:rFonts w:hint="eastAsia" w:asciiTheme="minorEastAsia" w:hAnsiTheme="minorEastAsia" w:eastAsiaTheme="minorEastAsia" w:cstheme="minorEastAsia"/>
                <w:color w:val="auto"/>
                <w:sz w:val="18"/>
                <w:szCs w:val="18"/>
                <w:vertAlign w:val="baseline"/>
                <w:lang w:val="en-US" w:eastAsia="zh-CN"/>
              </w:rPr>
              <w:pBdr>
                <w:bottom w:val="none" w:color="auto" w:sz="0" w:space="0"/>
              </w:pBdr>
            </w:pPr>
            <w:r>
              <w:rPr>
                <w:rFonts w:hint="eastAsia" w:asciiTheme="minorEastAsia" w:hAnsiTheme="minorEastAsia" w:eastAsiaTheme="minorEastAsia" w:cstheme="minorEastAsia"/>
                <w:color w:val="auto"/>
                <w:sz w:val="18"/>
                <w:szCs w:val="18"/>
                <w:vertAlign w:val="baseline"/>
                <w:lang w:val="en-US" w:eastAsia="zh-CN"/>
              </w:rPr>
              <w:t xml:space="preserve">V3.001.0000002.10.R.20190619_212343.1244975</w:t>
            </w:r>
            <w:r/>
          </w:p>
        </w:tc>
      </w:tr>
      <w:tr>
        <w:trPr>
          <w:jc w:val="center"/>
        </w:trPr>
        <w:tc>
          <w:tcPr>
            <w:tcW w:w="667" w:type="dxa"/>
            <w:vAlign w:val="center"/>
            <w:textDirection w:val="lrTb"/>
            <w:noWrap w:val="false"/>
          </w:tcPr>
          <w:p>
            <w:pPr>
              <w:pStyle w:val="810"/>
              <w:ind w:left="0" w:firstLine="0"/>
              <w:jc w:val="center"/>
              <w:rPr>
                <w:rFonts w:hint="eastAsia" w:asciiTheme="minorEastAsia" w:hAnsiTheme="minorEastAsia" w:eastAsiaTheme="minorEastAsia" w:cstheme="minorEastAsia"/>
                <w:b w:val="0"/>
                <w:bCs w:val="0"/>
                <w:color w:val="auto"/>
                <w:sz w:val="18"/>
                <w:szCs w:val="18"/>
                <w:vertAlign w:val="baseline"/>
                <w:lang w:val="en-US" w:eastAsia="zh-CN"/>
              </w:rPr>
            </w:pPr>
            <w:r>
              <w:rPr>
                <w:rFonts w:hint="eastAsia" w:asciiTheme="minorEastAsia" w:hAnsiTheme="minorEastAsia" w:eastAsiaTheme="minorEastAsia" w:cstheme="minorEastAsia"/>
                <w:b w:val="0"/>
                <w:bCs w:val="0"/>
                <w:color w:val="auto"/>
                <w:sz w:val="18"/>
                <w:szCs w:val="18"/>
                <w:vertAlign w:val="baseline"/>
                <w:lang w:val="en-US" w:eastAsia="zh-CN"/>
              </w:rPr>
              <w:t xml:space="preserve">26</w:t>
            </w:r>
            <w:r/>
          </w:p>
        </w:tc>
        <w:tc>
          <w:tcPr>
            <w:shd w:val="clear" w:color="auto" w:fill="auto"/>
            <w:tcW w:w="318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auto"/>
                <w:sz w:val="18"/>
                <w:szCs w:val="18"/>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常州市同济中学</w:t>
            </w:r>
            <w:r/>
          </w:p>
        </w:tc>
        <w:tc>
          <w:tcPr>
            <w:tcW w:w="861" w:type="dxa"/>
            <w:vAlign w:val="center"/>
            <w:textDirection w:val="lrTb"/>
            <w:noWrap w:val="false"/>
          </w:tcPr>
          <w:p>
            <w:pPr>
              <w:jc w:val="center"/>
              <w:rPr>
                <w:rFonts w:hint="eastAsia" w:asciiTheme="minorEastAsia" w:hAnsiTheme="minorEastAsia" w:eastAsiaTheme="minorEastAsia" w:cstheme="minorEastAsia"/>
                <w:color w:val="auto"/>
                <w:sz w:val="18"/>
                <w:szCs w:val="18"/>
                <w:vertAlign w:val="baseline"/>
                <w:lang w:val="en-US" w:eastAsia="zh-CN"/>
              </w:rPr>
              <w:pBdr>
                <w:bottom w:val="none" w:color="auto" w:sz="0" w:space="0"/>
              </w:pBdr>
            </w:pPr>
            <w:r>
              <w:rPr>
                <w:rFonts w:hint="eastAsia" w:asciiTheme="minorEastAsia" w:hAnsiTheme="minorEastAsia" w:eastAsiaTheme="minorEastAsia" w:cstheme="minorEastAsia"/>
                <w:color w:val="auto"/>
                <w:sz w:val="18"/>
                <w:szCs w:val="18"/>
                <w:vertAlign w:val="baseline"/>
                <w:lang w:val="en-US" w:eastAsia="zh-CN"/>
              </w:rPr>
              <w:t xml:space="preserve">大华</w:t>
            </w:r>
            <w:r/>
          </w:p>
        </w:tc>
        <w:tc>
          <w:tcPr>
            <w:tcW w:w="4260" w:type="dxa"/>
            <w:vAlign w:val="center"/>
            <w:textDirection w:val="lrTb"/>
            <w:noWrap w:val="false"/>
          </w:tcPr>
          <w:p>
            <w:pPr>
              <w:pStyle w:val="810"/>
              <w:ind w:left="0" w:firstLine="0"/>
              <w:jc w:val="left"/>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i w:val="0"/>
                <w:strike w:val="0"/>
                <w:color w:val="auto"/>
                <w:spacing w:val="0"/>
                <w:sz w:val="18"/>
                <w:szCs w:val="18"/>
                <w:u w:val="none"/>
                <w:shd w:val="clear" w:color="auto" w:fill="ffffff"/>
              </w:rPr>
              <w:t xml:space="preserve">V4.004.00000000.0.R.1260841</w:t>
            </w:r>
            <w:r/>
          </w:p>
        </w:tc>
      </w:tr>
      <w:tr>
        <w:trPr>
          <w:jc w:val="center"/>
        </w:trPr>
        <w:tc>
          <w:tcPr>
            <w:tcW w:w="667" w:type="dxa"/>
            <w:vAlign w:val="center"/>
            <w:textDirection w:val="lrTb"/>
            <w:noWrap w:val="false"/>
          </w:tcPr>
          <w:p>
            <w:pPr>
              <w:pStyle w:val="810"/>
              <w:ind w:left="0" w:firstLine="0"/>
              <w:jc w:val="center"/>
              <w:rPr>
                <w:rFonts w:hint="eastAsia" w:asciiTheme="minorEastAsia" w:hAnsiTheme="minorEastAsia" w:eastAsiaTheme="minorEastAsia" w:cstheme="minorEastAsia"/>
                <w:b w:val="0"/>
                <w:bCs w:val="0"/>
                <w:color w:val="auto"/>
                <w:sz w:val="18"/>
                <w:szCs w:val="18"/>
                <w:vertAlign w:val="baseline"/>
                <w:lang w:val="en-US" w:eastAsia="zh-CN"/>
              </w:rPr>
            </w:pPr>
            <w:r>
              <w:rPr>
                <w:rFonts w:hint="eastAsia" w:asciiTheme="minorEastAsia" w:hAnsiTheme="minorEastAsia" w:eastAsiaTheme="minorEastAsia" w:cstheme="minorEastAsia"/>
                <w:b w:val="0"/>
                <w:bCs w:val="0"/>
                <w:color w:val="auto"/>
                <w:sz w:val="18"/>
                <w:szCs w:val="18"/>
                <w:vertAlign w:val="baseline"/>
                <w:lang w:val="en-US" w:eastAsia="zh-CN"/>
              </w:rPr>
              <w:t xml:space="preserve">27</w:t>
            </w:r>
            <w:r/>
          </w:p>
        </w:tc>
        <w:tc>
          <w:tcPr>
            <w:shd w:val="clear" w:color="auto" w:fill="auto"/>
            <w:tcW w:w="318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auto"/>
                <w:sz w:val="18"/>
                <w:szCs w:val="18"/>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常州西藏民族中学</w:t>
            </w:r>
            <w:r/>
          </w:p>
        </w:tc>
        <w:tc>
          <w:tcPr>
            <w:tcW w:w="861" w:type="dxa"/>
            <w:vAlign w:val="center"/>
            <w:textDirection w:val="lrTb"/>
            <w:noWrap w:val="false"/>
          </w:tcPr>
          <w:p>
            <w:pPr>
              <w:jc w:val="center"/>
              <w:rPr>
                <w:rFonts w:hint="eastAsia" w:asciiTheme="minorEastAsia" w:hAnsiTheme="minorEastAsia" w:eastAsiaTheme="minorEastAsia" w:cstheme="minorEastAsia"/>
                <w:color w:val="auto"/>
                <w:sz w:val="18"/>
                <w:szCs w:val="18"/>
                <w:vertAlign w:val="baseline"/>
                <w:lang w:val="en-US" w:eastAsia="zh-CN"/>
              </w:rPr>
              <w:pBdr>
                <w:bottom w:val="none" w:color="auto" w:sz="0" w:space="0"/>
              </w:pBdr>
            </w:pPr>
            <w:r>
              <w:rPr>
                <w:rFonts w:hint="eastAsia" w:asciiTheme="minorEastAsia" w:hAnsiTheme="minorEastAsia" w:eastAsiaTheme="minorEastAsia" w:cstheme="minorEastAsia"/>
                <w:color w:val="auto"/>
                <w:sz w:val="18"/>
                <w:szCs w:val="18"/>
                <w:vertAlign w:val="baseline"/>
                <w:lang w:val="en-US" w:eastAsia="zh-CN"/>
              </w:rPr>
              <w:t xml:space="preserve">海康</w:t>
            </w:r>
            <w:r/>
          </w:p>
          <w:p>
            <w:pPr>
              <w:jc w:val="center"/>
              <w:rPr>
                <w:rFonts w:hint="eastAsia" w:asciiTheme="minorEastAsia" w:hAnsiTheme="minorEastAsia" w:eastAsiaTheme="minorEastAsia" w:cstheme="minorEastAsia"/>
                <w:color w:val="auto"/>
                <w:sz w:val="18"/>
                <w:szCs w:val="18"/>
                <w:vertAlign w:val="baseline"/>
                <w:lang w:val="en-US" w:eastAsia="zh-CN"/>
              </w:rPr>
              <w:pBdr>
                <w:bottom w:val="none" w:color="auto" w:sz="0" w:space="0"/>
              </w:pBdr>
            </w:pPr>
            <w:r>
              <w:rPr>
                <w:rFonts w:hint="eastAsia" w:asciiTheme="minorEastAsia" w:hAnsiTheme="minorEastAsia" w:eastAsiaTheme="minorEastAsia" w:cstheme="minorEastAsia"/>
                <w:color w:val="auto"/>
                <w:sz w:val="18"/>
                <w:szCs w:val="18"/>
                <w:vertAlign w:val="baseline"/>
                <w:lang w:val="en-US" w:eastAsia="zh-CN"/>
              </w:rPr>
              <w:t xml:space="preserve">威视</w:t>
            </w:r>
            <w:r/>
          </w:p>
        </w:tc>
        <w:tc>
          <w:tcPr>
            <w:tcW w:w="4260" w:type="dxa"/>
            <w:vAlign w:val="center"/>
            <w:textDirection w:val="lrTb"/>
            <w:noWrap w:val="false"/>
          </w:tcPr>
          <w:p>
            <w:pPr>
              <w:jc w:val="left"/>
              <w:spacing w:line="240" w:lineRule="auto"/>
              <w:rPr>
                <w:rFonts w:hint="eastAsia" w:asciiTheme="minorEastAsia" w:hAnsiTheme="minorEastAsia" w:eastAsiaTheme="minorEastAsia" w:cstheme="minorEastAsia"/>
                <w:color w:val="auto"/>
                <w:sz w:val="18"/>
                <w:szCs w:val="18"/>
                <w:vertAlign w:val="baseline"/>
                <w:lang w:val="en-US" w:eastAsia="zh-CN"/>
              </w:rPr>
              <w:pBdr>
                <w:bottom w:val="none" w:color="auto" w:sz="0" w:space="0"/>
              </w:pBdr>
            </w:pPr>
            <w:r>
              <w:rPr>
                <w:rFonts w:hint="eastAsia" w:asciiTheme="minorEastAsia" w:hAnsiTheme="minorEastAsia" w:eastAsiaTheme="minorEastAsia" w:cstheme="minorEastAsia"/>
                <w:i w:val="0"/>
                <w:strike w:val="0"/>
                <w:color w:val="auto"/>
                <w:spacing w:val="0"/>
                <w:sz w:val="18"/>
                <w:szCs w:val="18"/>
                <w:u w:val="none"/>
              </w:rPr>
              <w:t xml:space="preserve">lite_V1.2_321111.build20160923</w:t>
            </w:r>
            <w:r/>
          </w:p>
        </w:tc>
      </w:tr>
      <w:tr>
        <w:trPr>
          <w:jc w:val="center"/>
        </w:trPr>
        <w:tc>
          <w:tcPr>
            <w:tcW w:w="667" w:type="dxa"/>
            <w:vAlign w:val="center"/>
            <w:textDirection w:val="lrTb"/>
            <w:noWrap w:val="false"/>
          </w:tcPr>
          <w:p>
            <w:pPr>
              <w:pStyle w:val="810"/>
              <w:ind w:left="0" w:firstLine="0"/>
              <w:jc w:val="center"/>
              <w:rPr>
                <w:rFonts w:hint="eastAsia" w:asciiTheme="minorEastAsia" w:hAnsiTheme="minorEastAsia" w:eastAsiaTheme="minorEastAsia" w:cstheme="minorEastAsia"/>
                <w:b w:val="0"/>
                <w:bCs w:val="0"/>
                <w:color w:val="auto"/>
                <w:sz w:val="18"/>
                <w:szCs w:val="18"/>
                <w:vertAlign w:val="baseline"/>
                <w:lang w:val="en-US" w:eastAsia="zh-CN"/>
              </w:rPr>
            </w:pPr>
            <w:r>
              <w:rPr>
                <w:rFonts w:hint="eastAsia" w:asciiTheme="minorEastAsia" w:hAnsiTheme="minorEastAsia" w:eastAsiaTheme="minorEastAsia" w:cstheme="minorEastAsia"/>
                <w:b w:val="0"/>
                <w:bCs w:val="0"/>
                <w:color w:val="auto"/>
                <w:sz w:val="18"/>
                <w:szCs w:val="18"/>
                <w:vertAlign w:val="baseline"/>
                <w:lang w:val="en-US" w:eastAsia="zh-CN"/>
              </w:rPr>
              <w:t xml:space="preserve">28</w:t>
            </w:r>
            <w:r/>
          </w:p>
        </w:tc>
        <w:tc>
          <w:tcPr>
            <w:shd w:val="clear" w:color="auto" w:fill="auto"/>
            <w:tcW w:w="318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auto"/>
                <w:sz w:val="18"/>
                <w:szCs w:val="18"/>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常州市青少年活动中心</w:t>
            </w:r>
            <w:r/>
          </w:p>
        </w:tc>
        <w:tc>
          <w:tcPr>
            <w:tcW w:w="861" w:type="dxa"/>
            <w:vAlign w:val="center"/>
            <w:textDirection w:val="lrTb"/>
            <w:noWrap w:val="false"/>
          </w:tcPr>
          <w:p>
            <w:pPr>
              <w:jc w:val="center"/>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color w:val="auto"/>
                <w:sz w:val="18"/>
                <w:szCs w:val="18"/>
                <w:vertAlign w:val="baseline"/>
                <w:lang w:val="en-US" w:eastAsia="zh-CN"/>
              </w:rPr>
              <w:t xml:space="preserve">海康</w:t>
            </w:r>
            <w:r/>
          </w:p>
          <w:p>
            <w:pPr>
              <w:jc w:val="center"/>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color w:val="auto"/>
                <w:sz w:val="18"/>
                <w:szCs w:val="18"/>
                <w:vertAlign w:val="baseline"/>
                <w:lang w:val="en-US" w:eastAsia="zh-CN"/>
              </w:rPr>
              <w:t xml:space="preserve">威视</w:t>
            </w:r>
            <w:r/>
          </w:p>
        </w:tc>
        <w:tc>
          <w:tcPr>
            <w:tcW w:w="4260" w:type="dxa"/>
            <w:vAlign w:val="center"/>
            <w:textDirection w:val="lrTb"/>
            <w:noWrap w:val="false"/>
          </w:tcPr>
          <w:p>
            <w:pPr>
              <w:jc w:val="left"/>
              <w:spacing w:line="240" w:lineRule="auto"/>
              <w:rPr>
                <w:rFonts w:hint="eastAsia" w:asciiTheme="minorEastAsia" w:hAnsiTheme="minorEastAsia" w:eastAsiaTheme="minorEastAsia" w:cstheme="minorEastAsia"/>
                <w:color w:val="auto"/>
                <w:sz w:val="18"/>
                <w:szCs w:val="18"/>
              </w:rPr>
            </w:pPr>
            <w:r>
              <w:rPr>
                <w:rFonts w:hint="eastAsia" w:asciiTheme="minorEastAsia" w:hAnsiTheme="minorEastAsia" w:eastAsiaTheme="minorEastAsia" w:cstheme="minorEastAsia"/>
                <w:i w:val="0"/>
                <w:strike w:val="0"/>
                <w:color w:val="auto"/>
                <w:spacing w:val="0"/>
                <w:sz w:val="18"/>
                <w:szCs w:val="18"/>
                <w:u w:val="none"/>
              </w:rPr>
              <w:t xml:space="preserve">iSecure Center</w:t>
            </w:r>
            <w:r/>
          </w:p>
          <w:p>
            <w:pPr>
              <w:jc w:val="left"/>
              <w:spacing w:line="240" w:lineRule="auto"/>
              <w:rPr>
                <w:rFonts w:hint="eastAsia" w:asciiTheme="minorEastAsia" w:hAnsiTheme="minorEastAsia" w:eastAsiaTheme="minorEastAsia" w:cstheme="minorEastAsia"/>
                <w:color w:val="auto"/>
                <w:sz w:val="18"/>
                <w:szCs w:val="18"/>
                <w:vertAlign w:val="baseline"/>
                <w:lang w:val="en-US" w:eastAsia="zh-CN"/>
              </w:rPr>
              <w:pBdr>
                <w:bottom w:val="none" w:color="auto" w:sz="0" w:space="0"/>
              </w:pBdr>
            </w:pPr>
            <w:r>
              <w:rPr>
                <w:rFonts w:hint="eastAsia" w:asciiTheme="minorEastAsia" w:hAnsiTheme="minorEastAsia" w:eastAsiaTheme="minorEastAsia" w:cstheme="minorEastAsia"/>
                <w:i w:val="0"/>
                <w:strike w:val="0"/>
                <w:color w:val="auto"/>
                <w:spacing w:val="0"/>
                <w:sz w:val="18"/>
                <w:szCs w:val="18"/>
                <w:u w:val="none"/>
              </w:rPr>
              <w:t xml:space="preserve">:V1.7.201_20230131</w:t>
            </w:r>
            <w:r/>
          </w:p>
        </w:tc>
      </w:tr>
      <w:tr>
        <w:trPr>
          <w:jc w:val="center"/>
        </w:trPr>
        <w:tc>
          <w:tcPr>
            <w:tcW w:w="667" w:type="dxa"/>
            <w:vAlign w:val="center"/>
            <w:textDirection w:val="lrTb"/>
            <w:noWrap w:val="false"/>
          </w:tcPr>
          <w:p>
            <w:pPr>
              <w:pStyle w:val="810"/>
              <w:ind w:left="0" w:firstLine="0"/>
              <w:jc w:val="center"/>
              <w:rPr>
                <w:rFonts w:hint="eastAsia" w:asciiTheme="minorEastAsia" w:hAnsiTheme="minorEastAsia" w:eastAsiaTheme="minorEastAsia" w:cstheme="minorEastAsia"/>
                <w:b w:val="0"/>
                <w:bCs w:val="0"/>
                <w:color w:val="auto"/>
                <w:sz w:val="18"/>
                <w:szCs w:val="18"/>
                <w:vertAlign w:val="baseline"/>
                <w:lang w:val="en-US" w:eastAsia="zh-CN"/>
              </w:rPr>
            </w:pPr>
            <w:r>
              <w:rPr>
                <w:rFonts w:hint="eastAsia" w:asciiTheme="minorEastAsia" w:hAnsiTheme="minorEastAsia" w:eastAsiaTheme="minorEastAsia" w:cstheme="minorEastAsia"/>
                <w:b w:val="0"/>
                <w:bCs w:val="0"/>
                <w:color w:val="auto"/>
                <w:sz w:val="18"/>
                <w:szCs w:val="18"/>
                <w:vertAlign w:val="baseline"/>
                <w:lang w:val="en-US" w:eastAsia="zh-CN"/>
              </w:rPr>
              <w:t xml:space="preserve">29</w:t>
            </w:r>
            <w:r/>
          </w:p>
        </w:tc>
        <w:tc>
          <w:tcPr>
            <w:shd w:val="clear" w:color="auto" w:fill="auto"/>
            <w:tcW w:w="318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auto"/>
                <w:sz w:val="18"/>
                <w:szCs w:val="18"/>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常州市北郊</w:t>
            </w:r>
            <w:r>
              <w:rPr>
                <w:rFonts w:hint="eastAsia" w:ascii="宋体" w:hAnsi="宋体" w:cs="宋体"/>
                <w:i w:val="0"/>
                <w:iCs w:val="0"/>
                <w:color w:val="auto"/>
                <w:sz w:val="21"/>
                <w:szCs w:val="21"/>
                <w:u w:val="none"/>
                <w:lang w:val="en-US" w:eastAsia="zh-CN" w:bidi="ar"/>
              </w:rPr>
              <w:t xml:space="preserve">初级中学</w:t>
            </w:r>
            <w:r/>
          </w:p>
        </w:tc>
        <w:tc>
          <w:tcPr>
            <w:tcW w:w="861" w:type="dxa"/>
            <w:vAlign w:val="center"/>
            <w:textDirection w:val="lrTb"/>
            <w:noWrap w:val="false"/>
          </w:tcPr>
          <w:p>
            <w:pPr>
              <w:jc w:val="center"/>
              <w:rPr>
                <w:rFonts w:hint="eastAsia" w:asciiTheme="minorEastAsia" w:hAnsiTheme="minorEastAsia" w:eastAsiaTheme="minorEastAsia" w:cstheme="minorEastAsia"/>
                <w:color w:val="auto"/>
                <w:sz w:val="18"/>
                <w:szCs w:val="18"/>
                <w:vertAlign w:val="baseline"/>
                <w:lang w:val="en-US" w:eastAsia="zh-CN"/>
              </w:rPr>
              <w:pBdr>
                <w:bottom w:val="none" w:color="auto" w:sz="0" w:space="0"/>
              </w:pBdr>
            </w:pPr>
            <w:r>
              <w:rPr>
                <w:rFonts w:hint="eastAsia" w:asciiTheme="minorEastAsia" w:hAnsiTheme="minorEastAsia" w:eastAsiaTheme="minorEastAsia" w:cstheme="minorEastAsia"/>
                <w:color w:val="auto"/>
                <w:sz w:val="18"/>
                <w:szCs w:val="18"/>
                <w:vertAlign w:val="baseline"/>
                <w:lang w:val="en-US" w:eastAsia="zh-CN"/>
              </w:rPr>
              <w:t xml:space="preserve">宇视</w:t>
            </w:r>
            <w:r/>
          </w:p>
        </w:tc>
        <w:tc>
          <w:tcPr>
            <w:tcW w:w="4260" w:type="dxa"/>
            <w:vAlign w:val="center"/>
            <w:textDirection w:val="lrTb"/>
            <w:noWrap w:val="false"/>
          </w:tcPr>
          <w:p>
            <w:pPr>
              <w:pStyle w:val="810"/>
              <w:ind w:left="0" w:firstLine="0"/>
              <w:jc w:val="left"/>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color w:val="auto"/>
                <w:sz w:val="18"/>
                <w:szCs w:val="18"/>
                <w:vertAlign w:val="baseline"/>
                <w:lang w:val="en-US" w:eastAsia="zh-CN"/>
              </w:rPr>
              <w:t xml:space="preserve">VMPS5.0-B3338.138.1.200518</w:t>
            </w:r>
            <w:r/>
          </w:p>
        </w:tc>
      </w:tr>
      <w:tr>
        <w:trPr>
          <w:jc w:val="center"/>
        </w:trPr>
        <w:tc>
          <w:tcPr>
            <w:tcW w:w="667" w:type="dxa"/>
            <w:vAlign w:val="center"/>
            <w:textDirection w:val="lrTb"/>
            <w:noWrap w:val="false"/>
          </w:tcPr>
          <w:p>
            <w:pPr>
              <w:pStyle w:val="810"/>
              <w:ind w:left="0" w:firstLine="0"/>
              <w:jc w:val="center"/>
              <w:rPr>
                <w:rFonts w:hint="eastAsia" w:asciiTheme="minorEastAsia" w:hAnsiTheme="minorEastAsia" w:eastAsiaTheme="minorEastAsia" w:cstheme="minorEastAsia"/>
                <w:b w:val="0"/>
                <w:bCs w:val="0"/>
                <w:color w:val="auto"/>
                <w:sz w:val="18"/>
                <w:szCs w:val="18"/>
                <w:vertAlign w:val="baseline"/>
                <w:lang w:val="en-US" w:eastAsia="zh-CN"/>
              </w:rPr>
            </w:pPr>
            <w:r>
              <w:rPr>
                <w:rFonts w:hint="eastAsia" w:asciiTheme="minorEastAsia" w:hAnsiTheme="minorEastAsia" w:eastAsiaTheme="minorEastAsia" w:cstheme="minorEastAsia"/>
                <w:b w:val="0"/>
                <w:bCs w:val="0"/>
                <w:color w:val="auto"/>
                <w:sz w:val="18"/>
                <w:szCs w:val="18"/>
                <w:vertAlign w:val="baseline"/>
                <w:lang w:val="en-US" w:eastAsia="zh-CN"/>
              </w:rPr>
              <w:t xml:space="preserve">30</w:t>
            </w:r>
            <w:r/>
          </w:p>
        </w:tc>
        <w:tc>
          <w:tcPr>
            <w:shd w:val="clear" w:color="auto" w:fill="auto"/>
            <w:tcW w:w="318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auto"/>
                <w:sz w:val="18"/>
                <w:szCs w:val="18"/>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常州市明德实验中学</w:t>
            </w:r>
            <w:r/>
          </w:p>
        </w:tc>
        <w:tc>
          <w:tcPr>
            <w:tcW w:w="861" w:type="dxa"/>
            <w:vAlign w:val="center"/>
            <w:textDirection w:val="lrTb"/>
            <w:noWrap w:val="false"/>
          </w:tcPr>
          <w:p>
            <w:pPr>
              <w:jc w:val="center"/>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color w:val="auto"/>
                <w:sz w:val="18"/>
                <w:szCs w:val="18"/>
                <w:vertAlign w:val="baseline"/>
                <w:lang w:val="en-US" w:eastAsia="zh-CN"/>
              </w:rPr>
              <w:t xml:space="preserve">大华</w:t>
            </w:r>
            <w:r/>
          </w:p>
        </w:tc>
        <w:tc>
          <w:tcPr>
            <w:tcW w:w="4260" w:type="dxa"/>
            <w:vAlign w:val="center"/>
            <w:textDirection w:val="lrTb"/>
            <w:noWrap w:val="false"/>
          </w:tcPr>
          <w:p>
            <w:pPr>
              <w:pStyle w:val="810"/>
              <w:ind w:left="0" w:firstLine="0"/>
              <w:jc w:val="left"/>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color w:val="auto"/>
                <w:sz w:val="18"/>
                <w:szCs w:val="18"/>
                <w:vertAlign w:val="baseline"/>
                <w:lang w:val="en-US" w:eastAsia="zh-CN"/>
              </w:rPr>
              <w:t xml:space="preserve">V3.11.004.R.20151223.430832</w:t>
            </w:r>
            <w:r/>
          </w:p>
        </w:tc>
      </w:tr>
      <w:tr>
        <w:trPr>
          <w:jc w:val="center"/>
        </w:trPr>
        <w:tc>
          <w:tcPr>
            <w:tcW w:w="667" w:type="dxa"/>
            <w:vAlign w:val="center"/>
            <w:textDirection w:val="lrTb"/>
            <w:noWrap w:val="false"/>
          </w:tcPr>
          <w:p>
            <w:pPr>
              <w:pStyle w:val="810"/>
              <w:ind w:left="0" w:firstLine="0"/>
              <w:jc w:val="center"/>
              <w:rPr>
                <w:rFonts w:hint="eastAsia" w:asciiTheme="minorEastAsia" w:hAnsiTheme="minorEastAsia" w:eastAsiaTheme="minorEastAsia" w:cstheme="minorEastAsia"/>
                <w:b w:val="0"/>
                <w:bCs w:val="0"/>
                <w:color w:val="auto"/>
                <w:sz w:val="18"/>
                <w:szCs w:val="18"/>
                <w:vertAlign w:val="baseline"/>
                <w:lang w:val="en-US" w:eastAsia="zh-CN"/>
              </w:rPr>
            </w:pPr>
            <w:r>
              <w:rPr>
                <w:rFonts w:hint="eastAsia" w:asciiTheme="minorEastAsia" w:hAnsiTheme="minorEastAsia" w:eastAsiaTheme="minorEastAsia" w:cstheme="minorEastAsia"/>
                <w:b w:val="0"/>
                <w:bCs w:val="0"/>
                <w:color w:val="auto"/>
                <w:sz w:val="18"/>
                <w:szCs w:val="18"/>
                <w:vertAlign w:val="baseline"/>
                <w:lang w:val="en-US" w:eastAsia="zh-CN"/>
              </w:rPr>
              <w:t xml:space="preserve">31</w:t>
            </w:r>
            <w:r/>
          </w:p>
        </w:tc>
        <w:tc>
          <w:tcPr>
            <w:shd w:val="clear" w:color="auto" w:fill="auto"/>
            <w:tcW w:w="318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auto"/>
                <w:sz w:val="18"/>
                <w:szCs w:val="18"/>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常州市朝阳中学</w:t>
            </w:r>
            <w:r/>
          </w:p>
        </w:tc>
        <w:tc>
          <w:tcPr>
            <w:tcW w:w="861" w:type="dxa"/>
            <w:vAlign w:val="center"/>
            <w:textDirection w:val="lrTb"/>
            <w:noWrap w:val="false"/>
          </w:tcPr>
          <w:p>
            <w:pPr>
              <w:jc w:val="center"/>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color w:val="auto"/>
                <w:sz w:val="18"/>
                <w:szCs w:val="18"/>
                <w:vertAlign w:val="baseline"/>
                <w:lang w:val="en-US" w:eastAsia="zh-CN"/>
              </w:rPr>
              <w:t xml:space="preserve">宇视</w:t>
            </w:r>
            <w:r/>
          </w:p>
        </w:tc>
        <w:tc>
          <w:tcPr>
            <w:tcW w:w="4260" w:type="dxa"/>
            <w:vAlign w:val="center"/>
            <w:textDirection w:val="lrTb"/>
            <w:noWrap w:val="false"/>
          </w:tcPr>
          <w:p>
            <w:pPr>
              <w:pStyle w:val="810"/>
              <w:ind w:left="0" w:firstLine="0"/>
              <w:jc w:val="left"/>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color w:val="auto"/>
                <w:sz w:val="18"/>
                <w:szCs w:val="18"/>
                <w:vertAlign w:val="baseline"/>
                <w:lang w:val="en-US" w:eastAsia="zh-CN"/>
              </w:rPr>
              <w:t xml:space="preserve">VMS-B230-A48</w:t>
            </w:r>
            <w:r/>
          </w:p>
        </w:tc>
      </w:tr>
      <w:tr>
        <w:trPr>
          <w:jc w:val="center"/>
        </w:trPr>
        <w:tc>
          <w:tcPr>
            <w:tcW w:w="667" w:type="dxa"/>
            <w:vAlign w:val="center"/>
            <w:textDirection w:val="lrTb"/>
            <w:noWrap w:val="false"/>
          </w:tcPr>
          <w:p>
            <w:pPr>
              <w:pStyle w:val="810"/>
              <w:ind w:left="0" w:firstLine="0"/>
              <w:jc w:val="center"/>
              <w:rPr>
                <w:rFonts w:hint="eastAsia" w:asciiTheme="minorEastAsia" w:hAnsiTheme="minorEastAsia" w:eastAsiaTheme="minorEastAsia" w:cstheme="minorEastAsia"/>
                <w:b w:val="0"/>
                <w:bCs w:val="0"/>
                <w:color w:val="auto"/>
                <w:sz w:val="18"/>
                <w:szCs w:val="18"/>
                <w:vertAlign w:val="baseline"/>
                <w:lang w:val="en-US" w:eastAsia="zh-CN"/>
              </w:rPr>
            </w:pPr>
            <w:r>
              <w:rPr>
                <w:rFonts w:hint="eastAsia" w:asciiTheme="minorEastAsia" w:hAnsiTheme="minorEastAsia" w:eastAsiaTheme="minorEastAsia" w:cstheme="minorEastAsia"/>
                <w:b w:val="0"/>
                <w:bCs w:val="0"/>
                <w:color w:val="auto"/>
                <w:sz w:val="18"/>
                <w:szCs w:val="18"/>
                <w:vertAlign w:val="baseline"/>
                <w:lang w:val="en-US" w:eastAsia="zh-CN"/>
              </w:rPr>
              <w:t xml:space="preserve">32</w:t>
            </w:r>
            <w:r/>
          </w:p>
        </w:tc>
        <w:tc>
          <w:tcPr>
            <w:shd w:val="clear" w:color="auto" w:fill="auto"/>
            <w:tcW w:w="318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auto"/>
                <w:sz w:val="18"/>
                <w:szCs w:val="18"/>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常州市第二十四中学</w:t>
            </w:r>
            <w:r/>
          </w:p>
        </w:tc>
        <w:tc>
          <w:tcPr>
            <w:tcW w:w="861" w:type="dxa"/>
            <w:vAlign w:val="center"/>
            <w:textDirection w:val="lrTb"/>
            <w:noWrap w:val="false"/>
          </w:tcPr>
          <w:p>
            <w:pPr>
              <w:pStyle w:val="810"/>
              <w:ind w:left="0" w:firstLine="0"/>
              <w:jc w:val="center"/>
              <w:rPr>
                <w:rFonts w:hint="eastAsia" w:asciiTheme="minorEastAsia" w:hAnsiTheme="minorEastAsia" w:eastAsiaTheme="minorEastAsia" w:cstheme="minorEastAsia"/>
                <w:color w:val="auto"/>
                <w:sz w:val="18"/>
                <w:szCs w:val="18"/>
                <w:vertAlign w:val="baseline"/>
                <w:lang w:val="en-US" w:eastAsia="zh-CN"/>
              </w:rPr>
              <w:pBdr>
                <w:bottom w:val="none" w:color="auto" w:sz="0" w:space="0"/>
              </w:pBdr>
            </w:pPr>
            <w:r>
              <w:rPr>
                <w:rFonts w:hint="eastAsia" w:asciiTheme="minorEastAsia" w:hAnsiTheme="minorEastAsia" w:eastAsiaTheme="minorEastAsia" w:cstheme="minorEastAsia"/>
                <w:color w:val="auto"/>
                <w:sz w:val="18"/>
                <w:szCs w:val="18"/>
                <w:vertAlign w:val="baseline"/>
                <w:lang w:val="en-US" w:eastAsia="zh-CN"/>
              </w:rPr>
              <w:t xml:space="preserve">大华</w:t>
            </w:r>
            <w:r/>
          </w:p>
        </w:tc>
        <w:tc>
          <w:tcPr>
            <w:tcW w:w="4260" w:type="dxa"/>
            <w:vAlign w:val="center"/>
            <w:textDirection w:val="lrTb"/>
            <w:noWrap w:val="false"/>
          </w:tcPr>
          <w:p>
            <w:pPr>
              <w:pStyle w:val="810"/>
              <w:ind w:left="0" w:firstLine="0"/>
              <w:jc w:val="left"/>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i w:val="0"/>
                <w:strike w:val="0"/>
                <w:color w:val="auto"/>
                <w:spacing w:val="0"/>
                <w:sz w:val="18"/>
                <w:szCs w:val="18"/>
                <w:u w:val="none"/>
              </w:rPr>
              <w:t xml:space="preserve">V3.10.005.R.20170920.781593</w:t>
            </w:r>
            <w:r/>
          </w:p>
        </w:tc>
      </w:tr>
      <w:tr>
        <w:trPr>
          <w:jc w:val="center"/>
        </w:trPr>
        <w:tc>
          <w:tcPr>
            <w:tcW w:w="667" w:type="dxa"/>
            <w:vAlign w:val="center"/>
            <w:textDirection w:val="lrTb"/>
            <w:noWrap w:val="false"/>
          </w:tcPr>
          <w:p>
            <w:pPr>
              <w:pStyle w:val="810"/>
              <w:ind w:left="0" w:firstLine="0"/>
              <w:jc w:val="center"/>
              <w:rPr>
                <w:rFonts w:hint="eastAsia" w:asciiTheme="minorEastAsia" w:hAnsiTheme="minorEastAsia" w:eastAsiaTheme="minorEastAsia" w:cstheme="minorEastAsia"/>
                <w:b w:val="0"/>
                <w:bCs w:val="0"/>
                <w:color w:val="auto"/>
                <w:sz w:val="18"/>
                <w:szCs w:val="18"/>
                <w:vertAlign w:val="baseline"/>
                <w:lang w:val="en-US" w:eastAsia="zh-CN"/>
              </w:rPr>
            </w:pPr>
            <w:r>
              <w:rPr>
                <w:rFonts w:hint="eastAsia" w:asciiTheme="minorEastAsia" w:hAnsiTheme="minorEastAsia" w:eastAsiaTheme="minorEastAsia" w:cstheme="minorEastAsia"/>
                <w:b w:val="0"/>
                <w:bCs w:val="0"/>
                <w:color w:val="auto"/>
                <w:sz w:val="18"/>
                <w:szCs w:val="18"/>
                <w:vertAlign w:val="baseline"/>
                <w:lang w:val="en-US" w:eastAsia="zh-CN"/>
              </w:rPr>
              <w:t xml:space="preserve">33</w:t>
            </w:r>
            <w:r/>
          </w:p>
        </w:tc>
        <w:tc>
          <w:tcPr>
            <w:shd w:val="clear" w:color="auto" w:fill="auto"/>
            <w:tcW w:w="318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auto"/>
                <w:sz w:val="18"/>
                <w:szCs w:val="18"/>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常州市花园中学</w:t>
            </w:r>
            <w:r/>
          </w:p>
        </w:tc>
        <w:tc>
          <w:tcPr>
            <w:tcW w:w="861" w:type="dxa"/>
            <w:vAlign w:val="center"/>
            <w:textDirection w:val="lrTb"/>
            <w:noWrap w:val="false"/>
          </w:tcPr>
          <w:p>
            <w:pPr>
              <w:jc w:val="center"/>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color w:val="auto"/>
                <w:sz w:val="18"/>
                <w:szCs w:val="18"/>
                <w:vertAlign w:val="baseline"/>
                <w:lang w:val="en-US" w:eastAsia="zh-CN"/>
              </w:rPr>
              <w:t xml:space="preserve">大华</w:t>
            </w:r>
            <w:r/>
          </w:p>
        </w:tc>
        <w:tc>
          <w:tcPr>
            <w:tcW w:w="4260" w:type="dxa"/>
            <w:vAlign w:val="center"/>
            <w:textDirection w:val="lrTb"/>
            <w:noWrap w:val="false"/>
          </w:tcPr>
          <w:p>
            <w:pPr>
              <w:pStyle w:val="810"/>
              <w:ind w:left="0" w:firstLine="0"/>
              <w:jc w:val="left"/>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i w:val="0"/>
                <w:strike w:val="0"/>
                <w:color w:val="auto"/>
                <w:spacing w:val="0"/>
                <w:sz w:val="18"/>
                <w:szCs w:val="18"/>
                <w:u w:val="none"/>
              </w:rPr>
              <w:t xml:space="preserve">v3.11.004.R.20151223.430832</w:t>
            </w:r>
            <w:r/>
          </w:p>
        </w:tc>
      </w:tr>
      <w:tr>
        <w:trPr>
          <w:jc w:val="center"/>
        </w:trPr>
        <w:tc>
          <w:tcPr>
            <w:tcW w:w="667" w:type="dxa"/>
            <w:vAlign w:val="center"/>
            <w:textDirection w:val="lrTb"/>
            <w:noWrap w:val="false"/>
          </w:tcPr>
          <w:p>
            <w:pPr>
              <w:pStyle w:val="810"/>
              <w:ind w:left="0" w:firstLine="0"/>
              <w:jc w:val="center"/>
              <w:rPr>
                <w:rFonts w:hint="eastAsia" w:asciiTheme="minorEastAsia" w:hAnsiTheme="minorEastAsia" w:eastAsiaTheme="minorEastAsia" w:cstheme="minorEastAsia"/>
                <w:b w:val="0"/>
                <w:bCs w:val="0"/>
                <w:color w:val="auto"/>
                <w:sz w:val="18"/>
                <w:szCs w:val="18"/>
                <w:vertAlign w:val="baseline"/>
                <w:lang w:val="en-US" w:eastAsia="zh-CN"/>
              </w:rPr>
            </w:pPr>
            <w:r>
              <w:rPr>
                <w:rFonts w:hint="eastAsia" w:asciiTheme="minorEastAsia" w:hAnsiTheme="minorEastAsia" w:eastAsiaTheme="minorEastAsia" w:cstheme="minorEastAsia"/>
                <w:b w:val="0"/>
                <w:bCs w:val="0"/>
                <w:color w:val="auto"/>
                <w:sz w:val="18"/>
                <w:szCs w:val="18"/>
                <w:vertAlign w:val="baseline"/>
                <w:lang w:val="en-US" w:eastAsia="zh-CN"/>
              </w:rPr>
              <w:t xml:space="preserve">34</w:t>
            </w:r>
            <w:r/>
          </w:p>
        </w:tc>
        <w:tc>
          <w:tcPr>
            <w:shd w:val="clear" w:color="auto" w:fill="auto"/>
            <w:tcW w:w="318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auto"/>
                <w:sz w:val="18"/>
                <w:szCs w:val="18"/>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常州市丽华中学</w:t>
            </w:r>
            <w:r/>
          </w:p>
        </w:tc>
        <w:tc>
          <w:tcPr>
            <w:tcW w:w="861" w:type="dxa"/>
            <w:vAlign w:val="center"/>
            <w:textDirection w:val="lrTb"/>
            <w:noWrap w:val="false"/>
          </w:tcPr>
          <w:p>
            <w:pPr>
              <w:jc w:val="center"/>
              <w:rPr>
                <w:rFonts w:hint="eastAsia" w:asciiTheme="minorEastAsia" w:hAnsiTheme="minorEastAsia" w:eastAsiaTheme="minorEastAsia" w:cstheme="minorEastAsia"/>
                <w:color w:val="auto"/>
                <w:sz w:val="18"/>
                <w:szCs w:val="18"/>
                <w:vertAlign w:val="baseline"/>
                <w:lang w:val="en-US" w:eastAsia="zh-CN"/>
              </w:rPr>
              <w:pBdr>
                <w:bottom w:val="none" w:color="auto" w:sz="0" w:space="0"/>
              </w:pBdr>
            </w:pPr>
            <w:r>
              <w:rPr>
                <w:rFonts w:hint="eastAsia" w:asciiTheme="minorEastAsia" w:hAnsiTheme="minorEastAsia" w:eastAsiaTheme="minorEastAsia" w:cstheme="minorEastAsia"/>
                <w:color w:val="auto"/>
                <w:sz w:val="18"/>
                <w:szCs w:val="18"/>
                <w:vertAlign w:val="baseline"/>
                <w:lang w:val="en-US" w:eastAsia="zh-CN"/>
              </w:rPr>
              <w:t xml:space="preserve">大华</w:t>
            </w:r>
            <w:r/>
          </w:p>
        </w:tc>
        <w:tc>
          <w:tcPr>
            <w:tcW w:w="4260" w:type="dxa"/>
            <w:vAlign w:val="center"/>
            <w:textDirection w:val="lrTb"/>
            <w:noWrap w:val="false"/>
          </w:tcPr>
          <w:p>
            <w:pPr>
              <w:pStyle w:val="810"/>
              <w:ind w:left="0" w:firstLine="0"/>
              <w:jc w:val="left"/>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i w:val="0"/>
                <w:strike w:val="0"/>
                <w:color w:val="auto"/>
                <w:spacing w:val="0"/>
                <w:sz w:val="18"/>
                <w:szCs w:val="18"/>
                <w:u w:val="none"/>
              </w:rPr>
              <w:t xml:space="preserve">v3.11.004.R.20151223.430832</w:t>
            </w:r>
            <w:r/>
          </w:p>
        </w:tc>
      </w:tr>
      <w:tr>
        <w:trPr>
          <w:jc w:val="center"/>
        </w:trPr>
        <w:tc>
          <w:tcPr>
            <w:tcW w:w="667" w:type="dxa"/>
            <w:vAlign w:val="center"/>
            <w:textDirection w:val="lrTb"/>
            <w:noWrap w:val="false"/>
          </w:tcPr>
          <w:p>
            <w:pPr>
              <w:pStyle w:val="810"/>
              <w:ind w:left="0" w:firstLine="0"/>
              <w:jc w:val="center"/>
              <w:rPr>
                <w:rFonts w:hint="eastAsia" w:asciiTheme="minorEastAsia" w:hAnsiTheme="minorEastAsia" w:eastAsiaTheme="minorEastAsia" w:cstheme="minorEastAsia"/>
                <w:b w:val="0"/>
                <w:bCs w:val="0"/>
                <w:color w:val="auto"/>
                <w:sz w:val="18"/>
                <w:szCs w:val="18"/>
                <w:vertAlign w:val="baseline"/>
                <w:lang w:val="en-US" w:eastAsia="zh-CN"/>
              </w:rPr>
            </w:pPr>
            <w:r>
              <w:rPr>
                <w:rFonts w:hint="eastAsia" w:asciiTheme="minorEastAsia" w:hAnsiTheme="minorEastAsia" w:eastAsiaTheme="minorEastAsia" w:cstheme="minorEastAsia"/>
                <w:b w:val="0"/>
                <w:bCs w:val="0"/>
                <w:color w:val="auto"/>
                <w:sz w:val="18"/>
                <w:szCs w:val="18"/>
                <w:vertAlign w:val="baseline"/>
                <w:lang w:val="en-US" w:eastAsia="zh-CN"/>
              </w:rPr>
              <w:t xml:space="preserve">35</w:t>
            </w:r>
            <w:r/>
          </w:p>
        </w:tc>
        <w:tc>
          <w:tcPr>
            <w:shd w:val="clear" w:color="auto" w:fill="auto"/>
            <w:tcW w:w="318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auto"/>
                <w:sz w:val="18"/>
                <w:szCs w:val="18"/>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常州市教科院附属初级中学</w:t>
            </w:r>
            <w:r/>
          </w:p>
        </w:tc>
        <w:tc>
          <w:tcPr>
            <w:tcW w:w="861" w:type="dxa"/>
            <w:vAlign w:val="center"/>
            <w:textDirection w:val="lrTb"/>
            <w:noWrap w:val="false"/>
          </w:tcPr>
          <w:p>
            <w:pPr>
              <w:jc w:val="center"/>
              <w:rPr>
                <w:rFonts w:hint="eastAsia" w:asciiTheme="minorEastAsia" w:hAnsiTheme="minorEastAsia" w:eastAsiaTheme="minorEastAsia" w:cstheme="minorEastAsia"/>
                <w:color w:val="auto"/>
                <w:sz w:val="18"/>
                <w:szCs w:val="18"/>
                <w:vertAlign w:val="baseline"/>
                <w:lang w:val="en-US" w:eastAsia="zh-CN"/>
              </w:rPr>
              <w:pBdr>
                <w:bottom w:val="none" w:color="auto" w:sz="0" w:space="0"/>
              </w:pBdr>
            </w:pPr>
            <w:r>
              <w:rPr>
                <w:rFonts w:hint="eastAsia" w:asciiTheme="minorEastAsia" w:hAnsiTheme="minorEastAsia" w:eastAsiaTheme="minorEastAsia" w:cstheme="minorEastAsia"/>
                <w:color w:val="auto"/>
                <w:sz w:val="18"/>
                <w:szCs w:val="18"/>
                <w:vertAlign w:val="baseline"/>
                <w:lang w:val="en-US" w:eastAsia="zh-CN"/>
              </w:rPr>
              <w:t xml:space="preserve">大华</w:t>
            </w:r>
            <w:r/>
          </w:p>
        </w:tc>
        <w:tc>
          <w:tcPr>
            <w:tcW w:w="4260" w:type="dxa"/>
            <w:vAlign w:val="center"/>
            <w:textDirection w:val="lrTb"/>
            <w:noWrap w:val="false"/>
          </w:tcPr>
          <w:p>
            <w:pPr>
              <w:pStyle w:val="810"/>
              <w:ind w:left="0" w:firstLine="0"/>
              <w:jc w:val="left"/>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i w:val="0"/>
                <w:strike w:val="0"/>
                <w:color w:val="auto"/>
                <w:spacing w:val="0"/>
                <w:sz w:val="18"/>
                <w:szCs w:val="18"/>
                <w:u w:val="none"/>
              </w:rPr>
              <w:t xml:space="preserve">v3.10.005.R.20170920.781593</w:t>
            </w:r>
            <w:r/>
          </w:p>
        </w:tc>
      </w:tr>
    </w:tbl>
    <w:p>
      <w:pPr>
        <w:pStyle w:val="810"/>
        <w:rPr>
          <w:rFonts w:hint="default" w:asciiTheme="minorEastAsia" w:hAnsiTheme="minorEastAsia" w:eastAsiaTheme="minorEastAsia" w:cstheme="minorEastAsia"/>
          <w:b/>
          <w:bCs/>
          <w:color w:val="ff0000"/>
          <w:sz w:val="24"/>
          <w:szCs w:val="24"/>
          <w:lang w:val="en-US" w:eastAsia="zh-CN"/>
        </w:rPr>
      </w:pPr>
      <w:r>
        <w:rPr>
          <w:rFonts w:hint="default" w:asciiTheme="minorEastAsia" w:hAnsiTheme="minorEastAsia" w:eastAsiaTheme="minorEastAsia" w:cstheme="minorEastAsia"/>
          <w:b/>
          <w:bCs/>
          <w:color w:val="ff0000"/>
          <w:sz w:val="24"/>
          <w:szCs w:val="24"/>
          <w:lang w:val="en-US" w:eastAsia="zh-CN"/>
        </w:rPr>
      </w:r>
      <w:r/>
    </w:p>
    <w:p>
      <w:pP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lang w:val="en-US" w:eastAsia="zh-CN"/>
        </w:rPr>
        <w:t xml:space="preserve">2.</w:t>
      </w:r>
      <w:r>
        <w:rPr>
          <w:rFonts w:hint="eastAsia" w:asciiTheme="minorEastAsia" w:hAnsiTheme="minorEastAsia" w:eastAsiaTheme="minorEastAsia" w:cstheme="minorEastAsia"/>
          <w:b/>
          <w:bCs/>
          <w:sz w:val="24"/>
          <w:szCs w:val="24"/>
        </w:rPr>
        <w:t xml:space="preserve">服务内容及要求/货物技术要求：</w:t>
      </w:r>
      <w:r/>
    </w:p>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下表所列技术参数中打“★”项为实质性技术参数，打“▲”参数为重要参数，其余为一般性技术参数。</w:t>
      </w:r>
      <w:r/>
    </w:p>
    <w:tbl>
      <w:tblPr>
        <w:tblStyle w:val="806"/>
        <w:tblW w:w="8733" w:type="dxa"/>
        <w:jc w:val="center"/>
        <w:tblLayout w:type="fixed"/>
        <w:tblCellMar>
          <w:left w:w="108" w:type="dxa"/>
          <w:top w:w="0" w:type="dxa"/>
          <w:right w:w="108" w:type="dxa"/>
          <w:bottom w:w="0" w:type="dxa"/>
        </w:tblCellMar>
        <w:tblLook w:val="04A0" w:firstRow="1" w:lastRow="0" w:firstColumn="1" w:lastColumn="0" w:noHBand="0" w:noVBand="1"/>
      </w:tblPr>
      <w:tblGrid>
        <w:gridCol w:w="648"/>
        <w:gridCol w:w="1559"/>
        <w:gridCol w:w="6526"/>
      </w:tblGrid>
      <w:tr>
        <w:trPr>
          <w:jc w:val="center"/>
          <w:tblHead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设备名称</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规格参数</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智能网关</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tcPr>
          <w:p>
            <w:pPr>
              <w:ind w:left="0"/>
              <w:jc w:val="left"/>
              <w:keepLines w:val="0"/>
              <w:keepNext w:val="0"/>
              <w:pageBreakBefore w:val="0"/>
              <w:spacing w:line="360" w:lineRule="exact"/>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一、硬件接口与电气性能</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1、通讯接口配置：标配至少 1路 RS485 接口（支持Modbus RTU协议），用于连接前端火焰探测器等串行设备。标配至少 1路 RJ45 以太网口（支持10/100Mbps自适应，支持TCP/IP、Modbus TCP等协议），用于接入局域网或上传数据至云平台。</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2、I/O信号处理能力：</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（1）数字量输入（DI）：支持不少于 8路无源干节点信号输入，支持状态实时采集（如开关量、报警触点）。</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（2）数字量输出（DO）：支持不少于 8路继电器或有源/无源干节点输出，单路负载能力不低于 2A/250VAC（或明确具体驱动能力），用于控制声光报警器、电源切断柜等。</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（3）模拟量输入（AI）：支持不少于 8路 模拟信号输入，支持 4-20mA 电流信号或 0-10V 电压信号采集（需明确支持的信号类型），分辨率不低于12位，用于监测温度、电压等连续量。</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3、电源适应性：支持宽电压直流输入：DC 9V ~ 24V，具备反接保护及过压保护功能，适应现场复杂的供电环境。</w:t>
            </w:r>
            <w:r/>
          </w:p>
          <w:p>
            <w:pPr>
              <w:ind w:left="0"/>
              <w:jc w:val="left"/>
              <w:keepLines w:val="0"/>
              <w:keepNext w:val="0"/>
              <w:pageBreakBefore w:val="0"/>
              <w:spacing w:line="360" w:lineRule="exact"/>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二、电磁兼容性（EMC）与安规</w:t>
            </w:r>
            <w:r/>
          </w:p>
          <w:p>
            <w:pPr>
              <w:ind w:left="0"/>
              <w:jc w:val="left"/>
              <w:keepLines w:val="0"/>
              <w:keepNext w:val="0"/>
              <w:pageBreakBefore w:val="0"/>
              <w:spacing w:line="360" w:lineRule="exact"/>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val="0"/>
                <w:bCs w:val="0"/>
                <w:color w:val="auto"/>
                <w:sz w:val="21"/>
                <w:szCs w:val="21"/>
                <w:highlight w:val="none"/>
              </w:rPr>
              <w:t xml:space="preserve">▲</w:t>
            </w:r>
            <w:r>
              <w:rPr>
                <w:rFonts w:hint="eastAsia" w:ascii="宋体" w:hAnsi="宋体" w:eastAsia="宋体" w:cs="宋体"/>
                <w:i w:val="0"/>
                <w:iCs w:val="0"/>
                <w:color w:val="auto"/>
                <w:sz w:val="21"/>
                <w:szCs w:val="21"/>
                <w:highlight w:val="none"/>
                <w:u w:val="none"/>
                <w:lang w:val="en-US" w:eastAsia="zh-CN" w:bidi="ar"/>
              </w:rPr>
              <w:t xml:space="preserve">4、传导骚扰限值：设备的传导骚扰电压发射值须满足 GB/T 9254.1-2021《信息技术设备、多媒体设备和接收机 电磁兼容 第1部分：发射要求》中 B级（工业/科学/医疗环境或居住区均可适用的高标准）设备的限值要求。</w:t>
            </w:r>
            <w:r>
              <w:rPr>
                <w:rFonts w:hint="eastAsia" w:ascii="宋体" w:hAnsi="宋体" w:eastAsia="宋体" w:cs="宋体"/>
                <w:b/>
                <w:bCs/>
                <w:i w:val="0"/>
                <w:iCs w:val="0"/>
                <w:color w:val="auto"/>
                <w:sz w:val="21"/>
                <w:szCs w:val="21"/>
                <w:highlight w:val="none"/>
                <w:u w:val="none"/>
                <w:lang w:val="en-US" w:eastAsia="zh-CN" w:bidi="ar"/>
              </w:rPr>
              <w:t xml:space="preserve">证明材料：须提供具备CMA资质的第三方检测报告扫描件，报告中须包含传导骚扰测试数据及合格结论。</w:t>
            </w:r>
            <w:r/>
          </w:p>
          <w:p>
            <w:pPr>
              <w:ind w:left="0"/>
              <w:jc w:val="left"/>
              <w:keepLines w:val="0"/>
              <w:keepNext w:val="0"/>
              <w:pageBreakBefore w:val="0"/>
              <w:spacing w:line="360" w:lineRule="exact"/>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三、核心功能与软件</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5、综合管理与联动控制功能：网关须内置嵌入式操作系统或专用固件，支持通过标准API接口（如HTTP/MQTT/Socket）或本地配置工具实现以下功能，且运行稳定可靠：</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（1）网络配置：支持远程或本地配置IP地址、子网掩码、网关、DNS及无线通讯参数。</w:t>
            </w:r>
            <w:r/>
          </w:p>
          <w:p>
            <w:pPr>
              <w:ind w:left="0"/>
              <w:jc w:val="left"/>
              <w:keepLines w:val="0"/>
              <w:keepNext w:val="0"/>
              <w:pageBreakBefore w:val="0"/>
              <w:spacing w:line="360" w:lineRule="exact"/>
              <w:widowControl/>
              <w:rPr>
                <w:rFonts w:hint="eastAsia" w:ascii="宋体" w:hAnsi="宋体" w:eastAsia="宋体" w:cs="宋体"/>
                <w:b/>
                <w:bCs/>
                <w:i w:val="0"/>
                <w:iCs w:val="0"/>
                <w:color w:val="ff0000"/>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★（2）I/O状态监控与控制:支持通过接口获取数字信号输入状态及数字信号输出状态。</w:t>
            </w:r>
            <w:r>
              <w:rPr>
                <w:rFonts w:hint="eastAsia" w:ascii="宋体" w:hAnsi="宋体" w:eastAsia="宋体" w:cs="宋体"/>
                <w:b/>
                <w:bCs/>
                <w:i w:val="0"/>
                <w:iCs w:val="0"/>
                <w:color w:val="ff0000"/>
                <w:sz w:val="21"/>
                <w:szCs w:val="21"/>
                <w:highlight w:val="none"/>
                <w:u w:val="none"/>
                <w:lang w:val="en-US" w:eastAsia="zh-CN" w:bidi="ar"/>
              </w:rPr>
              <w:t xml:space="preserve">提供</w:t>
            </w:r>
            <w:r>
              <w:rPr>
                <w:rFonts w:hint="eastAsia" w:ascii="宋体" w:hAnsi="宋体" w:cs="宋体"/>
                <w:b/>
                <w:bCs/>
                <w:i w:val="0"/>
                <w:iCs w:val="0"/>
                <w:color w:val="ff0000"/>
                <w:sz w:val="21"/>
                <w:szCs w:val="21"/>
                <w:highlight w:val="none"/>
                <w:u w:val="none"/>
                <w:lang w:val="en-US" w:eastAsia="zh-CN" w:bidi="ar"/>
              </w:rPr>
              <w:t xml:space="preserve">原厂技术白皮书+真实性</w:t>
            </w:r>
            <w:r>
              <w:rPr>
                <w:rFonts w:hint="eastAsia" w:ascii="宋体" w:hAnsi="宋体" w:eastAsia="宋体" w:cs="宋体"/>
                <w:b/>
                <w:bCs/>
                <w:i w:val="0"/>
                <w:iCs w:val="0"/>
                <w:color w:val="ff0000"/>
                <w:sz w:val="21"/>
                <w:szCs w:val="21"/>
                <w:highlight w:val="none"/>
                <w:u w:val="none"/>
                <w:lang w:val="en-US" w:eastAsia="zh-CN" w:bidi="ar"/>
              </w:rPr>
              <w:t xml:space="preserve">承诺函。</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（3）支持通过接口远程 设置/翻转 DO输出状态，响应延迟应小于500ms。</w:t>
            </w:r>
            <w:r/>
          </w:p>
          <w:p>
            <w:pPr>
              <w:ind w:left="0"/>
              <w:jc w:val="left"/>
              <w:keepLines w:val="0"/>
              <w:keepNext w:val="0"/>
              <w:pageBreakBefore w:val="0"/>
              <w:spacing w:line="360" w:lineRule="exact"/>
              <w:widowControl/>
              <w:rPr>
                <w:rFonts w:hint="eastAsia" w:ascii="宋体" w:hAnsi="宋体" w:eastAsia="宋体" w:cs="宋体"/>
                <w:b/>
                <w:bCs/>
                <w:i w:val="0"/>
                <w:iCs w:val="0"/>
                <w:color w:val="ff0000"/>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★（4）专用设备深度集成:支持通过网关（RS485/以太网协议）直接读取和配置专用火焰探测器的关键参数，包括但不限于：设备重启、报警恢复时间、报警复位标志、UV实时数值，UV报警阈值等。</w:t>
            </w:r>
            <w:r>
              <w:rPr>
                <w:rFonts w:hint="eastAsia" w:ascii="宋体" w:hAnsi="宋体" w:eastAsia="宋体" w:cs="宋体"/>
                <w:b/>
                <w:bCs/>
                <w:i w:val="0"/>
                <w:iCs w:val="0"/>
                <w:color w:val="ff0000"/>
                <w:sz w:val="21"/>
                <w:szCs w:val="21"/>
                <w:highlight w:val="none"/>
                <w:u w:val="none"/>
                <w:lang w:val="en-US" w:eastAsia="zh-CN" w:bidi="ar"/>
              </w:rPr>
              <w:t xml:space="preserve">提供</w:t>
            </w:r>
            <w:r>
              <w:rPr>
                <w:rFonts w:hint="eastAsia" w:ascii="宋体" w:hAnsi="宋体" w:cs="宋体"/>
                <w:b/>
                <w:bCs/>
                <w:i w:val="0"/>
                <w:iCs w:val="0"/>
                <w:color w:val="ff0000"/>
                <w:sz w:val="21"/>
                <w:szCs w:val="21"/>
                <w:highlight w:val="none"/>
                <w:u w:val="none"/>
                <w:lang w:val="en-US" w:eastAsia="zh-CN" w:bidi="ar"/>
              </w:rPr>
              <w:t xml:space="preserve">原厂技术白皮书+真实性</w:t>
            </w:r>
            <w:r>
              <w:rPr>
                <w:rFonts w:hint="eastAsia" w:ascii="宋体" w:hAnsi="宋体" w:eastAsia="宋体" w:cs="宋体"/>
                <w:b/>
                <w:bCs/>
                <w:i w:val="0"/>
                <w:iCs w:val="0"/>
                <w:color w:val="ff0000"/>
                <w:sz w:val="21"/>
                <w:szCs w:val="21"/>
                <w:highlight w:val="none"/>
                <w:u w:val="none"/>
                <w:lang w:val="en-US" w:eastAsia="zh-CN" w:bidi="ar"/>
              </w:rPr>
              <w:t xml:space="preserve">承诺函。</w:t>
            </w:r>
            <w:r/>
          </w:p>
          <w:p>
            <w:pPr>
              <w:jc w:val="left"/>
              <w:keepLines w:val="0"/>
              <w:keepNext w:val="0"/>
              <w:pageBreakBefore w:val="0"/>
              <w:spacing w:line="360" w:lineRule="exact"/>
              <w:rPr>
                <w:rFonts w:hint="eastAsia" w:ascii="宋体" w:hAnsi="宋体" w:eastAsia="宋体" w:cs="宋体"/>
                <w:color w:val="auto"/>
                <w:sz w:val="21"/>
                <w:szCs w:val="21"/>
              </w:rPr>
            </w:pP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宋体"/>
                <w:i w:val="0"/>
                <w:iCs w:val="0"/>
                <w:color w:val="auto"/>
                <w:sz w:val="21"/>
                <w:szCs w:val="21"/>
                <w:highlight w:val="none"/>
                <w:u w:val="none"/>
                <w:lang w:val="en-US" w:eastAsia="zh-CN" w:bidi="ar"/>
              </w:rPr>
              <w:t xml:space="preserve">（5）消防与电源控制联动执行：支持预设联动逻辑或接收上位机指令，通过 控制DO输出状态 直接驱动“电源切断控制柜”，实现高危区域电源的</w:t>
            </w:r>
            <w:r>
              <w:rPr>
                <w:rFonts w:hint="eastAsia" w:ascii="宋体" w:hAnsi="宋体" w:cs="宋体"/>
                <w:i w:val="0"/>
                <w:iCs w:val="0"/>
                <w:color w:val="auto"/>
                <w:sz w:val="21"/>
                <w:szCs w:val="21"/>
                <w:highlight w:val="none"/>
                <w:u w:val="none"/>
                <w:lang w:val="en-US" w:eastAsia="zh-CN" w:bidi="ar"/>
              </w:rPr>
              <w:t xml:space="preserve">快速</w:t>
            </w:r>
            <w:r>
              <w:rPr>
                <w:rFonts w:hint="eastAsia" w:ascii="宋体" w:hAnsi="宋体" w:eastAsia="宋体" w:cs="宋体"/>
                <w:i w:val="0"/>
                <w:iCs w:val="0"/>
                <w:color w:val="auto"/>
                <w:sz w:val="21"/>
                <w:szCs w:val="21"/>
                <w:highlight w:val="none"/>
                <w:u w:val="none"/>
                <w:lang w:val="en-US" w:eastAsia="zh-CN" w:bidi="ar"/>
              </w:rPr>
              <w:t xml:space="preserve">切断。</w:t>
            </w:r>
            <w:r>
              <w:rPr>
                <w:rFonts w:hint="eastAsia" w:ascii="宋体" w:hAnsi="宋体" w:eastAsia="宋体" w:cs="宋体"/>
                <w:b/>
                <w:bCs/>
                <w:i w:val="0"/>
                <w:iCs w:val="0"/>
                <w:color w:val="auto"/>
                <w:sz w:val="21"/>
                <w:szCs w:val="21"/>
                <w:highlight w:val="none"/>
                <w:u w:val="none"/>
                <w:lang w:val="en-US" w:eastAsia="zh-CN" w:bidi="ar"/>
              </w:rPr>
              <w:t xml:space="preserve">提供承诺函。</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多波段紫红外火焰探测器</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tcPr>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火灾检测消防联动紫外火焰报警器 </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一、核心探测性能</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1、探测原理：采用三波段红紫外复合探测技术（UV/</w:t>
            </w:r>
            <w:r>
              <w:rPr>
                <w:rFonts w:hint="eastAsia" w:ascii="宋体" w:hAnsi="宋体" w:eastAsia="宋体" w:cs="宋体"/>
                <w:i w:val="0"/>
                <w:iCs w:val="0"/>
                <w:color w:val="ff0000"/>
                <w:sz w:val="21"/>
                <w:szCs w:val="21"/>
                <w:highlight w:val="none"/>
                <w:u w:val="none"/>
                <w:lang w:val="en-US" w:eastAsia="zh-CN" w:bidi="ar"/>
              </w:rPr>
              <w:t xml:space="preserve">IR2</w:t>
            </w:r>
            <w:r>
              <w:rPr>
                <w:rFonts w:hint="eastAsia" w:ascii="宋体" w:hAnsi="宋体" w:eastAsia="宋体" w:cs="宋体"/>
                <w:i w:val="0"/>
                <w:iCs w:val="0"/>
                <w:color w:val="auto"/>
                <w:sz w:val="21"/>
                <w:szCs w:val="21"/>
                <w:highlight w:val="none"/>
                <w:u w:val="none"/>
                <w:lang w:val="en-US" w:eastAsia="zh-CN" w:bidi="ar"/>
              </w:rPr>
              <w:t xml:space="preserve">），能够同时检测紫外线及多个红外波段信号，有效识别真实火焰特征，具备极强的抗干扰能力（抗阳光、焊接弧光、热辐射等）。</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2、探测视角与灵敏度：探测视角：水平视角不低于 120°；火焰灵敏度：符合国家标准 I级 灵敏度要求（或提供具体响应时间指标，如：对标准火源响应时间≤5秒）。</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3、报警指示：设备本体须集成高亮声光报警器，报警时现场同步发出声光警示信号。</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4、工作温度：适应宽温环境，工作温度范围为 -10℃ ~ +55℃（建议根据实际户外需求扩展至 -40℃~+70℃，若原需求确认为-10~55℃则保留）。</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5、联动响应速度：从探测到火焰信号至输出消防联动开关量信号的总响应时间 ≤1秒。</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二、智能配置与通讯接口</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val="0"/>
                <w:bCs w:val="0"/>
                <w:color w:val="auto"/>
                <w:sz w:val="21"/>
                <w:szCs w:val="21"/>
                <w:highlight w:val="none"/>
              </w:rPr>
              <w:t xml:space="preserve">▲</w:t>
            </w:r>
            <w:r>
              <w:rPr>
                <w:rFonts w:hint="eastAsia" w:ascii="宋体" w:hAnsi="宋体" w:eastAsia="宋体" w:cs="宋体"/>
                <w:i w:val="0"/>
                <w:iCs w:val="0"/>
                <w:color w:val="auto"/>
                <w:sz w:val="21"/>
                <w:szCs w:val="21"/>
                <w:highlight w:val="none"/>
                <w:u w:val="none"/>
                <w:lang w:val="en-US" w:eastAsia="zh-CN" w:bidi="ar"/>
              </w:rPr>
              <w:t xml:space="preserve">6、多级灵敏度调节：具备设置火焰检测灵敏度，至少包含四个档位：关闭、低灵敏度、中灵敏度、高灵敏度，以适应不同复杂环境。</w:t>
            </w:r>
            <w:r>
              <w:rPr>
                <w:rFonts w:hint="eastAsia" w:ascii="宋体" w:hAnsi="宋体" w:eastAsia="宋体" w:cs="宋体"/>
                <w:b/>
                <w:bCs/>
                <w:i w:val="0"/>
                <w:iCs w:val="0"/>
                <w:color w:val="ff0000"/>
                <w:sz w:val="21"/>
                <w:szCs w:val="21"/>
                <w:highlight w:val="none"/>
                <w:u w:val="none"/>
                <w:lang w:val="en-US" w:eastAsia="zh-CN" w:bidi="ar"/>
              </w:rPr>
              <w:t xml:space="preserve">提供</w:t>
            </w:r>
            <w:r>
              <w:rPr>
                <w:rFonts w:hint="eastAsia" w:ascii="宋体" w:hAnsi="宋体" w:cs="宋体"/>
                <w:b/>
                <w:bCs/>
                <w:i w:val="0"/>
                <w:iCs w:val="0"/>
                <w:color w:val="ff0000"/>
                <w:sz w:val="21"/>
                <w:szCs w:val="21"/>
                <w:highlight w:val="none"/>
                <w:u w:val="none"/>
                <w:lang w:val="en-US" w:eastAsia="zh-CN" w:bidi="ar"/>
              </w:rPr>
              <w:t xml:space="preserve">原厂技术白皮书+真实性</w:t>
            </w:r>
            <w:r>
              <w:rPr>
                <w:rFonts w:hint="eastAsia" w:ascii="宋体" w:hAnsi="宋体" w:eastAsia="宋体" w:cs="宋体"/>
                <w:b/>
                <w:bCs/>
                <w:i w:val="0"/>
                <w:iCs w:val="0"/>
                <w:color w:val="ff0000"/>
                <w:sz w:val="21"/>
                <w:szCs w:val="21"/>
                <w:highlight w:val="none"/>
                <w:u w:val="none"/>
                <w:lang w:val="en-US" w:eastAsia="zh-CN" w:bidi="ar"/>
              </w:rPr>
              <w:t xml:space="preserve">承诺函。</w:t>
            </w:r>
            <w:r/>
          </w:p>
          <w:p>
            <w:pPr>
              <w:ind w:left="0"/>
              <w:jc w:val="left"/>
              <w:keepLines w:val="0"/>
              <w:keepNext w:val="0"/>
              <w:pageBreakBefore w:val="0"/>
              <w:spacing w:line="360" w:lineRule="exact"/>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★7、</w:t>
            </w:r>
            <w:r>
              <w:rPr>
                <w:rFonts w:hint="eastAsia" w:ascii="宋体" w:hAnsi="宋体" w:eastAsia="宋体" w:cs="宋体"/>
                <w:i w:val="0"/>
                <w:iCs w:val="0"/>
                <w:color w:val="auto"/>
                <w:sz w:val="21"/>
                <w:szCs w:val="21"/>
                <w:highlight w:val="none"/>
                <w:u w:val="none"/>
                <w:lang w:val="en-US" w:eastAsia="zh-CN" w:bidi="ar"/>
              </w:rPr>
              <w:t xml:space="preserve">数字化管理与控制接口：</w:t>
            </w:r>
            <w:r>
              <w:rPr>
                <w:rFonts w:hint="eastAsia" w:ascii="宋体" w:hAnsi="宋体" w:eastAsia="宋体" w:cs="宋体"/>
                <w:color w:val="auto"/>
                <w:sz w:val="21"/>
                <w:szCs w:val="21"/>
                <w:lang w:val="en-US" w:eastAsia="zh-CN"/>
              </w:rPr>
              <w:t xml:space="preserve">设备需标配标准通讯接口(如RS485/Modbus或以太网)，支持以下功能</w:t>
            </w:r>
            <w:r>
              <w:rPr>
                <w:rFonts w:hint="eastAsia" w:ascii="宋体" w:hAnsi="宋体" w:eastAsia="宋体" w:cs="宋体"/>
                <w:b/>
                <w:bCs/>
                <w:color w:val="auto"/>
                <w:sz w:val="21"/>
                <w:szCs w:val="21"/>
                <w:lang w:val="en-US" w:eastAsia="zh-CN"/>
              </w:rPr>
              <w:t xml:space="preserve">（证明材料：</w:t>
            </w:r>
            <w:r>
              <w:rPr>
                <w:rFonts w:hint="eastAsia" w:ascii="宋体" w:hAnsi="宋体" w:eastAsia="宋体" w:cs="宋体"/>
                <w:b/>
                <w:bCs/>
                <w:i w:val="0"/>
                <w:iCs w:val="0"/>
                <w:color w:val="ff0000"/>
                <w:sz w:val="21"/>
                <w:szCs w:val="21"/>
                <w:highlight w:val="none"/>
                <w:u w:val="none"/>
                <w:lang w:val="en-US" w:eastAsia="zh-CN" w:bidi="ar"/>
              </w:rPr>
              <w:t xml:space="preserve">提供</w:t>
            </w:r>
            <w:r>
              <w:rPr>
                <w:rFonts w:hint="eastAsia" w:ascii="宋体" w:hAnsi="宋体" w:cs="宋体"/>
                <w:b/>
                <w:bCs/>
                <w:i w:val="0"/>
                <w:iCs w:val="0"/>
                <w:color w:val="ff0000"/>
                <w:sz w:val="21"/>
                <w:szCs w:val="21"/>
                <w:highlight w:val="none"/>
                <w:u w:val="none"/>
                <w:lang w:val="en-US" w:eastAsia="zh-CN" w:bidi="ar"/>
              </w:rPr>
              <w:t xml:space="preserve">原厂技术白皮书+真实性</w:t>
            </w:r>
            <w:r>
              <w:rPr>
                <w:rFonts w:hint="eastAsia" w:ascii="宋体" w:hAnsi="宋体" w:eastAsia="宋体" w:cs="宋体"/>
                <w:b/>
                <w:bCs/>
                <w:i w:val="0"/>
                <w:iCs w:val="0"/>
                <w:color w:val="ff0000"/>
                <w:sz w:val="21"/>
                <w:szCs w:val="21"/>
                <w:highlight w:val="none"/>
                <w:u w:val="none"/>
                <w:lang w:val="en-US" w:eastAsia="zh-CN" w:bidi="ar"/>
              </w:rPr>
              <w:t xml:space="preserve">承诺函。</w:t>
            </w:r>
            <w:r>
              <w:rPr>
                <w:rFonts w:hint="eastAsia" w:ascii="宋体" w:hAnsi="宋体" w:eastAsia="宋体" w:cs="宋体"/>
                <w:b/>
                <w:bCs/>
                <w:color w:val="auto"/>
                <w:sz w:val="21"/>
                <w:szCs w:val="21"/>
                <w:lang w:val="en-US" w:eastAsia="zh-CN"/>
              </w:rPr>
              <w:t xml:space="preserve">）</w:t>
            </w:r>
            <w:r>
              <w:rPr>
                <w:rFonts w:hint="eastAsia" w:ascii="宋体" w:hAnsi="宋体" w:eastAsia="宋体" w:cs="宋体"/>
                <w:color w:val="auto"/>
                <w:sz w:val="21"/>
                <w:szCs w:val="21"/>
                <w:lang w:val="en-US" w:eastAsia="zh-CN"/>
              </w:rPr>
              <w:t xml:space="preserve">：</w:t>
            </w:r>
            <w:r/>
          </w:p>
          <w:p>
            <w:pPr>
              <w:numPr>
                <w:ilvl w:val="0"/>
                <w:numId w:val="0"/>
              </w:numPr>
              <w:jc w:val="left"/>
              <w:keepLines w:val="0"/>
              <w:keepNext w:val="0"/>
              <w:pageBreakBefore w:val="0"/>
              <w:spacing w:line="360" w:lineRule="exact"/>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（1）设备重启:支持通过接口下发指令重启指定设备。</w:t>
            </w:r>
            <w:r/>
          </w:p>
          <w:p>
            <w:pPr>
              <w:pStyle w:val="810"/>
              <w:numPr>
                <w:ilvl w:val="0"/>
                <w:numId w:val="0"/>
              </w:numPr>
              <w:keepLines w:val="0"/>
              <w:keepNext w:val="0"/>
              <w:pageBreakBefore w:val="0"/>
              <w:spacing w:line="36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（2）数据读取:支持获取设备检测到的UV(紫外线)值。</w:t>
            </w:r>
            <w:r/>
          </w:p>
          <w:p>
            <w:pPr>
              <w:pStyle w:val="810"/>
              <w:numPr>
                <w:ilvl w:val="0"/>
                <w:numId w:val="0"/>
              </w:numPr>
              <w:keepLines w:val="0"/>
              <w:keepNext w:val="0"/>
              <w:pageBreakBefore w:val="0"/>
              <w:spacing w:line="36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（3）阈值设定:支持通过接口设置设备报警的UV阈值。</w:t>
            </w:r>
            <w:r/>
          </w:p>
          <w:p>
            <w:pPr>
              <w:pStyle w:val="810"/>
              <w:numPr>
                <w:ilvl w:val="0"/>
                <w:numId w:val="0"/>
              </w:numPr>
              <w:keepLines w:val="0"/>
              <w:keepNext w:val="0"/>
              <w:pageBreakBefore w:val="0"/>
              <w:spacing w:line="36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（4）报警设置：支持通过接口让设备主动声光报警。</w:t>
            </w:r>
            <w:r/>
          </w:p>
          <w:p>
            <w:pPr>
              <w:ind w:left="0"/>
              <w:jc w:val="left"/>
              <w:keepLines w:val="0"/>
              <w:keepNext w:val="0"/>
              <w:pageBreakBefore w:val="0"/>
              <w:spacing w:line="360" w:lineRule="exact"/>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val="0"/>
                <w:bCs w:val="0"/>
                <w:color w:val="auto"/>
                <w:sz w:val="21"/>
                <w:szCs w:val="21"/>
                <w:highlight w:val="none"/>
              </w:rPr>
              <w:t xml:space="preserve">▲</w:t>
            </w:r>
            <w:r>
              <w:rPr>
                <w:rFonts w:hint="eastAsia" w:ascii="宋体" w:hAnsi="宋体" w:eastAsia="宋体" w:cs="宋体"/>
                <w:i w:val="0"/>
                <w:iCs w:val="0"/>
                <w:color w:val="auto"/>
                <w:sz w:val="21"/>
                <w:szCs w:val="21"/>
                <w:highlight w:val="none"/>
                <w:u w:val="none"/>
                <w:lang w:val="en-US" w:eastAsia="zh-CN" w:bidi="ar"/>
              </w:rPr>
              <w:t xml:space="preserve">8、防护等级：外壳防护等级不低于 IP66。</w:t>
            </w:r>
            <w:r>
              <w:rPr>
                <w:rFonts w:hint="eastAsia" w:ascii="宋体" w:hAnsi="宋体" w:eastAsia="宋体" w:cs="宋体"/>
                <w:b/>
                <w:bCs/>
                <w:i w:val="0"/>
                <w:iCs w:val="0"/>
                <w:color w:val="auto"/>
                <w:sz w:val="21"/>
                <w:szCs w:val="21"/>
                <w:highlight w:val="none"/>
                <w:u w:val="none"/>
                <w:lang w:val="en-US" w:eastAsia="zh-CN" w:bidi="ar"/>
              </w:rPr>
              <w:t xml:space="preserve">证明材料：投标时须提供第三方检测机构</w:t>
            </w:r>
            <w:r>
              <w:rPr>
                <w:rFonts w:hint="eastAsia" w:ascii="宋体" w:hAnsi="宋体" w:cs="宋体"/>
                <w:b/>
                <w:bCs/>
                <w:i w:val="0"/>
                <w:iCs w:val="0"/>
                <w:color w:val="auto"/>
                <w:sz w:val="21"/>
                <w:szCs w:val="21"/>
                <w:highlight w:val="none"/>
                <w:u w:val="none"/>
                <w:lang w:val="en-US" w:eastAsia="zh-CN" w:bidi="ar"/>
              </w:rPr>
              <w:t xml:space="preserve">依据国家现行相关标准</w:t>
            </w:r>
            <w:r>
              <w:rPr>
                <w:rFonts w:hint="eastAsia" w:ascii="宋体" w:hAnsi="宋体" w:eastAsia="宋体" w:cs="宋体"/>
                <w:b/>
                <w:bCs/>
                <w:i w:val="0"/>
                <w:iCs w:val="0"/>
                <w:color w:val="auto"/>
                <w:sz w:val="21"/>
                <w:szCs w:val="21"/>
                <w:highlight w:val="none"/>
                <w:u w:val="none"/>
                <w:lang w:val="en-US" w:eastAsia="zh-CN" w:bidi="ar"/>
              </w:rPr>
              <w:t xml:space="preserve">出具的具有CMA标志的检测报告</w:t>
            </w:r>
            <w:r>
              <w:rPr>
                <w:rFonts w:hint="eastAsia" w:ascii="宋体" w:hAnsi="宋体" w:cs="宋体"/>
                <w:b/>
                <w:bCs/>
                <w:i w:val="0"/>
                <w:iCs w:val="0"/>
                <w:color w:val="auto"/>
                <w:sz w:val="21"/>
                <w:szCs w:val="21"/>
                <w:highlight w:val="none"/>
                <w:u w:val="none"/>
                <w:lang w:val="en-US" w:eastAsia="zh-CN" w:bidi="ar"/>
              </w:rPr>
              <w:t xml:space="preserve">原件或关键页</w:t>
            </w:r>
            <w:r>
              <w:rPr>
                <w:rFonts w:hint="eastAsia" w:ascii="宋体" w:hAnsi="宋体" w:eastAsia="宋体" w:cs="宋体"/>
                <w:b/>
                <w:bCs/>
                <w:i w:val="0"/>
                <w:iCs w:val="0"/>
                <w:color w:val="auto"/>
                <w:sz w:val="21"/>
                <w:szCs w:val="21"/>
                <w:highlight w:val="none"/>
                <w:u w:val="none"/>
                <w:lang w:val="en-US" w:eastAsia="zh-CN" w:bidi="ar"/>
              </w:rPr>
              <w:t xml:space="preserve">扫描件，明确标注</w:t>
            </w:r>
            <w:r>
              <w:rPr>
                <w:rFonts w:hint="eastAsia" w:ascii="宋体" w:hAnsi="宋体" w:cs="宋体"/>
                <w:b/>
                <w:bCs/>
                <w:i w:val="0"/>
                <w:iCs w:val="0"/>
                <w:color w:val="auto"/>
                <w:sz w:val="21"/>
                <w:szCs w:val="21"/>
                <w:highlight w:val="none"/>
                <w:u w:val="none"/>
                <w:lang w:val="en-US" w:eastAsia="zh-CN" w:bidi="ar"/>
              </w:rPr>
              <w:t xml:space="preserve">达到</w:t>
            </w:r>
            <w:r>
              <w:rPr>
                <w:rFonts w:hint="eastAsia" w:ascii="宋体" w:hAnsi="宋体" w:eastAsia="宋体" w:cs="宋体"/>
                <w:b/>
                <w:bCs/>
                <w:i w:val="0"/>
                <w:iCs w:val="0"/>
                <w:color w:val="auto"/>
                <w:sz w:val="21"/>
                <w:szCs w:val="21"/>
                <w:highlight w:val="none"/>
                <w:u w:val="none"/>
                <w:lang w:val="en-US" w:eastAsia="zh-CN" w:bidi="ar"/>
              </w:rPr>
              <w:t xml:space="preserve">IP66。</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三、电磁兼容性（EMC）与安规</w:t>
            </w:r>
            <w:r/>
          </w:p>
          <w:p>
            <w:pPr>
              <w:jc w:val="left"/>
              <w:keepLines w:val="0"/>
              <w:keepNext w:val="0"/>
              <w:pageBreakBefore w:val="0"/>
              <w:spacing w:line="360" w:lineRule="exact"/>
              <w:rPr>
                <w:rFonts w:hint="eastAsia" w:ascii="宋体" w:hAnsi="宋体" w:eastAsia="宋体" w:cs="宋体"/>
                <w:color w:val="000000"/>
                <w:sz w:val="21"/>
                <w:szCs w:val="21"/>
              </w:rPr>
            </w:pPr>
            <w:r>
              <w:rPr>
                <w:rFonts w:hint="eastAsia" w:ascii="宋体" w:hAnsi="宋体" w:eastAsia="宋体" w:cs="宋体"/>
                <w:b w:val="0"/>
                <w:bCs w:val="0"/>
                <w:color w:val="auto"/>
                <w:sz w:val="21"/>
                <w:szCs w:val="21"/>
                <w:highlight w:val="none"/>
              </w:rPr>
              <w:t xml:space="preserve">▲</w:t>
            </w:r>
            <w:r>
              <w:rPr>
                <w:rFonts w:hint="eastAsia" w:ascii="宋体" w:hAnsi="宋体" w:eastAsia="宋体" w:cs="宋体"/>
                <w:i w:val="0"/>
                <w:iCs w:val="0"/>
                <w:color w:val="auto"/>
                <w:sz w:val="21"/>
                <w:szCs w:val="21"/>
                <w:highlight w:val="none"/>
                <w:u w:val="none"/>
                <w:lang w:val="en-US" w:eastAsia="zh-CN" w:bidi="ar"/>
              </w:rPr>
              <w:t xml:space="preserve">9、传导骚扰限值：设备的传导骚扰电压发射值须满足 GB/T 9254.1-2021《信息技术设备、多媒体设备和接收机 电磁兼容 第1部分：发射要求》中 B级（工业/科学/医疗环境或居住区均可适用的高标准）设备的限值要求。</w:t>
            </w:r>
            <w:r>
              <w:rPr>
                <w:rFonts w:hint="eastAsia" w:ascii="宋体" w:hAnsi="宋体" w:eastAsia="宋体" w:cs="宋体"/>
                <w:b/>
                <w:bCs/>
                <w:i w:val="0"/>
                <w:iCs w:val="0"/>
                <w:color w:val="auto"/>
                <w:sz w:val="21"/>
                <w:szCs w:val="21"/>
                <w:highlight w:val="none"/>
                <w:u w:val="none"/>
                <w:lang w:val="en-US" w:eastAsia="zh-CN" w:bidi="ar"/>
              </w:rPr>
              <w:t xml:space="preserve">证明材料：须提供具备CMA资质的第三方检测</w:t>
            </w:r>
            <w:r>
              <w:rPr>
                <w:rFonts w:hint="eastAsia" w:ascii="宋体" w:hAnsi="宋体" w:cs="宋体"/>
                <w:b/>
                <w:bCs/>
                <w:i w:val="0"/>
                <w:iCs w:val="0"/>
                <w:color w:val="auto"/>
                <w:sz w:val="21"/>
                <w:szCs w:val="21"/>
                <w:highlight w:val="none"/>
                <w:u w:val="none"/>
                <w:lang w:val="en-US" w:eastAsia="zh-CN" w:bidi="ar"/>
              </w:rPr>
              <w:t xml:space="preserve">机构依据现行国家相关标准出具的具有CMA认证标志的检测</w:t>
            </w:r>
            <w:r>
              <w:rPr>
                <w:rFonts w:hint="eastAsia" w:ascii="宋体" w:hAnsi="宋体" w:eastAsia="宋体" w:cs="宋体"/>
                <w:b/>
                <w:bCs/>
                <w:i w:val="0"/>
                <w:iCs w:val="0"/>
                <w:color w:val="auto"/>
                <w:sz w:val="21"/>
                <w:szCs w:val="21"/>
                <w:highlight w:val="none"/>
                <w:u w:val="none"/>
                <w:lang w:val="en-US" w:eastAsia="zh-CN" w:bidi="ar"/>
              </w:rPr>
              <w:t xml:space="preserve">报告</w:t>
            </w:r>
            <w:r>
              <w:rPr>
                <w:rFonts w:hint="eastAsia" w:ascii="宋体" w:hAnsi="宋体" w:cs="宋体"/>
                <w:b/>
                <w:bCs/>
                <w:i w:val="0"/>
                <w:iCs w:val="0"/>
                <w:color w:val="auto"/>
                <w:sz w:val="21"/>
                <w:szCs w:val="21"/>
                <w:highlight w:val="none"/>
                <w:u w:val="none"/>
                <w:lang w:val="en-US" w:eastAsia="zh-CN" w:bidi="ar"/>
              </w:rPr>
              <w:t xml:space="preserve">全文或关键页</w:t>
            </w:r>
            <w:r>
              <w:rPr>
                <w:rFonts w:hint="eastAsia" w:ascii="宋体" w:hAnsi="宋体" w:eastAsia="宋体" w:cs="宋体"/>
                <w:b/>
                <w:bCs/>
                <w:i w:val="0"/>
                <w:iCs w:val="0"/>
                <w:color w:val="auto"/>
                <w:sz w:val="21"/>
                <w:szCs w:val="21"/>
                <w:highlight w:val="none"/>
                <w:u w:val="none"/>
                <w:lang w:val="en-US" w:eastAsia="zh-CN" w:bidi="ar"/>
              </w:rPr>
              <w:t xml:space="preserve">扫描件，报告中须包含传导骚扰测试数据及合格结论。</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lang w:eastAsia="zh-CN"/>
              </w:rPr>
              <w:suppressLineNumbers w:val="0"/>
            </w:pPr>
            <w:r>
              <w:rPr>
                <w:rFonts w:hint="eastAsia" w:ascii="宋体" w:hAnsi="宋体" w:eastAsia="宋体" w:cs="宋体"/>
                <w:i w:val="0"/>
                <w:iCs w:val="0"/>
                <w:color w:val="000000"/>
                <w:sz w:val="21"/>
                <w:szCs w:val="21"/>
                <w:u w:val="none"/>
                <w:lang w:val="en-US" w:eastAsia="zh-CN" w:bidi="ar"/>
              </w:rPr>
              <w:t xml:space="preserve">热成像双目枪式摄像机(含拾音器)</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pStyle w:val="808"/>
              <w:numPr>
                <w:ilvl w:val="0"/>
                <w:numId w:val="0"/>
              </w:numPr>
              <w:keepLines w:val="0"/>
              <w:keepNext w:val="0"/>
              <w:pageBreakBefore w:val="0"/>
              <w:spacing w:line="360" w:lineRule="exact"/>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1、使用类型：观测型，探测器类型：非制冷氧化钒焦平面探测器。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2、热成像镜头焦距≤3.5mm，热成像分辨率≥1280×720。</w:t>
            </w:r>
            <w:r/>
          </w:p>
          <w:p>
            <w:pPr>
              <w:pStyle w:val="808"/>
              <w:numPr>
                <w:ilvl w:val="0"/>
                <w:numId w:val="0"/>
              </w:numPr>
              <w:keepLines w:val="0"/>
              <w:keepNext w:val="0"/>
              <w:pageBreakBefore w:val="0"/>
              <w:spacing w:line="360" w:lineRule="exac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3、可见光传感器：≥1/2.7英寸CMOS传感器,</w:t>
            </w:r>
            <w:r>
              <w:rPr>
                <w:rFonts w:hint="eastAsia" w:ascii="宋体" w:hAnsi="宋体" w:eastAsia="宋体" w:cs="宋体"/>
                <w:i w:val="0"/>
                <w:iCs w:val="0"/>
                <w:color w:val="auto"/>
                <w:sz w:val="21"/>
                <w:szCs w:val="21"/>
                <w:highlight w:val="none"/>
                <w:u w:val="none"/>
                <w:lang w:val="en-US" w:eastAsia="zh-CN" w:bidi="ar"/>
              </w:rPr>
              <w:t xml:space="preserve">可见光镜头焦距≤4mm，</w:t>
            </w:r>
            <w:r>
              <w:rPr>
                <w:rFonts w:hint="eastAsia" w:ascii="宋体" w:hAnsi="宋体" w:eastAsia="宋体" w:cs="宋体"/>
                <w:b w:val="0"/>
                <w:bCs w:val="0"/>
                <w:i w:val="0"/>
                <w:iCs w:val="0"/>
                <w:color w:val="auto"/>
                <w:sz w:val="21"/>
                <w:szCs w:val="21"/>
                <w:highlight w:val="none"/>
                <w:u w:val="none"/>
                <w:lang w:val="en-US" w:eastAsia="zh-CN" w:bidi="ar"/>
              </w:rPr>
              <w:t xml:space="preserve">热成像</w:t>
            </w:r>
            <w:r>
              <w:rPr>
                <w:rFonts w:hint="eastAsia" w:ascii="宋体" w:hAnsi="宋体" w:eastAsia="宋体" w:cs="宋体"/>
                <w:i w:val="0"/>
                <w:iCs w:val="0"/>
                <w:color w:val="auto"/>
                <w:sz w:val="21"/>
                <w:szCs w:val="21"/>
                <w:highlight w:val="none"/>
                <w:u w:val="none"/>
                <w:lang w:val="en-US" w:eastAsia="zh-CN" w:bidi="ar"/>
              </w:rPr>
              <w:t xml:space="preserve">光谱范围：8μm～14μm，热成像探测器像素≥256×192</w:t>
            </w:r>
            <w:r>
              <w:rPr>
                <w:rFonts w:hint="eastAsia" w:ascii="宋体" w:hAnsi="宋体" w:eastAsia="宋体" w:cs="宋体"/>
                <w:b w:val="0"/>
                <w:bCs w:val="0"/>
                <w:i w:val="0"/>
                <w:iCs w:val="0"/>
                <w:color w:val="auto"/>
                <w:sz w:val="21"/>
                <w:szCs w:val="21"/>
                <w:highlight w:val="none"/>
                <w:u w:val="none"/>
                <w:lang w:val="en-US" w:eastAsia="zh-CN" w:bidi="ar"/>
              </w:rPr>
              <w:t xml:space="preserve">。</w:t>
            </w:r>
            <w:r/>
          </w:p>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4、可见光像素≥400万或最大分辨率≥2560×1440。</w:t>
            </w:r>
            <w:r/>
          </w:p>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5.具备最低照度彩色不劣于0.0005Lux，黑白不劣于0.0001Lux。</w:t>
            </w:r>
            <w:r/>
          </w:p>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6、具备滤光片切换功能，摄像机可在彩色/黑白模式下自动切换滤光片。</w:t>
            </w:r>
            <w:r/>
          </w:p>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7、支持电子透雾。</w:t>
            </w:r>
            <w:r/>
          </w:p>
          <w:p>
            <w:pPr>
              <w:pStyle w:val="810"/>
              <w:ind w:left="0" w:firstLine="0"/>
              <w:keepLines w:val="0"/>
              <w:keepNext w:val="0"/>
              <w:pageBreakBefore w:val="0"/>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bidi="ar"/>
              </w:rPr>
              <w:t xml:space="preserve">8、热成像视场角：H:≥50°，V:≥37°；可见光视场角：H：71.2°， V：≥43°。</w:t>
            </w:r>
            <w:r/>
          </w:p>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color w:val="auto"/>
                <w:sz w:val="21"/>
                <w:szCs w:val="21"/>
                <w:highlight w:val="none"/>
                <w:lang w:val="en-US" w:eastAsia="zh-CN"/>
              </w:rPr>
              <w:t xml:space="preserve">9</w:t>
            </w:r>
            <w:r>
              <w:rPr>
                <w:rFonts w:hint="eastAsia" w:ascii="宋体" w:hAnsi="宋体" w:eastAsia="宋体" w:cs="宋体"/>
                <w:b w:val="0"/>
                <w:bCs w:val="0"/>
                <w:i w:val="0"/>
                <w:iCs w:val="0"/>
                <w:color w:val="auto"/>
                <w:sz w:val="21"/>
                <w:szCs w:val="21"/>
                <w:highlight w:val="none"/>
                <w:u w:val="none"/>
                <w:lang w:val="en-US" w:eastAsia="zh-CN" w:bidi="ar"/>
              </w:rPr>
              <w:t xml:space="preserve">、具备智能红外功能，能根据所摄目标距离自动调节红外辐射功率，智能红外补光距离≥30米</w:t>
            </w:r>
            <w:r>
              <w:rPr>
                <w:rFonts w:hint="eastAsia" w:ascii="宋体" w:hAnsi="宋体" w:eastAsia="宋体" w:cs="宋体"/>
                <w:i w:val="0"/>
                <w:iCs w:val="0"/>
                <w:color w:val="auto"/>
                <w:sz w:val="21"/>
                <w:szCs w:val="21"/>
                <w:highlight w:val="none"/>
                <w:u w:val="none"/>
                <w:lang w:val="en-US" w:eastAsia="zh-CN" w:bidi="ar"/>
              </w:rPr>
              <w:t xml:space="preserve">或在补光功能开启时能识别不低于30米处人体轮廓</w:t>
            </w:r>
            <w:r>
              <w:rPr>
                <w:rFonts w:hint="eastAsia" w:ascii="宋体" w:hAnsi="宋体" w:eastAsia="宋体" w:cs="宋体"/>
                <w:b w:val="0"/>
                <w:bCs w:val="0"/>
                <w:i w:val="0"/>
                <w:iCs w:val="0"/>
                <w:color w:val="auto"/>
                <w:sz w:val="21"/>
                <w:szCs w:val="21"/>
                <w:highlight w:val="none"/>
                <w:u w:val="none"/>
                <w:lang w:val="en-US" w:eastAsia="zh-CN" w:bidi="ar"/>
              </w:rPr>
              <w:t xml:space="preserve">。</w:t>
            </w:r>
            <w:r/>
          </w:p>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10、宽动态能力综合得分≥80。</w:t>
            </w:r>
            <w:r/>
          </w:p>
          <w:p>
            <w:pPr>
              <w:ind w:left="0"/>
              <w:jc w:val="left"/>
              <w:keepLines w:val="0"/>
              <w:keepNext w:val="0"/>
              <w:pageBreakBefore w:val="0"/>
              <w:spacing w:line="360" w:lineRule="exact"/>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11、具备H.265、H.264、MJPEG视频编码格式，音频编码：G.711、AAC。</w:t>
            </w:r>
            <w:r>
              <w:rPr>
                <w:rFonts w:hint="eastAsia" w:ascii="宋体" w:hAnsi="宋体" w:eastAsia="宋体" w:cs="宋体"/>
                <w:b/>
                <w:bCs/>
                <w:i w:val="0"/>
                <w:iCs w:val="0"/>
                <w:color w:val="auto"/>
                <w:sz w:val="21"/>
                <w:szCs w:val="21"/>
                <w:highlight w:val="none"/>
                <w:u w:val="none"/>
                <w:lang w:val="en-US" w:eastAsia="zh-CN" w:bidi="ar"/>
              </w:rPr>
              <w:t xml:space="preserve">提供原厂公开技术文档（白皮书、彩页、官网规格页截图及链接地址）。</w:t>
            </w:r>
            <w:r/>
          </w:p>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12、周界防范距离（人）：≥35m（目标大小1.8m×0.5m）；周界防范距离（车）：≥105m（目标大小4m×1.4m）。</w:t>
            </w:r>
            <w:r/>
          </w:p>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13、摄像机在视频遮挡、存储器满、非法访问、网络断开、IP冲突时可给出报警提示；具备断网续传功能。具备数据直存功能，即直接将视频存储数据发送到存储设备（当中心服务器故障时、不影响正在进行的存储业务）。</w:t>
            </w:r>
            <w:r/>
          </w:p>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14、接口：RJ45百兆或千兆以太网电口，音频输入：≥1路，音频输出：≥1路，报警输入：≥1路，报警输出：≥1路，</w:t>
            </w:r>
            <w:r>
              <w:rPr>
                <w:rFonts w:hint="eastAsia" w:ascii="宋体" w:hAnsi="宋体" w:eastAsia="宋体" w:cs="宋体"/>
                <w:i w:val="0"/>
                <w:iCs w:val="0"/>
                <w:color w:val="auto"/>
                <w:sz w:val="21"/>
                <w:szCs w:val="21"/>
                <w:highlight w:val="none"/>
                <w:u w:val="none"/>
                <w:lang w:val="en-US" w:eastAsia="zh-CN" w:bidi="ar"/>
              </w:rPr>
              <w:t xml:space="preserve">RS-485接口：≥1路</w:t>
            </w:r>
            <w:r>
              <w:rPr>
                <w:rFonts w:hint="eastAsia" w:ascii="宋体" w:hAnsi="宋体" w:eastAsia="宋体" w:cs="宋体"/>
                <w:b w:val="0"/>
                <w:bCs w:val="0"/>
                <w:i w:val="0"/>
                <w:iCs w:val="0"/>
                <w:color w:val="auto"/>
                <w:sz w:val="21"/>
                <w:szCs w:val="21"/>
                <w:highlight w:val="none"/>
                <w:u w:val="none"/>
                <w:lang w:val="en-US" w:eastAsia="zh-CN" w:bidi="ar"/>
              </w:rPr>
              <w:t xml:space="preserve">。</w:t>
            </w:r>
            <w:r/>
          </w:p>
          <w:p>
            <w:pPr>
              <w:pStyle w:val="808"/>
              <w:ind w:left="0"/>
              <w:keepLines w:val="0"/>
              <w:keepNext w:val="0"/>
              <w:pageBreakBefore w:val="0"/>
              <w:spacing w:line="360" w:lineRule="exac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15、提供SD或TF卡槽。</w:t>
            </w:r>
            <w:r>
              <w:rPr>
                <w:rFonts w:hint="eastAsia" w:ascii="宋体" w:hAnsi="宋体" w:eastAsia="宋体" w:cs="宋体"/>
                <w:b/>
                <w:bCs/>
                <w:i w:val="0"/>
                <w:iCs w:val="0"/>
                <w:color w:val="auto"/>
                <w:sz w:val="21"/>
                <w:szCs w:val="21"/>
                <w:highlight w:val="none"/>
                <w:u w:val="none"/>
                <w:lang w:val="en-US" w:eastAsia="zh-CN" w:bidi="ar"/>
              </w:rPr>
              <w:t xml:space="preserve">承诺可通过加装安全加密卡对接公安视频数据加密平台、实现安全升级以符合GB35114A级标准对前端面摄像机基于数字证书的双向身份认证功能，提供承诺函（格式自拟）。</w:t>
            </w:r>
            <w:r/>
          </w:p>
          <w:p>
            <w:pPr>
              <w:numPr>
                <w:ilvl w:val="0"/>
                <w:numId w:val="0"/>
              </w:num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16</w:t>
            </w:r>
            <w:r>
              <w:rPr>
                <w:rFonts w:hint="eastAsia" w:ascii="宋体" w:hAnsi="宋体" w:eastAsia="宋体" w:cs="宋体"/>
                <w:b w:val="0"/>
                <w:bCs w:val="0"/>
                <w:i w:val="0"/>
                <w:iCs w:val="0"/>
                <w:color w:val="auto"/>
                <w:sz w:val="21"/>
                <w:szCs w:val="21"/>
                <w:highlight w:val="none"/>
                <w:u w:val="none"/>
                <w:lang w:val="en-US" w:eastAsia="zh-CN" w:bidi="ar"/>
              </w:rPr>
              <w:t xml:space="preserve">、浪涌（冲击）抗扰度测试、防浪涌。</w:t>
            </w:r>
            <w:r>
              <w:rPr>
                <w:rFonts w:hint="eastAsia" w:ascii="宋体" w:hAnsi="宋体" w:eastAsia="宋体" w:cs="宋体"/>
                <w:b/>
                <w:bCs/>
                <w:color w:val="auto"/>
                <w:sz w:val="21"/>
                <w:szCs w:val="21"/>
                <w:highlight w:val="none"/>
                <w:lang w:val="en-US" w:eastAsia="zh-CN" w:bidi="ar"/>
              </w:rPr>
              <w:t xml:space="preserve">承诺</w:t>
            </w:r>
            <w:r>
              <w:rPr>
                <w:rFonts w:hint="eastAsia" w:ascii="宋体" w:hAnsi="宋体" w:eastAsia="宋体" w:cs="宋体"/>
                <w:b/>
                <w:bCs/>
                <w:color w:val="auto"/>
                <w:sz w:val="21"/>
                <w:szCs w:val="21"/>
                <w:highlight w:val="none"/>
                <w:lang w:bidi="ar"/>
              </w:rPr>
              <w:t xml:space="preserve">符合</w:t>
            </w:r>
            <w:r>
              <w:rPr>
                <w:rFonts w:hint="eastAsia" w:ascii="宋体" w:hAnsi="宋体" w:eastAsia="宋体" w:cs="宋体"/>
                <w:b/>
                <w:bCs/>
                <w:i w:val="0"/>
                <w:iCs w:val="0"/>
                <w:color w:val="auto"/>
                <w:sz w:val="21"/>
                <w:szCs w:val="21"/>
                <w:highlight w:val="none"/>
                <w:u w:val="none"/>
                <w:lang w:val="en-US" w:eastAsia="zh-CN" w:bidi="ar"/>
              </w:rPr>
              <w:t xml:space="preserve">GA/T 1127-2013或</w:t>
            </w:r>
            <w:r>
              <w:rPr>
                <w:rFonts w:hint="eastAsia" w:ascii="宋体" w:hAnsi="宋体" w:eastAsia="宋体" w:cs="宋体"/>
                <w:b/>
                <w:bCs/>
                <w:color w:val="auto"/>
                <w:sz w:val="21"/>
                <w:szCs w:val="21"/>
                <w:highlight w:val="none"/>
                <w:lang w:bidi="ar"/>
              </w:rPr>
              <w:t xml:space="preserve">GB/T 17626.5-</w:t>
            </w:r>
            <w:r>
              <w:rPr>
                <w:rFonts w:hint="eastAsia" w:ascii="宋体" w:hAnsi="宋体" w:eastAsia="宋体" w:cs="宋体"/>
                <w:b/>
                <w:bCs/>
                <w:color w:val="auto"/>
                <w:sz w:val="21"/>
                <w:szCs w:val="21"/>
                <w:highlight w:val="none"/>
                <w:lang w:val="en-US" w:eastAsia="zh-CN" w:bidi="ar"/>
              </w:rPr>
              <w:t xml:space="preserve">2008/</w:t>
            </w:r>
            <w:r>
              <w:rPr>
                <w:rFonts w:hint="eastAsia" w:ascii="宋体" w:hAnsi="宋体" w:eastAsia="宋体" w:cs="宋体"/>
                <w:b/>
                <w:bCs/>
                <w:color w:val="auto"/>
                <w:sz w:val="21"/>
                <w:szCs w:val="21"/>
                <w:highlight w:val="none"/>
                <w:lang w:bidi="ar"/>
              </w:rPr>
              <w:t xml:space="preserve">2019</w:t>
            </w:r>
            <w:r>
              <w:rPr>
                <w:rFonts w:hint="eastAsia" w:ascii="宋体" w:hAnsi="宋体" w:eastAsia="宋体" w:cs="宋体"/>
                <w:b/>
                <w:bCs/>
                <w:color w:val="auto"/>
                <w:sz w:val="21"/>
                <w:szCs w:val="21"/>
                <w:highlight w:val="none"/>
                <w:lang w:val="en-US" w:eastAsia="zh-CN" w:bidi="ar"/>
              </w:rPr>
              <w:t xml:space="preserve">对摄像机的</w:t>
            </w:r>
            <w:r>
              <w:rPr>
                <w:rFonts w:hint="eastAsia" w:ascii="宋体" w:hAnsi="宋体" w:eastAsia="宋体" w:cs="宋体"/>
                <w:b/>
                <w:bCs/>
                <w:i w:val="0"/>
                <w:iCs w:val="0"/>
                <w:color w:val="auto"/>
                <w:sz w:val="21"/>
                <w:szCs w:val="21"/>
                <w:highlight w:val="none"/>
                <w:u w:val="none"/>
                <w:lang w:val="en-US" w:eastAsia="zh-CN" w:bidi="ar"/>
              </w:rPr>
              <w:t xml:space="preserve">防浪涌</w:t>
            </w:r>
            <w:r>
              <w:rPr>
                <w:rFonts w:hint="eastAsia" w:ascii="宋体" w:hAnsi="宋体" w:eastAsia="宋体" w:cs="宋体"/>
                <w:b/>
                <w:bCs/>
                <w:color w:val="auto"/>
                <w:sz w:val="21"/>
                <w:szCs w:val="21"/>
                <w:highlight w:val="none"/>
                <w:lang w:val="en-US" w:eastAsia="zh-CN" w:bidi="ar"/>
              </w:rPr>
              <w:t xml:space="preserve">要求</w:t>
            </w:r>
            <w:r>
              <w:rPr>
                <w:rFonts w:hint="eastAsia" w:ascii="宋体" w:hAnsi="宋体" w:eastAsia="宋体" w:cs="宋体"/>
                <w:b/>
                <w:bCs/>
                <w:color w:val="auto"/>
                <w:sz w:val="21"/>
                <w:szCs w:val="21"/>
                <w:highlight w:val="none"/>
                <w:lang w:eastAsia="zh-CN" w:bidi="ar"/>
              </w:rPr>
              <w:t xml:space="preserve">。</w:t>
            </w:r>
            <w:r/>
          </w:p>
          <w:p>
            <w:pPr>
              <w:pStyle w:val="808"/>
              <w:ind w:left="0"/>
              <w:keepLines w:val="0"/>
              <w:keepNext w:val="0"/>
              <w:pageBreakBefore w:val="0"/>
              <w:spacing w:line="360" w:lineRule="exact"/>
              <w:rPr>
                <w:rFonts w:hint="eastAsia" w:ascii="宋体" w:hAnsi="宋体" w:eastAsia="宋体" w:cs="宋体"/>
                <w:b/>
                <w:bCs/>
                <w:i w:val="0"/>
                <w:iCs w:val="0"/>
                <w:color w:val="auto"/>
                <w:sz w:val="21"/>
                <w:szCs w:val="21"/>
                <w:highlight w:val="none"/>
                <w:u w:val="none"/>
                <w:lang w:val="en-US" w:eastAsia="zh-CN" w:bidi="ar"/>
              </w:rPr>
            </w:pP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17</w:t>
            </w:r>
            <w:r>
              <w:rPr>
                <w:rFonts w:hint="eastAsia" w:ascii="宋体" w:hAnsi="宋体" w:eastAsia="宋体" w:cs="宋体"/>
                <w:b w:val="0"/>
                <w:bCs w:val="0"/>
                <w:i w:val="0"/>
                <w:iCs w:val="0"/>
                <w:color w:val="auto"/>
                <w:sz w:val="21"/>
                <w:szCs w:val="21"/>
                <w:highlight w:val="none"/>
                <w:u w:val="none"/>
                <w:lang w:val="en-US" w:eastAsia="zh-CN" w:bidi="ar"/>
              </w:rPr>
              <w:t xml:space="preserve">、防护等级：≥IP67。</w:t>
            </w:r>
            <w:r>
              <w:rPr>
                <w:rFonts w:hint="eastAsia" w:ascii="宋体" w:hAnsi="宋体" w:eastAsia="宋体" w:cs="宋体"/>
                <w:b/>
                <w:bCs/>
                <w:i w:val="0"/>
                <w:iCs w:val="0"/>
                <w:color w:val="auto"/>
                <w:sz w:val="21"/>
                <w:szCs w:val="21"/>
                <w:highlight w:val="none"/>
                <w:u w:val="none"/>
                <w:lang w:val="en-US" w:eastAsia="zh-CN" w:bidi="ar"/>
              </w:rPr>
              <w:t xml:space="preserve">提供所投产品的检测报告原件关键页扫描件（依据GB/T 15211-2013或GA/T 1127-2013或</w:t>
            </w:r>
            <w:r>
              <w:rPr>
                <w:rFonts w:hint="eastAsia" w:ascii="宋体" w:hAnsi="宋体" w:eastAsia="宋体" w:cs="宋体"/>
                <w:b/>
                <w:bCs/>
                <w:color w:val="auto"/>
                <w:sz w:val="21"/>
                <w:szCs w:val="21"/>
                <w:highlight w:val="none"/>
              </w:rPr>
              <w:t xml:space="preserve">GB/T4208-2017标准</w:t>
            </w:r>
            <w:r>
              <w:rPr>
                <w:rFonts w:hint="eastAsia" w:ascii="宋体" w:hAnsi="宋体" w:eastAsia="宋体" w:cs="宋体"/>
                <w:b/>
                <w:bCs/>
                <w:i w:val="0"/>
                <w:iCs w:val="0"/>
                <w:color w:val="auto"/>
                <w:sz w:val="21"/>
                <w:szCs w:val="21"/>
                <w:highlight w:val="none"/>
                <w:u w:val="none"/>
                <w:lang w:val="en-US" w:eastAsia="zh-CN" w:bidi="ar"/>
              </w:rPr>
              <w:t xml:space="preserve">）等相关现行国家标准）。</w:t>
            </w:r>
            <w:r/>
          </w:p>
          <w:p>
            <w:pPr>
              <w:numPr>
                <w:ilvl w:val="0"/>
                <w:numId w:val="0"/>
              </w:numPr>
              <w:ind w:left="0"/>
              <w:jc w:val="left"/>
              <w:keepLines w:val="0"/>
              <w:keepNext w:val="0"/>
              <w:pageBreakBefore w:val="0"/>
              <w:spacing w:line="36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★18、内置MIC。</w:t>
            </w:r>
            <w:r>
              <w:rPr>
                <w:rFonts w:hint="eastAsia" w:ascii="宋体" w:hAnsi="宋体" w:eastAsia="宋体" w:cs="宋体"/>
                <w:b/>
                <w:bCs/>
                <w:color w:val="auto"/>
                <w:sz w:val="21"/>
                <w:szCs w:val="21"/>
                <w:highlight w:val="none"/>
                <w:lang w:val="en-US" w:eastAsia="zh-CN"/>
              </w:rPr>
              <w:t xml:space="preserve">提供承诺函或提供原厂公开技术文档（白皮书、彩页、官网规格页截图及链接地址均可）。</w:t>
            </w:r>
            <w:r/>
          </w:p>
          <w:p>
            <w:pPr>
              <w:pStyle w:val="808"/>
              <w:ind w:left="0"/>
              <w:keepLines w:val="0"/>
              <w:keepNext w:val="0"/>
              <w:pageBreakBefore w:val="0"/>
              <w:spacing w:line="360" w:lineRule="exac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en-US" w:eastAsia="zh-CN" w:bidi="ar"/>
              </w:rPr>
              <w:t xml:space="preserve">19</w:t>
            </w:r>
            <w:r>
              <w:rPr>
                <w:rFonts w:hint="eastAsia" w:ascii="宋体" w:hAnsi="宋体" w:eastAsia="宋体" w:cs="宋体"/>
                <w:b w:val="0"/>
                <w:bCs w:val="0"/>
                <w:i w:val="0"/>
                <w:iCs w:val="0"/>
                <w:color w:val="auto"/>
                <w:sz w:val="21"/>
                <w:szCs w:val="21"/>
                <w:highlight w:val="none"/>
                <w:u w:val="none"/>
                <w:lang w:val="en-US" w:eastAsia="zh-CN" w:bidi="ar"/>
              </w:rPr>
              <w:t xml:space="preserve">、具备POE供电功能。</w:t>
            </w:r>
            <w:r>
              <w:rPr>
                <w:rFonts w:hint="eastAsia" w:ascii="宋体" w:hAnsi="宋体" w:eastAsia="宋体" w:cs="宋体"/>
                <w:b/>
                <w:bCs/>
                <w:i w:val="0"/>
                <w:iCs w:val="0"/>
                <w:color w:val="auto"/>
                <w:sz w:val="21"/>
                <w:szCs w:val="21"/>
                <w:highlight w:val="none"/>
                <w:u w:val="none"/>
                <w:lang w:val="en-US" w:eastAsia="zh-CN" w:bidi="ar"/>
              </w:rPr>
              <w:t xml:space="preserve">提供原厂公开技术文档（白皮书、彩页、官网规格页截图及链接地址均可）。</w:t>
            </w:r>
            <w:r/>
          </w:p>
          <w:p>
            <w:pPr>
              <w:pStyle w:val="808"/>
              <w:ind w:left="0"/>
              <w:keepLines w:val="0"/>
              <w:keepNext w:val="0"/>
              <w:pageBreakBefore w:val="0"/>
              <w:spacing w:line="360" w:lineRule="exact"/>
              <w:rPr>
                <w:rFonts w:hint="eastAsia" w:ascii="宋体" w:hAnsi="宋体" w:eastAsia="宋体" w:cs="宋体"/>
                <w:b/>
                <w:bCs/>
                <w:i w:val="0"/>
                <w:iCs w:val="0"/>
                <w:color w:val="auto"/>
                <w:sz w:val="21"/>
                <w:szCs w:val="21"/>
                <w:highlight w:val="none"/>
                <w:u w:val="none"/>
                <w:lang w:val="en-US" w:eastAsia="zh-CN" w:bidi="ar"/>
              </w:rPr>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en-US" w:eastAsia="zh-CN" w:bidi="ar"/>
              </w:rPr>
              <w:t xml:space="preserve">20</w:t>
            </w:r>
            <w:r>
              <w:rPr>
                <w:rFonts w:hint="eastAsia" w:ascii="宋体" w:hAnsi="宋体" w:eastAsia="宋体" w:cs="宋体"/>
                <w:b w:val="0"/>
                <w:bCs w:val="0"/>
                <w:i w:val="0"/>
                <w:iCs w:val="0"/>
                <w:color w:val="auto"/>
                <w:sz w:val="21"/>
                <w:szCs w:val="21"/>
                <w:highlight w:val="none"/>
                <w:u w:val="none"/>
                <w:lang w:val="en-US" w:eastAsia="zh-CN" w:bidi="ar"/>
              </w:rPr>
              <w:t xml:space="preserve">、符合GB/T 28181、Onvif、IPv4/6现行协议标准。</w:t>
            </w:r>
            <w:r>
              <w:rPr>
                <w:rFonts w:hint="eastAsia" w:ascii="宋体" w:hAnsi="宋体" w:eastAsia="宋体" w:cs="宋体"/>
                <w:b/>
                <w:bCs/>
                <w:i w:val="0"/>
                <w:iCs w:val="0"/>
                <w:color w:val="auto"/>
                <w:sz w:val="21"/>
                <w:szCs w:val="21"/>
                <w:highlight w:val="none"/>
                <w:u w:val="none"/>
                <w:lang w:val="en-US" w:eastAsia="zh-CN" w:bidi="ar"/>
              </w:rPr>
              <w:t xml:space="preserve">提供所投产品原厂公开技术文档（白皮书、彩页、官网规格页截图及链接地址）或提供承诺函（格式自拟）。</w:t>
            </w:r>
            <w:r/>
          </w:p>
          <w:p>
            <w:pPr>
              <w:pStyle w:val="808"/>
              <w:ind w:left="0"/>
              <w:keepLines w:val="0"/>
              <w:keepNext w:val="0"/>
              <w:pageBreakBefore w:val="0"/>
              <w:spacing w:line="360" w:lineRule="exact"/>
              <w:rPr>
                <w:rFonts w:hint="eastAsia" w:ascii="宋体" w:hAnsi="宋体" w:eastAsia="宋体" w:cs="宋体"/>
                <w:b/>
                <w:bCs/>
                <w:i w:val="0"/>
                <w:iCs w:val="0"/>
                <w:color w:val="auto"/>
                <w:sz w:val="21"/>
                <w:szCs w:val="21"/>
                <w:highlight w:val="none"/>
                <w:u w:val="none"/>
                <w:lang w:val="en-US" w:eastAsia="zh-CN" w:bidi="ar"/>
              </w:rPr>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en-US" w:eastAsia="zh-CN" w:bidi="ar"/>
              </w:rPr>
              <w:t xml:space="preserve">21、</w:t>
            </w:r>
            <w:r>
              <w:rPr>
                <w:rFonts w:hint="eastAsia" w:ascii="宋体" w:hAnsi="宋体" w:eastAsia="宋体" w:cs="宋体"/>
                <w:sz w:val="21"/>
                <w:szCs w:val="21"/>
                <w:highlight w:val="none"/>
                <w:lang w:val="en-US" w:eastAsia="zh-CN"/>
              </w:rPr>
              <w:t xml:space="preserve">提供摄像机接入学校现有安防管理系统的授权。</w:t>
            </w:r>
            <w:r>
              <w:rPr>
                <w:rFonts w:hint="eastAsia" w:ascii="宋体" w:hAnsi="宋体" w:eastAsia="宋体" w:cs="宋体"/>
                <w:b/>
                <w:bCs/>
                <w:sz w:val="21"/>
                <w:szCs w:val="21"/>
                <w:highlight w:val="none"/>
                <w:lang w:val="en-US" w:eastAsia="zh-CN"/>
              </w:rPr>
              <w:t xml:space="preserve">提供承诺函。</w:t>
            </w:r>
            <w:r/>
          </w:p>
          <w:p>
            <w:pPr>
              <w:pStyle w:val="810"/>
              <w:ind w:firstLine="0"/>
              <w:keepLines w:val="0"/>
              <w:keepNext w:val="0"/>
              <w:pageBreakBefore w:val="0"/>
              <w:spacing w:line="360" w:lineRule="exact"/>
              <w:rPr>
                <w:rFonts w:hint="eastAsia" w:ascii="宋体" w:hAnsi="宋体" w:eastAsia="宋体" w:cs="宋体"/>
                <w:b/>
                <w:bCs/>
                <w:i w:val="0"/>
                <w:iCs w:val="0"/>
                <w:color w:val="auto"/>
                <w:sz w:val="21"/>
                <w:szCs w:val="21"/>
                <w:highlight w:val="none"/>
                <w:u w:val="none"/>
                <w:lang w:val="en-US" w:eastAsia="zh-CN" w:bidi="ar"/>
              </w:rPr>
            </w:pPr>
            <w:r>
              <w:rPr>
                <w:rFonts w:hint="eastAsia" w:ascii="宋体" w:hAnsi="宋体" w:eastAsia="宋体" w:cs="宋体"/>
                <w:b/>
                <w:bCs/>
                <w:color w:val="auto"/>
                <w:sz w:val="21"/>
                <w:szCs w:val="21"/>
                <w:highlight w:val="none"/>
                <w:lang w:val="en-US" w:eastAsia="zh-CN"/>
              </w:rPr>
              <w:t xml:space="preserve">注：</w:t>
            </w:r>
            <w:r>
              <w:rPr>
                <w:rFonts w:hint="eastAsia" w:ascii="宋体" w:hAnsi="宋体" w:eastAsia="宋体" w:cs="宋体"/>
                <w:b/>
                <w:bCs/>
                <w:i w:val="0"/>
                <w:iCs w:val="0"/>
                <w:color w:val="auto"/>
                <w:sz w:val="21"/>
                <w:szCs w:val="21"/>
                <w:highlight w:val="none"/>
                <w:u w:val="none"/>
                <w:lang w:val="en-US" w:eastAsia="zh-CN" w:bidi="ar"/>
              </w:rPr>
              <w:t xml:space="preserve">提供检测报告的，按第四章商务要求（其他要求的第2条）中明确的要求、提供相关佐证材料。</w:t>
            </w:r>
            <w:r/>
          </w:p>
          <w:p>
            <w:pPr>
              <w:pStyle w:val="810"/>
              <w:ind w:firstLine="0"/>
              <w:keepLines w:val="0"/>
              <w:keepNext w:val="0"/>
              <w:pageBreakBefore w:val="0"/>
              <w:spacing w:line="360" w:lineRule="exact"/>
              <w:rPr>
                <w:rFonts w:hint="default" w:ascii="宋体" w:hAnsi="宋体" w:eastAsia="宋体" w:cs="宋体"/>
                <w:b/>
                <w:bCs/>
                <w:i w:val="0"/>
                <w:iCs w:val="0"/>
                <w:color w:val="auto"/>
                <w:sz w:val="21"/>
                <w:szCs w:val="21"/>
                <w:highlight w:val="none"/>
                <w:u w:val="none"/>
                <w:lang w:val="en-US" w:eastAsia="zh-CN" w:bidi="ar"/>
              </w:rPr>
            </w:pPr>
            <w:r>
              <w:rPr>
                <w:rFonts w:hint="eastAsia" w:ascii="宋体" w:hAnsi="宋体" w:cs="宋体"/>
                <w:b/>
                <w:bCs/>
                <w:i w:val="0"/>
                <w:iCs w:val="0"/>
                <w:color w:val="auto"/>
                <w:sz w:val="21"/>
                <w:szCs w:val="21"/>
                <w:highlight w:val="none"/>
                <w:u w:val="none"/>
                <w:lang w:val="en-US" w:eastAsia="zh-CN" w:bidi="ar"/>
              </w:rPr>
              <w:t xml:space="preserve">22.</w:t>
            </w:r>
            <w:r>
              <w:rPr>
                <w:rFonts w:hint="eastAsia" w:ascii="宋体" w:hAnsi="宋体" w:eastAsia="宋体" w:cs="宋体"/>
                <w:b/>
                <w:bCs/>
                <w:i w:val="0"/>
                <w:iCs w:val="0"/>
                <w:color w:val="auto"/>
                <w:sz w:val="21"/>
                <w:szCs w:val="21"/>
                <w:highlight w:val="none"/>
                <w:u w:val="none"/>
                <w:lang w:val="en-US" w:eastAsia="zh-CN" w:bidi="ar"/>
              </w:rPr>
              <w:t xml:space="preserve">内置MIC</w:t>
            </w:r>
            <w:r>
              <w:rPr>
                <w:rFonts w:hint="eastAsia" w:ascii="宋体" w:hAnsi="宋体" w:cs="宋体"/>
                <w:b/>
                <w:bCs/>
                <w:i w:val="0"/>
                <w:iCs w:val="0"/>
                <w:color w:val="auto"/>
                <w:sz w:val="21"/>
                <w:szCs w:val="21"/>
                <w:highlight w:val="none"/>
                <w:u w:val="none"/>
                <w:lang w:val="en-US" w:eastAsia="zh-CN" w:bidi="ar"/>
              </w:rPr>
              <w:t xml:space="preserve">。</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防欺凌预警终端（拾音器，核心设备）</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tcPr>
          <w:p>
            <w:pPr>
              <w:numPr>
                <w:ilvl w:val="0"/>
                <w:numId w:val="10"/>
              </w:numPr>
              <w:jc w:val="left"/>
              <w:keepLines w:val="0"/>
              <w:keepNext w:val="0"/>
              <w:pageBreakBefore w:val="0"/>
              <w:spacing w:line="360" w:lineRule="exact"/>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连接方式：≥4条引线（电源正极、电源负极、信号正极、信号负极）；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2、拾音范围：1～150平方米，约半径7米；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3、灵敏度：-38dB±1dB（re 0dB=1V/Pa@1kHz）；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4、信噪比：70dB（1KHz &amp; Max dB SPL）；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5、指向特性：全指向性；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6、动态范围：40dB（1KHz &amp; Max dB SPL）。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b w:val="0"/>
                <w:bCs w:val="0"/>
                <w:color w:val="auto"/>
                <w:sz w:val="21"/>
                <w:szCs w:val="21"/>
                <w:highlight w:val="none"/>
              </w:rPr>
              <w:t xml:space="preserve">▲</w:t>
            </w:r>
            <w:r>
              <w:rPr>
                <w:rFonts w:hint="eastAsia" w:ascii="宋体" w:hAnsi="宋体" w:eastAsia="宋体" w:cs="宋体"/>
                <w:i w:val="0"/>
                <w:iCs w:val="0"/>
                <w:color w:val="auto"/>
                <w:sz w:val="21"/>
                <w:szCs w:val="21"/>
                <w:highlight w:val="none"/>
                <w:u w:val="none"/>
                <w:lang w:val="en-US" w:eastAsia="zh-CN" w:bidi="ar"/>
              </w:rPr>
              <w:t xml:space="preserve">7、单机含麦克风阵列，提供原厂产品彩页或白皮书。</w:t>
            </w:r>
            <w:r/>
          </w:p>
          <w:p>
            <w:pPr>
              <w:numPr>
                <w:ilvl w:val="0"/>
                <w:numId w:val="0"/>
              </w:numPr>
              <w:jc w:val="left"/>
              <w:keepLines w:val="0"/>
              <w:keepNext w:val="0"/>
              <w:pageBreakBefore w:val="0"/>
              <w:spacing w:line="360" w:lineRule="exact"/>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8、</w:t>
            </w:r>
            <w:r>
              <w:rPr>
                <w:rFonts w:hint="eastAsia" w:ascii="宋体" w:hAnsi="宋体" w:eastAsia="宋体" w:cs="宋体"/>
                <w:i w:val="0"/>
                <w:iCs w:val="0"/>
                <w:color w:val="auto"/>
                <w:sz w:val="21"/>
                <w:szCs w:val="21"/>
                <w:highlight w:val="none"/>
                <w:u w:val="none"/>
                <w:lang w:val="en-US" w:eastAsia="zh-CN" w:bidi="ar"/>
              </w:rPr>
              <w:t xml:space="preserve">具备噪声抑制和回声消除处理；提供原厂产品彩页或白皮书。</w:t>
            </w:r>
            <w:r/>
          </w:p>
          <w:p>
            <w:pPr>
              <w:numPr>
                <w:ilvl w:val="0"/>
                <w:numId w:val="0"/>
              </w:numPr>
              <w:jc w:val="left"/>
              <w:keepLines w:val="0"/>
              <w:keepNext w:val="0"/>
              <w:pageBreakBefore w:val="0"/>
              <w:spacing w:line="360" w:lineRule="exact"/>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9、DC12V或POE供网供电。</w:t>
            </w:r>
            <w:r/>
          </w:p>
          <w:p>
            <w:pPr>
              <w:numPr>
                <w:ilvl w:val="0"/>
                <w:numId w:val="0"/>
              </w:numPr>
              <w:jc w:val="left"/>
              <w:keepLines w:val="0"/>
              <w:keepNext w:val="0"/>
              <w:pageBreakBefore w:val="0"/>
              <w:spacing w:line="360" w:lineRule="exact"/>
              <w:rPr>
                <w:rFonts w:hint="eastAsia" w:ascii="宋体" w:hAnsi="宋体" w:eastAsia="宋体" w:cs="宋体"/>
                <w:b/>
                <w:bCs/>
                <w:i w:val="0"/>
                <w:iCs w:val="0"/>
                <w:color w:val="auto"/>
                <w:sz w:val="21"/>
                <w:szCs w:val="21"/>
                <w:highlight w:val="none"/>
                <w:u w:val="none"/>
                <w:lang w:val="en-US" w:eastAsia="zh-CN" w:bidi="ar"/>
              </w:rPr>
            </w:pPr>
            <w:r>
              <w:rPr>
                <w:rFonts w:hint="eastAsia" w:ascii="宋体" w:hAnsi="宋体" w:eastAsia="宋体" w:cs="宋体"/>
                <w:b w:val="0"/>
                <w:bCs w:val="0"/>
                <w:color w:val="auto"/>
                <w:sz w:val="21"/>
                <w:szCs w:val="21"/>
                <w:highlight w:val="none"/>
              </w:rPr>
              <w:t xml:space="preserve">▲</w:t>
            </w:r>
            <w:r>
              <w:rPr>
                <w:rFonts w:hint="eastAsia" w:ascii="宋体" w:hAnsi="宋体" w:eastAsia="宋体" w:cs="宋体"/>
                <w:i w:val="0"/>
                <w:iCs w:val="0"/>
                <w:color w:val="auto"/>
                <w:sz w:val="21"/>
                <w:szCs w:val="21"/>
                <w:highlight w:val="none"/>
                <w:u w:val="none"/>
                <w:lang w:val="en-US" w:eastAsia="zh-CN" w:bidi="ar"/>
              </w:rPr>
              <w:t xml:space="preserve">10、防尘防水级别≥IP66。</w:t>
            </w:r>
            <w:r>
              <w:rPr>
                <w:rFonts w:hint="eastAsia" w:ascii="宋体" w:hAnsi="宋体" w:eastAsia="宋体" w:cs="宋体"/>
                <w:b/>
                <w:bCs/>
                <w:i w:val="0"/>
                <w:iCs w:val="0"/>
                <w:color w:val="auto"/>
                <w:sz w:val="21"/>
                <w:szCs w:val="21"/>
                <w:highlight w:val="none"/>
                <w:u w:val="none"/>
                <w:lang w:val="en-US" w:eastAsia="zh-CN" w:bidi="ar"/>
              </w:rPr>
              <w:t xml:space="preserve">证明材料：投标时须提供第三方检测机构出具的具有CMA标志的检测报告扫描件，明确标注IP66测试结果。</w:t>
            </w:r>
            <w:r/>
          </w:p>
          <w:p>
            <w:pPr>
              <w:numPr>
                <w:ilvl w:val="0"/>
                <w:numId w:val="0"/>
              </w:numPr>
              <w:jc w:val="left"/>
              <w:keepLines w:val="0"/>
              <w:keepNext w:val="0"/>
              <w:pageBreakBefore w:val="0"/>
              <w:spacing w:line="360" w:lineRule="exact"/>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11、数字化管理与控制接口:设备需标配标准通讯接口(如RS485/Modbus或以太网)，支持以下功能:</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★（1）应可以通过接口获取拾音器的音频数据。（</w:t>
            </w:r>
            <w:r>
              <w:rPr>
                <w:rFonts w:hint="eastAsia" w:ascii="宋体" w:hAnsi="宋体" w:eastAsia="宋体" w:cs="宋体"/>
                <w:b/>
                <w:bCs/>
                <w:color w:val="auto"/>
                <w:sz w:val="21"/>
                <w:szCs w:val="21"/>
                <w:highlight w:val="none"/>
                <w:lang w:val="en-US" w:eastAsia="zh-CN"/>
              </w:rPr>
              <w:t xml:space="preserve">证明材料：</w:t>
            </w:r>
            <w:r>
              <w:rPr>
                <w:rFonts w:hint="eastAsia" w:ascii="宋体" w:hAnsi="宋体" w:eastAsia="宋体" w:cs="宋体"/>
                <w:b/>
                <w:bCs/>
                <w:i w:val="0"/>
                <w:iCs w:val="0"/>
                <w:color w:val="ff0000"/>
                <w:sz w:val="21"/>
                <w:szCs w:val="21"/>
                <w:highlight w:val="none"/>
                <w:u w:val="none"/>
                <w:lang w:val="en-US" w:eastAsia="zh-CN" w:bidi="ar"/>
              </w:rPr>
              <w:t xml:space="preserve">提供</w:t>
            </w:r>
            <w:r>
              <w:rPr>
                <w:rFonts w:hint="eastAsia" w:ascii="宋体" w:hAnsi="宋体" w:cs="宋体"/>
                <w:b/>
                <w:bCs/>
                <w:i w:val="0"/>
                <w:iCs w:val="0"/>
                <w:color w:val="ff0000"/>
                <w:sz w:val="21"/>
                <w:szCs w:val="21"/>
                <w:highlight w:val="none"/>
                <w:u w:val="none"/>
                <w:lang w:val="en-US" w:eastAsia="zh-CN" w:bidi="ar"/>
              </w:rPr>
              <w:t xml:space="preserve">原厂技术白皮书+真实性</w:t>
            </w:r>
            <w:r>
              <w:rPr>
                <w:rFonts w:hint="eastAsia" w:ascii="宋体" w:hAnsi="宋体" w:eastAsia="宋体" w:cs="宋体"/>
                <w:b/>
                <w:bCs/>
                <w:i w:val="0"/>
                <w:iCs w:val="0"/>
                <w:color w:val="ff0000"/>
                <w:sz w:val="21"/>
                <w:szCs w:val="21"/>
                <w:highlight w:val="none"/>
                <w:u w:val="none"/>
                <w:lang w:val="en-US" w:eastAsia="zh-CN" w:bidi="ar"/>
              </w:rPr>
              <w:t xml:space="preserve">承诺函</w:t>
            </w:r>
            <w:r>
              <w:rPr>
                <w:rFonts w:hint="eastAsia" w:ascii="宋体" w:hAnsi="宋体" w:eastAsia="宋体" w:cs="宋体"/>
                <w:b/>
                <w:bCs/>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w:t>
            </w:r>
            <w:r/>
          </w:p>
          <w:p>
            <w:pPr>
              <w:numPr>
                <w:ilvl w:val="0"/>
                <w:numId w:val="0"/>
              </w:numPr>
              <w:jc w:val="left"/>
              <w:keepLines w:val="0"/>
              <w:keepNext w:val="0"/>
              <w:pageBreakBefore w:val="0"/>
              <w:spacing w:line="360" w:lineRule="exact"/>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（2）应可以通过接口获取拾音器音量级别，可以设置输入和输出音量放大级别，输入音量和输出音量放大级别不低于5个级别，1X~5X。</w:t>
            </w:r>
            <w:r/>
          </w:p>
          <w:p>
            <w:pPr>
              <w:numPr>
                <w:ilvl w:val="0"/>
                <w:numId w:val="0"/>
              </w:numPr>
              <w:jc w:val="left"/>
              <w:keepLines w:val="0"/>
              <w:keepNext w:val="0"/>
              <w:pageBreakBefore w:val="0"/>
              <w:spacing w:line="360" w:lineRule="exact"/>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（3）应可以远程网络升级拾音器的软件，支持批量升级。</w:t>
            </w:r>
            <w:r/>
          </w:p>
          <w:p>
            <w:pPr>
              <w:numPr>
                <w:ilvl w:val="0"/>
                <w:numId w:val="0"/>
              </w:numPr>
              <w:jc w:val="left"/>
              <w:keepLines w:val="0"/>
              <w:keepNext w:val="0"/>
              <w:pageBreakBefore w:val="0"/>
              <w:spacing w:line="360" w:lineRule="exact"/>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b/>
                <w:bCs/>
                <w:color w:val="auto"/>
                <w:sz w:val="21"/>
                <w:szCs w:val="21"/>
                <w:highlight w:val="none"/>
                <w:lang w:val="en-US" w:eastAsia="zh-CN"/>
              </w:rPr>
              <w:t xml:space="preserve">12、投标供应商承诺所产品能被常州市教育局直属单位智慧安防服务中的AI算力设备纳管。提供承诺函。</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电源控制箱</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numPr>
                <w:ilvl w:val="0"/>
                <w:numId w:val="0"/>
              </w:numPr>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一、电气性能与容量</w:t>
            </w:r>
            <w:r/>
          </w:p>
          <w:p>
            <w:pPr>
              <w:numPr>
                <w:ilvl w:val="0"/>
                <w:numId w:val="0"/>
              </w:numPr>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1、供电制式与容量：输入/输出制式：支持 AC 380V/220V 三相五线制（TN-S系统）电源输入及输出。</w:t>
            </w:r>
            <w:r/>
          </w:p>
          <w:p>
            <w:pPr>
              <w:numPr>
                <w:ilvl w:val="0"/>
                <w:numId w:val="0"/>
              </w:numPr>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2、串接功能：具备串联接入主回路的能力，可作为“电源切断执行单元”串接在上级配电柜与充电负载之间。</w:t>
            </w:r>
            <w:r/>
          </w:p>
          <w:p>
            <w:pPr>
              <w:numPr>
                <w:ilvl w:val="0"/>
                <w:numId w:val="0"/>
              </w:numPr>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3、额定电流：主回路最大持续工作电流 ≥250A，且具备短时过载能力。</w:t>
            </w:r>
            <w:r/>
          </w:p>
          <w:p>
            <w:pPr>
              <w:numPr>
                <w:ilvl w:val="0"/>
                <w:numId w:val="0"/>
              </w:numPr>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4、分断能力：内部断路器的极限短路分断能力（Icu）应不低于 35kA，确保故障时能安全切断。</w:t>
            </w:r>
            <w:r/>
          </w:p>
          <w:p>
            <w:pPr>
              <w:numPr>
                <w:ilvl w:val="0"/>
                <w:numId w:val="0"/>
              </w:numPr>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二、消防联动控制逻辑（干节点联动控制）</w:t>
            </w:r>
            <w:r/>
          </w:p>
          <w:p>
            <w:pPr>
              <w:numPr>
                <w:ilvl w:val="0"/>
                <w:numId w:val="0"/>
              </w:numPr>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5、信号接口：设备须配置无源干节点（Dry Contact）输入接口，用于接收消防联动信号。</w:t>
            </w:r>
            <w:r/>
          </w:p>
          <w:p>
            <w:pPr>
              <w:numPr>
                <w:ilvl w:val="0"/>
                <w:numId w:val="0"/>
              </w:numPr>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控制逻辑：常态/复位状态（信号“开”/闭合）：当接收到物联网网关或消防主机发出的“允许供电”信号（触点闭合）时，控制箱内主接触器/断路器吸合，接通从输入端到输出端的电源通路，充电设备正常供电。</w:t>
            </w:r>
            <w:r/>
          </w:p>
          <w:p>
            <w:pPr>
              <w:numPr>
                <w:ilvl w:val="0"/>
                <w:numId w:val="0"/>
              </w:numPr>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7、报警/切断状态（信号“闭”/断开）：当接收到“紧急切断”信号（触点断开，如火灾报警触发）时，控制箱须在 ≤1秒 内自动脱扣，物理切断输入端到输出端的电源通路，强制停止所有充电负载供电。</w:t>
            </w:r>
            <w:r/>
          </w:p>
          <w:p>
            <w:pPr>
              <w:numPr>
                <w:ilvl w:val="0"/>
                <w:numId w:val="0"/>
              </w:numPr>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8、失效保护（Fail-Safe）：控制回路应具备失电保护功能。即当控制信号线断路、网关断电或控制箱自身控制电源丢失时，默认执行切断电源动作，确保火灾等紧急情况下绝对安全。</w:t>
            </w:r>
            <w:r/>
          </w:p>
          <w:p>
            <w:pPr>
              <w:numPr>
                <w:ilvl w:val="0"/>
                <w:numId w:val="0"/>
              </w:numPr>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9、状态反馈（可选但推荐）：设备应提供一组干节点输出，用于向监控中心反馈当前“通/断”状态。</w:t>
            </w:r>
            <w:r/>
          </w:p>
          <w:p>
            <w:pPr>
              <w:numPr>
                <w:ilvl w:val="0"/>
                <w:numId w:val="0"/>
              </w:numPr>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三、接口与验证</w:t>
            </w:r>
            <w:r/>
          </w:p>
          <w:p>
            <w:pPr>
              <w:numPr>
                <w:ilvl w:val="0"/>
                <w:numId w:val="0"/>
              </w:numPr>
              <w:jc w:val="left"/>
              <w:keepLines w:val="0"/>
              <w:keepNext w:val="0"/>
              <w:pageBreakBefore w:val="0"/>
              <w:spacing w:line="360" w:lineRule="exact"/>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sz w:val="21"/>
                <w:szCs w:val="21"/>
                <w:lang w:val="en-US" w:eastAsia="zh-CN"/>
              </w:rPr>
              <w:t xml:space="preserve">★</w:t>
            </w:r>
            <w:r>
              <w:rPr>
                <w:rFonts w:hint="eastAsia" w:ascii="宋体" w:hAnsi="宋体" w:eastAsia="宋体" w:cs="宋体"/>
                <w:i w:val="0"/>
                <w:iCs w:val="0"/>
                <w:color w:val="auto"/>
                <w:sz w:val="21"/>
                <w:szCs w:val="21"/>
                <w:highlight w:val="none"/>
                <w:u w:val="none"/>
                <w:lang w:val="en-US" w:eastAsia="zh-CN" w:bidi="ar"/>
              </w:rPr>
              <w:t xml:space="preserve">10、数字化管理与控制接口:设备需标配标准通讯接口(如RS485/Modbus或以太网)，支持以下功能:</w:t>
            </w:r>
            <w:r/>
          </w:p>
          <w:p>
            <w:pPr>
              <w:ind w:left="0"/>
              <w:jc w:val="left"/>
              <w:keepLines w:val="0"/>
              <w:keepNext w:val="0"/>
              <w:pageBreakBefore w:val="0"/>
              <w:spacing w:line="360" w:lineRule="exact"/>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lang w:val="en-US" w:eastAsia="zh-CN"/>
              </w:rPr>
              <w:t xml:space="preserve">（1）</w:t>
            </w:r>
            <w:r>
              <w:rPr>
                <w:rFonts w:hint="eastAsia" w:ascii="宋体" w:hAnsi="宋体" w:eastAsia="宋体" w:cs="宋体"/>
                <w:sz w:val="21"/>
                <w:szCs w:val="21"/>
                <w:highlight w:val="none"/>
                <w:lang w:val="en-US" w:eastAsia="zh-CN"/>
              </w:rPr>
              <w:t xml:space="preserve">支持</w:t>
            </w:r>
            <w:r>
              <w:rPr>
                <w:rFonts w:hint="eastAsia" w:ascii="宋体" w:hAnsi="宋体" w:eastAsia="宋体" w:cs="宋体"/>
                <w:sz w:val="21"/>
                <w:szCs w:val="21"/>
                <w:highlight w:val="none"/>
              </w:rPr>
              <w:t xml:space="preserve">接收网关的输出干节点控制信号作为“电源切断控制柜”的输入信号</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当控制信号为“开”时，“电源切断控制柜”的电源输入到电源输出通路应可以接通</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当控制信号为“闭”时，“电源切断控制柜”的电源输入到电源输出通路应可以切断</w:t>
            </w:r>
            <w:r>
              <w:rPr>
                <w:rFonts w:hint="eastAsia" w:ascii="宋体" w:hAnsi="宋体" w:eastAsia="宋体" w:cs="宋体"/>
                <w:sz w:val="21"/>
                <w:szCs w:val="21"/>
                <w:highlight w:val="none"/>
                <w:lang w:eastAsia="zh-CN"/>
              </w:rPr>
              <w:t xml:space="preserve">。</w:t>
            </w:r>
            <w:r>
              <w:rPr>
                <w:rFonts w:hint="eastAsia" w:ascii="宋体" w:hAnsi="宋体" w:eastAsia="宋体" w:cs="宋体"/>
                <w:b/>
                <w:bCs/>
                <w:color w:val="auto"/>
                <w:sz w:val="21"/>
                <w:szCs w:val="21"/>
                <w:lang w:val="en-US" w:eastAsia="zh-CN"/>
              </w:rPr>
              <w:t xml:space="preserve">证明材料：</w:t>
            </w:r>
            <w:r>
              <w:rPr>
                <w:rFonts w:hint="eastAsia" w:ascii="宋体" w:hAnsi="宋体" w:eastAsia="宋体" w:cs="宋体"/>
                <w:b/>
                <w:bCs/>
                <w:i w:val="0"/>
                <w:iCs w:val="0"/>
                <w:color w:val="ff0000"/>
                <w:sz w:val="21"/>
                <w:szCs w:val="21"/>
                <w:highlight w:val="none"/>
                <w:u w:val="none"/>
                <w:lang w:val="en-US" w:eastAsia="zh-CN" w:bidi="ar"/>
              </w:rPr>
              <w:t xml:space="preserve">提供</w:t>
            </w:r>
            <w:r>
              <w:rPr>
                <w:rFonts w:hint="eastAsia" w:ascii="宋体" w:hAnsi="宋体" w:cs="宋体"/>
                <w:b/>
                <w:bCs/>
                <w:i w:val="0"/>
                <w:iCs w:val="0"/>
                <w:color w:val="ff0000"/>
                <w:sz w:val="21"/>
                <w:szCs w:val="21"/>
                <w:highlight w:val="none"/>
                <w:u w:val="none"/>
                <w:lang w:val="en-US" w:eastAsia="zh-CN" w:bidi="ar"/>
              </w:rPr>
              <w:t xml:space="preserve">原厂技术白皮书+真实性</w:t>
            </w:r>
            <w:r>
              <w:rPr>
                <w:rFonts w:hint="eastAsia" w:ascii="宋体" w:hAnsi="宋体" w:eastAsia="宋体" w:cs="宋体"/>
                <w:b/>
                <w:bCs/>
                <w:i w:val="0"/>
                <w:iCs w:val="0"/>
                <w:color w:val="ff0000"/>
                <w:sz w:val="21"/>
                <w:szCs w:val="21"/>
                <w:highlight w:val="none"/>
                <w:u w:val="none"/>
                <w:lang w:val="en-US" w:eastAsia="zh-CN" w:bidi="ar"/>
              </w:rPr>
              <w:t xml:space="preserve">承诺函</w:t>
            </w:r>
            <w:r>
              <w:rPr>
                <w:rFonts w:hint="eastAsia" w:ascii="宋体" w:hAnsi="宋体" w:eastAsia="宋体" w:cs="宋体"/>
                <w:b/>
                <w:bCs/>
                <w:i w:val="0"/>
                <w:iCs w:val="0"/>
                <w:color w:val="auto"/>
                <w:sz w:val="21"/>
                <w:szCs w:val="21"/>
                <w:highlight w:val="none"/>
                <w:u w:val="none"/>
                <w:lang w:val="en-US" w:eastAsia="zh-CN" w:bidi="ar"/>
              </w:rPr>
              <w:t xml:space="preserve">。</w:t>
            </w:r>
            <w:r/>
          </w:p>
          <w:p>
            <w:pPr>
              <w:pStyle w:val="810"/>
              <w:numPr>
                <w:ilvl w:val="0"/>
                <w:numId w:val="0"/>
              </w:numPr>
              <w:jc w:val="left"/>
              <w:keepLines w:val="0"/>
              <w:keepNext w:val="0"/>
              <w:pageBreakBefore w:val="0"/>
              <w:spacing w:line="36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highlight w:val="none"/>
                <w:lang w:val="en-US" w:eastAsia="zh-CN" w:bidi="ar-SA"/>
              </w:rPr>
              <w:t xml:space="preserve">（2）消防联动执行:支持预设联动逻辑或接收上位机指令，通过控制数字信息输入状态直接驱动“电源切断控制柜”，实现高危区域电源的秒级切断。</w:t>
            </w:r>
            <w:r>
              <w:rPr>
                <w:rFonts w:hint="eastAsia" w:ascii="宋体" w:hAnsi="宋体" w:eastAsia="宋体" w:cs="宋体"/>
                <w:b/>
                <w:bCs/>
                <w:sz w:val="21"/>
                <w:szCs w:val="21"/>
                <w:highlight w:val="none"/>
                <w:lang w:val="en-US" w:eastAsia="zh-CN" w:bidi="ar-SA"/>
              </w:rPr>
              <w:t xml:space="preserve">提供承诺函。</w:t>
            </w:r>
            <w:r/>
          </w:p>
          <w:p>
            <w:pPr>
              <w:numPr>
                <w:ilvl w:val="0"/>
                <w:numId w:val="0"/>
              </w:numPr>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四、其他</w:t>
            </w:r>
            <w:r/>
          </w:p>
          <w:p>
            <w:pPr>
              <w:numPr>
                <w:ilvl w:val="0"/>
                <w:numId w:val="0"/>
              </w:numPr>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11、箱体面板须设置手动紧急停止按钮（蘑菇头按钮），在自动联动失效或人工发现火情时，可就地手动强制切断电源。</w:t>
            </w:r>
            <w:r/>
          </w:p>
          <w:p>
            <w:pPr>
              <w:pStyle w:val="810"/>
              <w:ind w:firstLine="0"/>
              <w:keepLines w:val="0"/>
              <w:keepNext w:val="0"/>
              <w:pageBreakBefore w:val="0"/>
              <w:spacing w:line="360" w:lineRule="exact"/>
              <w:rPr>
                <w:rFonts w:hint="eastAsia" w:ascii="宋体" w:hAnsi="宋体" w:eastAsia="宋体" w:cs="宋体"/>
                <w:sz w:val="21"/>
                <w:szCs w:val="21"/>
                <w:lang w:eastAsia="zh-CN"/>
              </w:rPr>
            </w:pPr>
            <w:r>
              <w:rPr>
                <w:rFonts w:hint="eastAsia" w:ascii="宋体" w:hAnsi="宋体" w:eastAsia="宋体" w:cs="宋体"/>
                <w:i w:val="0"/>
                <w:iCs w:val="0"/>
                <w:color w:val="auto"/>
                <w:sz w:val="21"/>
                <w:szCs w:val="21"/>
                <w:highlight w:val="none"/>
                <w:u w:val="none"/>
                <w:lang w:val="en-US" w:eastAsia="zh-CN" w:bidi="ar"/>
              </w:rPr>
              <w:t xml:space="preserve">12、箱体上有明显的“供电/断电”状态指示灯，方便巡检人员直观判断设备状态。</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24电口千兆POE交换机</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tcPr>
          <w:p>
            <w:pPr>
              <w:ind w:left="0"/>
              <w:jc w:val="left"/>
              <w:keepLines w:val="0"/>
              <w:keepNext w:val="0"/>
              <w:pageBreakBefore w:val="0"/>
              <w:spacing w:line="360" w:lineRule="exact"/>
              <w:widowControl/>
              <w:rPr>
                <w:rFonts w:hint="eastAsia" w:ascii="宋体" w:hAnsi="宋体" w:eastAsia="宋体" w:cs="宋体"/>
                <w:b/>
                <w:bCs/>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rPr>
              <w:t xml:space="preserve">一、端口与性能</w:t>
            </w:r>
            <w:r>
              <w:rPr>
                <w:rFonts w:hint="eastAsia" w:ascii="宋体" w:hAnsi="宋体" w:eastAsia="宋体" w:cs="宋体"/>
                <w:b/>
                <w:bCs/>
                <w:i w:val="0"/>
                <w:iCs w:val="0"/>
                <w:color w:val="000000"/>
                <w:sz w:val="21"/>
                <w:szCs w:val="21"/>
                <w:highlight w:val="none"/>
                <w:u w:val="none"/>
              </w:rPr>
              <w:t xml:space="preserve">（</w:t>
            </w:r>
            <w:r>
              <w:rPr>
                <w:rFonts w:hint="eastAsia" w:ascii="宋体" w:hAnsi="宋体" w:eastAsia="宋体" w:cs="宋体"/>
                <w:b/>
                <w:bCs/>
                <w:color w:val="auto"/>
                <w:sz w:val="21"/>
                <w:szCs w:val="21"/>
                <w:highlight w:val="none"/>
                <w:lang w:val="en-US" w:eastAsia="zh-CN"/>
              </w:rPr>
              <w:t xml:space="preserve">提供原厂公开技术文档（白皮书、彩页、官网规格页截图及链接地址均可）</w:t>
            </w:r>
            <w:r>
              <w:rPr>
                <w:rFonts w:hint="eastAsia" w:ascii="宋体" w:hAnsi="宋体" w:eastAsia="宋体" w:cs="宋体"/>
                <w:b/>
                <w:bCs/>
                <w:i w:val="0"/>
                <w:iCs w:val="0"/>
                <w:color w:val="000000"/>
                <w:sz w:val="21"/>
                <w:szCs w:val="21"/>
                <w:highlight w:val="none"/>
                <w:u w:val="none"/>
                <w:lang w:eastAsia="zh-CN"/>
              </w:rPr>
              <w:t xml:space="preserve">）</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★1. 端口配置：提供 ≥24 个 10/100/1000M 自适应以太网电口（RJ45），全部支持</w:t>
            </w:r>
            <w:r>
              <w:rPr>
                <w:rFonts w:hint="eastAsia" w:ascii="宋体" w:hAnsi="宋体" w:eastAsia="宋体" w:cs="宋体"/>
                <w:i w:val="0"/>
                <w:iCs w:val="0"/>
                <w:color w:val="000000"/>
                <w:sz w:val="21"/>
                <w:szCs w:val="21"/>
                <w:highlight w:val="none"/>
                <w:u w:val="none"/>
                <w:lang w:val="en-US" w:eastAsia="zh-CN"/>
              </w:rPr>
              <w:t xml:space="preserve">不低于</w:t>
            </w:r>
            <w:r>
              <w:rPr>
                <w:rFonts w:hint="eastAsia" w:ascii="宋体" w:hAnsi="宋体" w:eastAsia="宋体" w:cs="宋体"/>
                <w:i w:val="0"/>
                <w:iCs w:val="0"/>
                <w:color w:val="000000"/>
                <w:sz w:val="21"/>
                <w:szCs w:val="21"/>
                <w:highlight w:val="none"/>
                <w:u w:val="none"/>
              </w:rPr>
              <w:t xml:space="preserve"> IEEE 802.3at（PoE+）；提供 ≥4 个 千兆SFP光口。</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★2. 交换性能：</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整机交换容量 ≥</w:t>
            </w:r>
            <w:r>
              <w:rPr>
                <w:rFonts w:hint="eastAsia" w:ascii="宋体" w:hAnsi="宋体" w:eastAsia="宋体" w:cs="宋体"/>
                <w:i w:val="0"/>
                <w:iCs w:val="0"/>
                <w:color w:val="000000"/>
                <w:sz w:val="21"/>
                <w:szCs w:val="21"/>
                <w:highlight w:val="none"/>
                <w:u w:val="none"/>
                <w:lang w:val="en-US" w:eastAsia="zh-CN"/>
              </w:rPr>
              <w:t xml:space="preserve">600</w:t>
            </w:r>
            <w:r>
              <w:rPr>
                <w:rFonts w:hint="eastAsia" w:ascii="宋体" w:hAnsi="宋体" w:eastAsia="宋体" w:cs="宋体"/>
                <w:i w:val="0"/>
                <w:iCs w:val="0"/>
                <w:color w:val="000000"/>
                <w:sz w:val="21"/>
                <w:szCs w:val="21"/>
                <w:highlight w:val="none"/>
                <w:u w:val="none"/>
              </w:rPr>
              <w:t xml:space="preserve"> Gbps；整机包转发率 ≥ </w:t>
            </w:r>
            <w:r>
              <w:rPr>
                <w:rFonts w:hint="eastAsia" w:ascii="宋体" w:hAnsi="宋体" w:eastAsia="宋体" w:cs="宋体"/>
                <w:i w:val="0"/>
                <w:iCs w:val="0"/>
                <w:color w:val="000000"/>
                <w:sz w:val="21"/>
                <w:szCs w:val="21"/>
                <w:highlight w:val="none"/>
                <w:u w:val="none"/>
                <w:lang w:val="en-US" w:eastAsia="zh-CN"/>
              </w:rPr>
              <w:t xml:space="preserve">120</w:t>
            </w:r>
            <w:r>
              <w:rPr>
                <w:rFonts w:hint="eastAsia" w:ascii="宋体" w:hAnsi="宋体" w:eastAsia="宋体" w:cs="宋体"/>
                <w:i w:val="0"/>
                <w:iCs w:val="0"/>
                <w:color w:val="000000"/>
                <w:sz w:val="21"/>
                <w:szCs w:val="21"/>
                <w:highlight w:val="none"/>
                <w:u w:val="none"/>
              </w:rPr>
              <w:t xml:space="preserve"> Mpps。</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二、PoE供电能力</w:t>
            </w:r>
            <w:r>
              <w:rPr>
                <w:rFonts w:hint="eastAsia" w:ascii="宋体" w:hAnsi="宋体" w:eastAsia="宋体" w:cs="宋体"/>
                <w:b/>
                <w:bCs/>
                <w:i w:val="0"/>
                <w:iCs w:val="0"/>
                <w:color w:val="000000"/>
                <w:sz w:val="21"/>
                <w:szCs w:val="21"/>
                <w:highlight w:val="none"/>
                <w:u w:val="none"/>
              </w:rPr>
              <w:t xml:space="preserve">（</w:t>
            </w:r>
            <w:r>
              <w:rPr>
                <w:rFonts w:hint="eastAsia" w:ascii="宋体" w:hAnsi="宋体" w:eastAsia="宋体" w:cs="宋体"/>
                <w:b/>
                <w:bCs/>
                <w:color w:val="auto"/>
                <w:sz w:val="21"/>
                <w:szCs w:val="21"/>
                <w:highlight w:val="none"/>
                <w:lang w:val="en-US" w:eastAsia="zh-CN"/>
              </w:rPr>
              <w:t xml:space="preserve">提供原厂公开技术文档（白皮书、彩页、官网规格页截图及链接地址均可）</w:t>
            </w:r>
            <w:r>
              <w:rPr>
                <w:rFonts w:hint="eastAsia" w:ascii="宋体" w:hAnsi="宋体" w:eastAsia="宋体" w:cs="宋体"/>
                <w:b/>
                <w:bCs/>
                <w:i w:val="0"/>
                <w:iCs w:val="0"/>
                <w:color w:val="000000"/>
                <w:sz w:val="21"/>
                <w:szCs w:val="21"/>
                <w:highlight w:val="none"/>
                <w:u w:val="none"/>
              </w:rPr>
              <w:t xml:space="preserve">）</w:t>
            </w:r>
            <w:r/>
          </w:p>
          <w:p>
            <w:pPr>
              <w:ind w:left="0"/>
              <w:jc w:val="left"/>
              <w:keepLines w:val="0"/>
              <w:keepNext w:val="0"/>
              <w:pageBreakBefore w:val="0"/>
              <w:spacing w:line="36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★3. PoE标准与功率：</w:t>
            </w:r>
            <w:r>
              <w:rPr>
                <w:rFonts w:hint="eastAsia" w:ascii="宋体" w:hAnsi="宋体" w:eastAsia="宋体" w:cs="宋体"/>
                <w:i w:val="0"/>
                <w:iCs w:val="0"/>
                <w:color w:val="000000"/>
                <w:sz w:val="21"/>
                <w:szCs w:val="21"/>
                <w:highlight w:val="none"/>
                <w:u w:val="none"/>
                <w:lang w:val="en-US" w:eastAsia="zh-CN"/>
              </w:rPr>
              <w:t xml:space="preserve">至少</w:t>
            </w:r>
            <w:r>
              <w:rPr>
                <w:rFonts w:hint="eastAsia" w:ascii="宋体" w:hAnsi="宋体" w:eastAsia="宋体" w:cs="宋体"/>
                <w:i w:val="0"/>
                <w:iCs w:val="0"/>
                <w:color w:val="000000"/>
                <w:sz w:val="21"/>
                <w:szCs w:val="21"/>
                <w:highlight w:val="none"/>
                <w:u w:val="none"/>
              </w:rPr>
              <w:t xml:space="preserve">支持 IEEE 802.3at（PoE+），</w:t>
            </w:r>
            <w:r>
              <w:rPr>
                <w:rFonts w:hint="eastAsia" w:ascii="宋体" w:hAnsi="宋体" w:eastAsia="宋体" w:cs="宋体"/>
                <w:color w:val="000000"/>
                <w:sz w:val="21"/>
                <w:szCs w:val="21"/>
                <w:highlight w:val="none"/>
              </w:rPr>
              <w:t xml:space="preserve">同时可</w:t>
            </w:r>
            <w:r>
              <w:rPr>
                <w:rFonts w:hint="eastAsia" w:ascii="宋体" w:hAnsi="宋体" w:eastAsia="宋体" w:cs="宋体"/>
                <w:color w:val="ff0000"/>
                <w:sz w:val="21"/>
                <w:szCs w:val="21"/>
                <w:highlight w:val="none"/>
              </w:rPr>
              <w:t xml:space="preserve">POE供电端口≥24个</w:t>
            </w:r>
            <w:r>
              <w:rPr>
                <w:rFonts w:hint="eastAsia" w:ascii="宋体" w:hAnsi="宋体" w:eastAsia="宋体" w:cs="宋体"/>
                <w:i w:val="0"/>
                <w:iCs w:val="0"/>
                <w:color w:val="ff0000"/>
                <w:sz w:val="21"/>
                <w:szCs w:val="21"/>
                <w:highlight w:val="none"/>
                <w:u w:val="none"/>
              </w:rPr>
              <w:t xml:space="preserve">；整机可用PoE功率 ≥ </w:t>
            </w:r>
            <w:r>
              <w:rPr>
                <w:rFonts w:hint="eastAsia" w:ascii="宋体" w:hAnsi="宋体" w:eastAsia="宋体" w:cs="宋体"/>
                <w:i w:val="0"/>
                <w:iCs w:val="0"/>
                <w:color w:val="ff0000"/>
                <w:sz w:val="21"/>
                <w:szCs w:val="21"/>
                <w:highlight w:val="none"/>
                <w:u w:val="none"/>
                <w:lang w:val="en-US" w:eastAsia="zh-CN"/>
              </w:rPr>
              <w:t xml:space="preserve">370</w:t>
            </w:r>
            <w:r>
              <w:rPr>
                <w:rFonts w:hint="eastAsia" w:ascii="宋体" w:hAnsi="宋体" w:eastAsia="宋体" w:cs="宋体"/>
                <w:i w:val="0"/>
                <w:iCs w:val="0"/>
                <w:color w:val="ff0000"/>
                <w:sz w:val="21"/>
                <w:szCs w:val="21"/>
                <w:highlight w:val="none"/>
                <w:u w:val="none"/>
              </w:rPr>
              <w:t xml:space="preserve">W。</w:t>
            </w:r>
            <w:r>
              <w:rPr>
                <w:rFonts w:hint="eastAsia" w:ascii="宋体" w:hAnsi="宋体" w:eastAsia="宋体" w:cs="宋体"/>
                <w:b/>
                <w:bCs/>
                <w:i w:val="0"/>
                <w:iCs w:val="0"/>
                <w:color w:val="ff0000"/>
                <w:sz w:val="21"/>
                <w:szCs w:val="21"/>
                <w:highlight w:val="none"/>
                <w:u w:val="none"/>
              </w:rPr>
              <w:t xml:space="preserve">（实际供电需满足学校使用需求）。</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三、三层路由与IPv6支持</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4. 路由协议：支持以下IPv4/IPv6路由功能：静态路由；RIPv1/v2、RIPng；OSPFv2、OSPFv3；</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支持IPv4/IPv6双栈及组播转发。</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四、VLAN、堆叠与链路聚合</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5. VLAN划分：支持基于端口、MAC地址、协议类型的VLAN。</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6. 高可用与聚合：支持多台设备虚拟化堆叠（物理或逻辑），实现统一管理；支持静态链路聚合及 LACP（IEEE 802.3ad）动态聚合。</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五、安全与终端管控</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7. 设备抗攻击能力：具备CPU保护机制，限制非法报文（如泛洪、畸形包）对主控CPU的冲击；支持ARP网关欺骗防御（如DAI、ARP Check）；支持ICMP泛洪、SYN Flood等DoS攻击防护策略。</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8</w:t>
            </w:r>
            <w:r>
              <w:rPr>
                <w:rFonts w:hint="eastAsia" w:ascii="宋体" w:hAnsi="宋体" w:eastAsia="宋体" w:cs="宋体"/>
                <w:i w:val="0"/>
                <w:iCs w:val="0"/>
                <w:color w:val="000000"/>
                <w:sz w:val="21"/>
                <w:szCs w:val="21"/>
                <w:highlight w:val="none"/>
                <w:u w:val="none"/>
              </w:rPr>
              <w:t xml:space="preserve">. 表项容量：MAC地址表 ≥ 16K；ARP表项 ≥ 4K；IPv4 FIB表项 ≥ 1K。</w:t>
            </w:r>
            <w:r>
              <w:rPr>
                <w:rFonts w:hint="eastAsia" w:ascii="宋体" w:hAnsi="宋体" w:eastAsia="宋体" w:cs="宋体"/>
                <w:b/>
                <w:bCs/>
                <w:color w:val="auto"/>
                <w:sz w:val="21"/>
                <w:szCs w:val="21"/>
                <w:highlight w:val="none"/>
                <w:lang w:val="en-US" w:eastAsia="zh-CN"/>
              </w:rPr>
              <w:t xml:space="preserve">提供原厂公开技术文档（白皮书、彩页、官网规格页截图及链接地址均可）</w:t>
            </w:r>
            <w:r>
              <w:rPr>
                <w:rFonts w:hint="eastAsia" w:ascii="宋体" w:hAnsi="宋体" w:eastAsia="宋体" w:cs="宋体"/>
                <w:b/>
                <w:bCs/>
                <w:i w:val="0"/>
                <w:iCs w:val="0"/>
                <w:color w:val="000000"/>
                <w:sz w:val="21"/>
                <w:szCs w:val="21"/>
                <w:highlight w:val="none"/>
                <w:u w:val="none"/>
              </w:rPr>
              <w:t xml:space="preserve">。</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六、可靠性与环境适应性</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9</w:t>
            </w:r>
            <w:r>
              <w:rPr>
                <w:rFonts w:hint="eastAsia" w:ascii="宋体" w:hAnsi="宋体" w:eastAsia="宋体" w:cs="宋体"/>
                <w:i w:val="0"/>
                <w:iCs w:val="0"/>
                <w:color w:val="000000"/>
                <w:sz w:val="21"/>
                <w:szCs w:val="21"/>
                <w:highlight w:val="none"/>
                <w:u w:val="none"/>
              </w:rPr>
              <w:t xml:space="preserve">. 端口防雷能力：所有业务电口具备 ≥6 kV（线-地）浪涌抗扰度，符合 IEC 61000-4-5 或 GB/T 17626.5 标准。</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1</w:t>
            </w:r>
            <w:r>
              <w:rPr>
                <w:rFonts w:hint="eastAsia" w:ascii="宋体" w:hAnsi="宋体" w:eastAsia="宋体" w:cs="宋体"/>
                <w:i w:val="0"/>
                <w:iCs w:val="0"/>
                <w:color w:val="000000"/>
                <w:sz w:val="21"/>
                <w:szCs w:val="21"/>
                <w:highlight w:val="none"/>
                <w:u w:val="none"/>
                <w:lang w:val="en-US" w:eastAsia="zh-CN"/>
              </w:rPr>
              <w:t xml:space="preserve">0</w:t>
            </w:r>
            <w:r>
              <w:rPr>
                <w:rFonts w:hint="eastAsia" w:ascii="宋体" w:hAnsi="宋体" w:eastAsia="宋体" w:cs="宋体"/>
                <w:i w:val="0"/>
                <w:iCs w:val="0"/>
                <w:color w:val="000000"/>
                <w:sz w:val="21"/>
                <w:szCs w:val="21"/>
                <w:highlight w:val="none"/>
                <w:u w:val="none"/>
              </w:rPr>
              <w:t xml:space="preserve">. 节能环保：支持 IEEE 802.3az（EEE）高效节能以太网，在端口空闲时自动进入低功耗模式，有流量时快速恢复。</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七、管理与运维</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1</w:t>
            </w:r>
            <w:r>
              <w:rPr>
                <w:rFonts w:hint="eastAsia" w:ascii="宋体" w:hAnsi="宋体" w:eastAsia="宋体" w:cs="宋体"/>
                <w:i w:val="0"/>
                <w:iCs w:val="0"/>
                <w:color w:val="000000"/>
                <w:sz w:val="21"/>
                <w:szCs w:val="21"/>
                <w:highlight w:val="none"/>
                <w:u w:val="none"/>
                <w:lang w:val="en-US" w:eastAsia="zh-CN"/>
              </w:rPr>
              <w:t xml:space="preserve">1</w:t>
            </w:r>
            <w:r>
              <w:rPr>
                <w:rFonts w:hint="eastAsia" w:ascii="宋体" w:hAnsi="宋体" w:eastAsia="宋体" w:cs="宋体"/>
                <w:i w:val="0"/>
                <w:iCs w:val="0"/>
                <w:color w:val="000000"/>
                <w:sz w:val="21"/>
                <w:szCs w:val="21"/>
                <w:highlight w:val="none"/>
                <w:u w:val="none"/>
              </w:rPr>
              <w:t xml:space="preserve">. SDN与认证支持：支持SDN架构（如OpenFlow 1.3或等效开放API）；支持 IEEE 802.1X 端口认证，可对接主流RADIUS认证服务器。</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1</w:t>
            </w:r>
            <w:r>
              <w:rPr>
                <w:rFonts w:hint="eastAsia" w:ascii="宋体" w:hAnsi="宋体" w:eastAsia="宋体" w:cs="宋体"/>
                <w:i w:val="0"/>
                <w:iCs w:val="0"/>
                <w:color w:val="000000"/>
                <w:sz w:val="21"/>
                <w:szCs w:val="21"/>
                <w:highlight w:val="none"/>
                <w:u w:val="none"/>
                <w:lang w:val="en-US" w:eastAsia="zh-CN"/>
              </w:rPr>
              <w:t xml:space="preserve">2</w:t>
            </w:r>
            <w:r>
              <w:rPr>
                <w:rFonts w:hint="eastAsia" w:ascii="宋体" w:hAnsi="宋体" w:eastAsia="宋体" w:cs="宋体"/>
                <w:i w:val="0"/>
                <w:iCs w:val="0"/>
                <w:color w:val="000000"/>
                <w:sz w:val="21"/>
                <w:szCs w:val="21"/>
                <w:highlight w:val="none"/>
                <w:u w:val="none"/>
              </w:rPr>
              <w:t xml:space="preserve">. 管理接口：支持 SNMP v1/v2c/v3、CLI（Console/Telnet/SSH）、Web GUI、Syslog、NTP、TFTP/FTP/SFTP 等标准管理协议。</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八、合规与强制认证</w:t>
            </w:r>
            <w:r/>
          </w:p>
          <w:p>
            <w:pPr>
              <w:jc w:val="left"/>
              <w:keepLines w:val="0"/>
              <w:keepNext w:val="0"/>
              <w:pageBreakBefore w:val="0"/>
              <w:spacing w:line="36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★1</w:t>
            </w:r>
            <w:r>
              <w:rPr>
                <w:rFonts w:hint="eastAsia" w:ascii="宋体" w:hAnsi="宋体" w:eastAsia="宋体" w:cs="宋体"/>
                <w:i w:val="0"/>
                <w:iCs w:val="0"/>
                <w:color w:val="000000"/>
                <w:sz w:val="21"/>
                <w:szCs w:val="21"/>
                <w:highlight w:val="none"/>
                <w:u w:val="none"/>
                <w:lang w:val="en-US" w:eastAsia="zh-CN"/>
              </w:rPr>
              <w:t xml:space="preserve">3</w:t>
            </w:r>
            <w:r>
              <w:rPr>
                <w:rFonts w:hint="eastAsia" w:ascii="宋体" w:hAnsi="宋体" w:eastAsia="宋体" w:cs="宋体"/>
                <w:i w:val="0"/>
                <w:iCs w:val="0"/>
                <w:color w:val="000000"/>
                <w:sz w:val="21"/>
                <w:szCs w:val="21"/>
                <w:highlight w:val="none"/>
                <w:u w:val="none"/>
              </w:rPr>
              <w:t xml:space="preserve">. 电信设备进网许可（CTA）：所投产品必须具备工业和信息化部核发的有效《电信设备进网许可证》。投标时须提供：进网许可证清晰扫描件；工信部官网查询结果截图，显示设备型号、生产企业、许可证编号及状态为“有效”。</w:t>
            </w:r>
            <w:r/>
          </w:p>
          <w:p>
            <w:pPr>
              <w:pStyle w:val="810"/>
              <w:ind w:left="0" w:firstLine="0"/>
              <w:keepLines w:val="0"/>
              <w:keepNext w:val="0"/>
              <w:pageBreakBefore w:val="0"/>
              <w:spacing w:line="360" w:lineRule="exact"/>
              <w:rPr>
                <w:rFonts w:hint="eastAsia" w:ascii="宋体" w:hAnsi="宋体" w:eastAsia="宋体" w:cs="宋体"/>
                <w:sz w:val="21"/>
                <w:szCs w:val="21"/>
              </w:rPr>
            </w:pPr>
            <w:r>
              <w:rPr>
                <w:rFonts w:hint="eastAsia" w:ascii="宋体" w:hAnsi="宋体" w:eastAsia="宋体" w:cs="宋体"/>
                <w:i w:val="0"/>
                <w:iCs w:val="0"/>
                <w:color w:val="000000"/>
                <w:sz w:val="21"/>
                <w:szCs w:val="21"/>
                <w:highlight w:val="none"/>
                <w:u w:val="none"/>
              </w:rPr>
              <w:t xml:space="preserve">★</w:t>
            </w:r>
            <w:r>
              <w:rPr>
                <w:rFonts w:hint="eastAsia" w:ascii="宋体" w:hAnsi="宋体" w:eastAsia="宋体" w:cs="宋体"/>
                <w:i w:val="0"/>
                <w:iCs w:val="0"/>
                <w:color w:val="000000"/>
                <w:sz w:val="21"/>
                <w:szCs w:val="21"/>
                <w:highlight w:val="none"/>
                <w:u w:val="none"/>
                <w:lang w:val="en-US" w:eastAsia="zh-CN"/>
              </w:rPr>
              <w:t xml:space="preserve">14、与学校原有网络设备要兼容。提供承诺函加盖投标公章。</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48电口千兆POE交换机</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ind w:left="0"/>
              <w:jc w:val="left"/>
              <w:keepLines w:val="0"/>
              <w:keepNext w:val="0"/>
              <w:pageBreakBefore w:val="0"/>
              <w:spacing w:line="360" w:lineRule="exact"/>
              <w:widowControl/>
              <w:rPr>
                <w:rFonts w:hint="eastAsia" w:ascii="宋体" w:hAnsi="宋体" w:eastAsia="宋体" w:cs="宋体"/>
                <w:b/>
                <w:bCs/>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一、端口与性能</w:t>
            </w:r>
            <w:r>
              <w:rPr>
                <w:rFonts w:hint="eastAsia" w:ascii="宋体" w:hAnsi="宋体" w:eastAsia="宋体" w:cs="宋体"/>
                <w:b/>
                <w:bCs/>
                <w:i w:val="0"/>
                <w:iCs w:val="0"/>
                <w:color w:val="auto"/>
                <w:sz w:val="21"/>
                <w:szCs w:val="21"/>
                <w:highlight w:val="none"/>
                <w:u w:val="none"/>
              </w:rPr>
              <w:t xml:space="preserve">（</w:t>
            </w:r>
            <w:r>
              <w:rPr>
                <w:rFonts w:hint="eastAsia" w:ascii="宋体" w:hAnsi="宋体" w:eastAsia="宋体" w:cs="宋体"/>
                <w:b/>
                <w:bCs/>
                <w:color w:val="auto"/>
                <w:sz w:val="21"/>
                <w:szCs w:val="21"/>
                <w:highlight w:val="none"/>
                <w:lang w:val="en-US" w:eastAsia="zh-CN"/>
              </w:rPr>
              <w:t xml:space="preserve">提供原厂公开技术文档（白皮书、彩页、官网规格页截图及链接地址均可）</w:t>
            </w:r>
            <w:r>
              <w:rPr>
                <w:rFonts w:hint="eastAsia" w:ascii="宋体" w:hAnsi="宋体" w:eastAsia="宋体" w:cs="宋体"/>
                <w:b/>
                <w:bCs/>
                <w:i w:val="0"/>
                <w:iCs w:val="0"/>
                <w:color w:val="auto"/>
                <w:sz w:val="21"/>
                <w:szCs w:val="21"/>
                <w:highlight w:val="none"/>
                <w:u w:val="none"/>
                <w:lang w:eastAsia="zh-CN"/>
              </w:rPr>
              <w:t xml:space="preserve">）</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★1. 端口配置：提供 ≥</w:t>
            </w:r>
            <w:r>
              <w:rPr>
                <w:rFonts w:hint="eastAsia" w:ascii="宋体" w:hAnsi="宋体" w:eastAsia="宋体" w:cs="宋体"/>
                <w:i w:val="0"/>
                <w:iCs w:val="0"/>
                <w:color w:val="auto"/>
                <w:sz w:val="21"/>
                <w:szCs w:val="21"/>
                <w:highlight w:val="none"/>
                <w:u w:val="none"/>
                <w:lang w:val="en-US" w:eastAsia="zh-CN"/>
              </w:rPr>
              <w:t xml:space="preserve">48</w:t>
            </w:r>
            <w:r>
              <w:rPr>
                <w:rFonts w:hint="eastAsia" w:ascii="宋体" w:hAnsi="宋体" w:eastAsia="宋体" w:cs="宋体"/>
                <w:i w:val="0"/>
                <w:iCs w:val="0"/>
                <w:color w:val="auto"/>
                <w:sz w:val="21"/>
                <w:szCs w:val="21"/>
                <w:highlight w:val="none"/>
                <w:u w:val="none"/>
              </w:rPr>
              <w:t xml:space="preserve"> 个 10/100/1000M 自适应以太网电口（RJ45），全部支持</w:t>
            </w:r>
            <w:r>
              <w:rPr>
                <w:rFonts w:hint="eastAsia" w:ascii="宋体" w:hAnsi="宋体" w:eastAsia="宋体" w:cs="宋体"/>
                <w:i w:val="0"/>
                <w:iCs w:val="0"/>
                <w:color w:val="auto"/>
                <w:sz w:val="21"/>
                <w:szCs w:val="21"/>
                <w:highlight w:val="none"/>
                <w:u w:val="none"/>
                <w:lang w:val="en-US" w:eastAsia="zh-CN"/>
              </w:rPr>
              <w:t xml:space="preserve">不低于</w:t>
            </w:r>
            <w:r>
              <w:rPr>
                <w:rFonts w:hint="eastAsia" w:ascii="宋体" w:hAnsi="宋体" w:eastAsia="宋体" w:cs="宋体"/>
                <w:i w:val="0"/>
                <w:iCs w:val="0"/>
                <w:color w:val="auto"/>
                <w:sz w:val="21"/>
                <w:szCs w:val="21"/>
                <w:highlight w:val="none"/>
                <w:u w:val="none"/>
              </w:rPr>
              <w:t xml:space="preserve"> IEEE 802.3at（PoE+）；提供 ≥4 个 千兆SFP光口。</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★2. 交换性能：</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整机交换容量 ≥</w:t>
            </w:r>
            <w:r>
              <w:rPr>
                <w:rFonts w:hint="eastAsia" w:ascii="宋体" w:hAnsi="宋体" w:eastAsia="宋体" w:cs="宋体"/>
                <w:i w:val="0"/>
                <w:iCs w:val="0"/>
                <w:color w:val="auto"/>
                <w:sz w:val="21"/>
                <w:szCs w:val="21"/>
                <w:highlight w:val="none"/>
                <w:u w:val="none"/>
                <w:lang w:val="en-US" w:eastAsia="zh-CN"/>
              </w:rPr>
              <w:t xml:space="preserve">600</w:t>
            </w:r>
            <w:r>
              <w:rPr>
                <w:rFonts w:hint="eastAsia" w:ascii="宋体" w:hAnsi="宋体" w:eastAsia="宋体" w:cs="宋体"/>
                <w:i w:val="0"/>
                <w:iCs w:val="0"/>
                <w:color w:val="auto"/>
                <w:sz w:val="21"/>
                <w:szCs w:val="21"/>
                <w:highlight w:val="none"/>
                <w:u w:val="none"/>
              </w:rPr>
              <w:t xml:space="preserve"> Gbps；整机包转发率 ≥ </w:t>
            </w:r>
            <w:r>
              <w:rPr>
                <w:rFonts w:hint="eastAsia" w:ascii="宋体" w:hAnsi="宋体" w:eastAsia="宋体" w:cs="宋体"/>
                <w:i w:val="0"/>
                <w:iCs w:val="0"/>
                <w:color w:val="auto"/>
                <w:sz w:val="21"/>
                <w:szCs w:val="21"/>
                <w:highlight w:val="none"/>
                <w:u w:val="none"/>
                <w:lang w:val="en-US" w:eastAsia="zh-CN"/>
              </w:rPr>
              <w:t xml:space="preserve">120</w:t>
            </w:r>
            <w:r>
              <w:rPr>
                <w:rFonts w:hint="eastAsia" w:ascii="宋体" w:hAnsi="宋体" w:eastAsia="宋体" w:cs="宋体"/>
                <w:i w:val="0"/>
                <w:iCs w:val="0"/>
                <w:color w:val="auto"/>
                <w:sz w:val="21"/>
                <w:szCs w:val="21"/>
                <w:highlight w:val="none"/>
                <w:u w:val="none"/>
              </w:rPr>
              <w:t xml:space="preserve"> Mpps。</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二、PoE供电能力</w:t>
            </w:r>
            <w:r>
              <w:rPr>
                <w:rFonts w:hint="eastAsia" w:ascii="宋体" w:hAnsi="宋体" w:eastAsia="宋体" w:cs="宋体"/>
                <w:b/>
                <w:bCs/>
                <w:i w:val="0"/>
                <w:iCs w:val="0"/>
                <w:color w:val="auto"/>
                <w:sz w:val="21"/>
                <w:szCs w:val="21"/>
                <w:highlight w:val="none"/>
                <w:u w:val="none"/>
              </w:rPr>
              <w:t xml:space="preserve">（</w:t>
            </w:r>
            <w:r>
              <w:rPr>
                <w:rFonts w:hint="eastAsia" w:ascii="宋体" w:hAnsi="宋体" w:eastAsia="宋体" w:cs="宋体"/>
                <w:b/>
                <w:bCs/>
                <w:color w:val="auto"/>
                <w:sz w:val="21"/>
                <w:szCs w:val="21"/>
                <w:highlight w:val="none"/>
                <w:lang w:val="en-US" w:eastAsia="zh-CN"/>
              </w:rPr>
              <w:t xml:space="preserve">提供原厂公开技术文档（白皮书、彩页、官网规格页截图及链接地址均可）</w:t>
            </w:r>
            <w:r>
              <w:rPr>
                <w:rFonts w:hint="eastAsia" w:ascii="宋体" w:hAnsi="宋体" w:eastAsia="宋体" w:cs="宋体"/>
                <w:b/>
                <w:bCs/>
                <w:i w:val="0"/>
                <w:iCs w:val="0"/>
                <w:color w:val="auto"/>
                <w:sz w:val="21"/>
                <w:szCs w:val="21"/>
                <w:highlight w:val="none"/>
                <w:u w:val="none"/>
              </w:rPr>
              <w:t xml:space="preserve">）</w:t>
            </w:r>
            <w:r/>
          </w:p>
          <w:p>
            <w:pPr>
              <w:ind w:left="0"/>
              <w:jc w:val="left"/>
              <w:keepLines w:val="0"/>
              <w:keepNext w:val="0"/>
              <w:pageBreakBefore w:val="0"/>
              <w:spacing w:line="36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★3. PoE标准与功率：</w:t>
            </w:r>
            <w:r>
              <w:rPr>
                <w:rFonts w:hint="eastAsia" w:ascii="宋体" w:hAnsi="宋体" w:eastAsia="宋体" w:cs="宋体"/>
                <w:i w:val="0"/>
                <w:iCs w:val="0"/>
                <w:color w:val="000000"/>
                <w:sz w:val="21"/>
                <w:szCs w:val="21"/>
                <w:highlight w:val="none"/>
                <w:u w:val="none"/>
                <w:lang w:val="en-US" w:eastAsia="zh-CN"/>
              </w:rPr>
              <w:t xml:space="preserve">至少</w:t>
            </w:r>
            <w:r>
              <w:rPr>
                <w:rFonts w:hint="eastAsia" w:ascii="宋体" w:hAnsi="宋体" w:eastAsia="宋体" w:cs="宋体"/>
                <w:i w:val="0"/>
                <w:iCs w:val="0"/>
                <w:color w:val="000000"/>
                <w:sz w:val="21"/>
                <w:szCs w:val="21"/>
                <w:highlight w:val="none"/>
                <w:u w:val="none"/>
              </w:rPr>
              <w:t xml:space="preserve">支持 IEEE 802.3at（PoE+），</w:t>
            </w:r>
            <w:r>
              <w:rPr>
                <w:rFonts w:hint="eastAsia" w:ascii="宋体" w:hAnsi="宋体" w:eastAsia="宋体" w:cs="宋体"/>
                <w:color w:val="000000"/>
                <w:sz w:val="21"/>
                <w:szCs w:val="21"/>
                <w:highlight w:val="none"/>
              </w:rPr>
              <w:t xml:space="preserve">同时可</w:t>
            </w:r>
            <w:r>
              <w:rPr>
                <w:rFonts w:hint="eastAsia" w:ascii="宋体" w:hAnsi="宋体" w:eastAsia="宋体" w:cs="宋体"/>
                <w:color w:val="ff0000"/>
                <w:sz w:val="21"/>
                <w:szCs w:val="21"/>
                <w:highlight w:val="none"/>
              </w:rPr>
              <w:t xml:space="preserve">POE供电端口≥</w:t>
            </w:r>
            <w:r>
              <w:rPr>
                <w:rFonts w:hint="eastAsia" w:ascii="宋体" w:hAnsi="宋体" w:cs="宋体"/>
                <w:color w:val="ff0000"/>
                <w:sz w:val="21"/>
                <w:szCs w:val="21"/>
                <w:highlight w:val="none"/>
                <w:lang w:val="en-US" w:eastAsia="zh-CN"/>
              </w:rPr>
              <w:t xml:space="preserve">48</w:t>
            </w:r>
            <w:r>
              <w:rPr>
                <w:rFonts w:hint="eastAsia" w:ascii="宋体" w:hAnsi="宋体" w:eastAsia="宋体" w:cs="宋体"/>
                <w:color w:val="ff0000"/>
                <w:sz w:val="21"/>
                <w:szCs w:val="21"/>
                <w:highlight w:val="none"/>
              </w:rPr>
              <w:t xml:space="preserve">个</w:t>
            </w:r>
            <w:r>
              <w:rPr>
                <w:rFonts w:hint="eastAsia" w:ascii="宋体" w:hAnsi="宋体" w:eastAsia="宋体" w:cs="宋体"/>
                <w:i w:val="0"/>
                <w:iCs w:val="0"/>
                <w:color w:val="ff0000"/>
                <w:sz w:val="21"/>
                <w:szCs w:val="21"/>
                <w:highlight w:val="none"/>
                <w:u w:val="none"/>
              </w:rPr>
              <w:t xml:space="preserve">；整机可用PoE功率 ≥</w:t>
            </w:r>
            <w:r>
              <w:rPr>
                <w:rFonts w:hint="eastAsia" w:ascii="宋体" w:hAnsi="宋体" w:eastAsia="宋体" w:cs="宋体"/>
                <w:i w:val="0"/>
                <w:iCs w:val="0"/>
                <w:color w:val="ff0000"/>
                <w:sz w:val="21"/>
                <w:szCs w:val="21"/>
                <w:highlight w:val="none"/>
                <w:u w:val="none"/>
                <w:lang w:val="en-US" w:eastAsia="zh-CN"/>
              </w:rPr>
              <w:t xml:space="preserve">720</w:t>
            </w:r>
            <w:r>
              <w:rPr>
                <w:rFonts w:hint="eastAsia" w:ascii="宋体" w:hAnsi="宋体" w:eastAsia="宋体" w:cs="宋体"/>
                <w:i w:val="0"/>
                <w:iCs w:val="0"/>
                <w:color w:val="ff0000"/>
                <w:sz w:val="21"/>
                <w:szCs w:val="21"/>
                <w:highlight w:val="none"/>
                <w:u w:val="none"/>
              </w:rPr>
              <w:t xml:space="preserve">W。</w:t>
            </w:r>
            <w:r>
              <w:rPr>
                <w:rFonts w:hint="eastAsia" w:ascii="宋体" w:hAnsi="宋体" w:eastAsia="宋体" w:cs="宋体"/>
                <w:b/>
                <w:bCs/>
                <w:i w:val="0"/>
                <w:iCs w:val="0"/>
                <w:color w:val="ff0000"/>
                <w:sz w:val="21"/>
                <w:szCs w:val="21"/>
                <w:highlight w:val="none"/>
                <w:u w:val="none"/>
              </w:rPr>
              <w:t xml:space="preserve">（实际供电需满足学校使用需求）。</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三、三层路由与IPv6支持</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4. 路由协议：支持以下IPv4/IPv6路由功能：静态路由；RIPv1/v2、RIPng；OSPFv2、OSPFv3；</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支持IPv4/IPv6双栈及组播转发。</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四、VLAN、堆叠与链路聚合</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5. VLAN划分：支持基于端口、MAC地址、协议类型的VLAN。</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6. 高可用与聚合：支持多台设备虚拟化堆叠（物理或逻辑），实现统一管理；支持静态链路聚合及 LACP（IEEE 802.3ad）动态聚合。</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五、安全与终端管控</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7. 设备抗攻击能力：具备CPU保护机制，限制非法报文（如泛洪、畸形包）对主控CPU的冲击；支持ARP网关欺骗防御（如DAI、ARP Check）；支持ICMP泛洪、SYN Flood等DoS攻击防护策略。</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8</w:t>
            </w:r>
            <w:r>
              <w:rPr>
                <w:rFonts w:hint="eastAsia" w:ascii="宋体" w:hAnsi="宋体" w:eastAsia="宋体" w:cs="宋体"/>
                <w:i w:val="0"/>
                <w:iCs w:val="0"/>
                <w:color w:val="000000"/>
                <w:sz w:val="21"/>
                <w:szCs w:val="21"/>
                <w:highlight w:val="none"/>
                <w:u w:val="none"/>
              </w:rPr>
              <w:t xml:space="preserve">. 表项容量：MAC地址表 ≥ 16K；ARP表项 ≥ 4K；IPv4 FIB表项 ≥ 1K。</w:t>
            </w:r>
            <w:r>
              <w:rPr>
                <w:rFonts w:hint="eastAsia" w:ascii="宋体" w:hAnsi="宋体" w:eastAsia="宋体" w:cs="宋体"/>
                <w:b/>
                <w:bCs/>
                <w:color w:val="auto"/>
                <w:sz w:val="21"/>
                <w:szCs w:val="21"/>
                <w:highlight w:val="none"/>
                <w:lang w:val="en-US" w:eastAsia="zh-CN"/>
              </w:rPr>
              <w:t xml:space="preserve">提供原厂公开技术文档（白皮书、彩页、官网规格页截图及链接地址均可）</w:t>
            </w:r>
            <w:r>
              <w:rPr>
                <w:rFonts w:hint="eastAsia" w:ascii="宋体" w:hAnsi="宋体" w:eastAsia="宋体" w:cs="宋体"/>
                <w:b/>
                <w:bCs/>
                <w:i w:val="0"/>
                <w:iCs w:val="0"/>
                <w:color w:val="000000"/>
                <w:sz w:val="21"/>
                <w:szCs w:val="21"/>
                <w:highlight w:val="none"/>
                <w:u w:val="none"/>
              </w:rPr>
              <w:t xml:space="preserve">。</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六、可靠性与环境适应性</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9</w:t>
            </w:r>
            <w:r>
              <w:rPr>
                <w:rFonts w:hint="eastAsia" w:ascii="宋体" w:hAnsi="宋体" w:eastAsia="宋体" w:cs="宋体"/>
                <w:i w:val="0"/>
                <w:iCs w:val="0"/>
                <w:color w:val="000000"/>
                <w:sz w:val="21"/>
                <w:szCs w:val="21"/>
                <w:highlight w:val="none"/>
                <w:u w:val="none"/>
              </w:rPr>
              <w:t xml:space="preserve">. 端口防雷能力：所有业务电口具备 ≥6 kV（线-地）浪涌抗扰度，符合 IEC 61000-4-5 或 GB/T 17626.5 标准。</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1</w:t>
            </w:r>
            <w:r>
              <w:rPr>
                <w:rFonts w:hint="eastAsia" w:ascii="宋体" w:hAnsi="宋体" w:eastAsia="宋体" w:cs="宋体"/>
                <w:i w:val="0"/>
                <w:iCs w:val="0"/>
                <w:color w:val="000000"/>
                <w:sz w:val="21"/>
                <w:szCs w:val="21"/>
                <w:highlight w:val="none"/>
                <w:u w:val="none"/>
                <w:lang w:val="en-US" w:eastAsia="zh-CN"/>
              </w:rPr>
              <w:t xml:space="preserve">0</w:t>
            </w:r>
            <w:r>
              <w:rPr>
                <w:rFonts w:hint="eastAsia" w:ascii="宋体" w:hAnsi="宋体" w:eastAsia="宋体" w:cs="宋体"/>
                <w:i w:val="0"/>
                <w:iCs w:val="0"/>
                <w:color w:val="000000"/>
                <w:sz w:val="21"/>
                <w:szCs w:val="21"/>
                <w:highlight w:val="none"/>
                <w:u w:val="none"/>
              </w:rPr>
              <w:t xml:space="preserve">. 节能环保：支持 IEEE 802.3az（EEE）高效节能以太网，在端口空闲时自动进入低功耗模式，有流量时快速恢复。</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七、管理与运维</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1</w:t>
            </w:r>
            <w:r>
              <w:rPr>
                <w:rFonts w:hint="eastAsia" w:ascii="宋体" w:hAnsi="宋体" w:eastAsia="宋体" w:cs="宋体"/>
                <w:i w:val="0"/>
                <w:iCs w:val="0"/>
                <w:color w:val="000000"/>
                <w:sz w:val="21"/>
                <w:szCs w:val="21"/>
                <w:highlight w:val="none"/>
                <w:u w:val="none"/>
                <w:lang w:val="en-US" w:eastAsia="zh-CN"/>
              </w:rPr>
              <w:t xml:space="preserve">1</w:t>
            </w:r>
            <w:r>
              <w:rPr>
                <w:rFonts w:hint="eastAsia" w:ascii="宋体" w:hAnsi="宋体" w:eastAsia="宋体" w:cs="宋体"/>
                <w:i w:val="0"/>
                <w:iCs w:val="0"/>
                <w:color w:val="000000"/>
                <w:sz w:val="21"/>
                <w:szCs w:val="21"/>
                <w:highlight w:val="none"/>
                <w:u w:val="none"/>
              </w:rPr>
              <w:t xml:space="preserve">. SDN与认证支持：支持SDN架构（如OpenFlow 1.3或等效开放API）；支持 IEEE 802.1X 端口认证，可对接主流RADIUS认证服务器。</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1</w:t>
            </w:r>
            <w:r>
              <w:rPr>
                <w:rFonts w:hint="eastAsia" w:ascii="宋体" w:hAnsi="宋体" w:eastAsia="宋体" w:cs="宋体"/>
                <w:i w:val="0"/>
                <w:iCs w:val="0"/>
                <w:color w:val="000000"/>
                <w:sz w:val="21"/>
                <w:szCs w:val="21"/>
                <w:highlight w:val="none"/>
                <w:u w:val="none"/>
                <w:lang w:val="en-US" w:eastAsia="zh-CN"/>
              </w:rPr>
              <w:t xml:space="preserve">2</w:t>
            </w:r>
            <w:r>
              <w:rPr>
                <w:rFonts w:hint="eastAsia" w:ascii="宋体" w:hAnsi="宋体" w:eastAsia="宋体" w:cs="宋体"/>
                <w:i w:val="0"/>
                <w:iCs w:val="0"/>
                <w:color w:val="000000"/>
                <w:sz w:val="21"/>
                <w:szCs w:val="21"/>
                <w:highlight w:val="none"/>
                <w:u w:val="none"/>
              </w:rPr>
              <w:t xml:space="preserve">. 管理接口：支持 SNMP v1/v2c/v3、CLI（Console/Telnet/SSH）、Web GUI、Syslog、NTP、TFTP/FTP/SFTP 等标准管理协议。</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八、合规与强制认证</w:t>
            </w:r>
            <w:r/>
          </w:p>
          <w:p>
            <w:pPr>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★1</w:t>
            </w:r>
            <w:r>
              <w:rPr>
                <w:rFonts w:hint="eastAsia" w:ascii="宋体" w:hAnsi="宋体" w:eastAsia="宋体" w:cs="宋体"/>
                <w:i w:val="0"/>
                <w:iCs w:val="0"/>
                <w:color w:val="000000"/>
                <w:sz w:val="21"/>
                <w:szCs w:val="21"/>
                <w:highlight w:val="none"/>
                <w:u w:val="none"/>
                <w:lang w:val="en-US" w:eastAsia="zh-CN"/>
              </w:rPr>
              <w:t xml:space="preserve">3</w:t>
            </w:r>
            <w:r>
              <w:rPr>
                <w:rFonts w:hint="eastAsia" w:ascii="宋体" w:hAnsi="宋体" w:eastAsia="宋体" w:cs="宋体"/>
                <w:i w:val="0"/>
                <w:iCs w:val="0"/>
                <w:color w:val="000000"/>
                <w:sz w:val="21"/>
                <w:szCs w:val="21"/>
                <w:highlight w:val="none"/>
                <w:u w:val="none"/>
              </w:rPr>
              <w:t xml:space="preserve">. 电信设备进网许可（CTA）：所投产品必须具备工业和信息化部核发的有效《电信设备进网许可证》。投标时须提供：进网许可证清晰扫描件；工信部官网查询结果截图，显示设备型号、生产企业、许可证编号及状态为“有效”。</w:t>
            </w:r>
            <w:r/>
          </w:p>
          <w:p>
            <w:pPr>
              <w:pStyle w:val="810"/>
              <w:ind w:left="0" w:firstLine="0"/>
              <w:keepLines w:val="0"/>
              <w:keepNext w:val="0"/>
              <w:pageBreakBefore w:val="0"/>
              <w:spacing w:line="360" w:lineRule="exact"/>
              <w:rPr>
                <w:rFonts w:hint="eastAsia" w:ascii="宋体" w:hAnsi="宋体" w:eastAsia="宋体" w:cs="宋体"/>
                <w:sz w:val="21"/>
                <w:szCs w:val="21"/>
                <w:lang w:val="en-US" w:eastAsia="zh-CN"/>
              </w:rPr>
            </w:pPr>
            <w:r>
              <w:rPr>
                <w:rFonts w:hint="eastAsia" w:ascii="宋体" w:hAnsi="宋体" w:eastAsia="宋体" w:cs="宋体"/>
                <w:i w:val="0"/>
                <w:iCs w:val="0"/>
                <w:color w:val="000000"/>
                <w:sz w:val="21"/>
                <w:szCs w:val="21"/>
                <w:highlight w:val="none"/>
                <w:u w:val="none"/>
              </w:rPr>
              <w:t xml:space="preserve">★</w:t>
            </w:r>
            <w:r>
              <w:rPr>
                <w:rFonts w:hint="eastAsia" w:ascii="宋体" w:hAnsi="宋体" w:eastAsia="宋体" w:cs="宋体"/>
                <w:i w:val="0"/>
                <w:iCs w:val="0"/>
                <w:color w:val="000000"/>
                <w:sz w:val="21"/>
                <w:szCs w:val="21"/>
                <w:highlight w:val="none"/>
                <w:u w:val="none"/>
                <w:lang w:val="en-US" w:eastAsia="zh-CN"/>
              </w:rPr>
              <w:t xml:space="preserve">14、与学校原有网络设备要兼容。提供承诺函加盖投标公章。</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8电口千兆POE交换机</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ind w:left="0"/>
              <w:jc w:val="left"/>
              <w:keepLines w:val="0"/>
              <w:keepNext w:val="0"/>
              <w:pageBreakBefore w:val="0"/>
              <w:spacing w:line="360" w:lineRule="exact"/>
              <w:widowControl/>
              <w:rPr>
                <w:rFonts w:hint="eastAsia" w:ascii="宋体" w:hAnsi="宋体" w:eastAsia="宋体" w:cs="宋体"/>
                <w:b/>
                <w:bCs/>
                <w:color w:val="auto"/>
                <w:sz w:val="21"/>
                <w:szCs w:val="21"/>
                <w:highlight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★1.交换能力≥256Gbps ，包转发速率≥25Mpps，≥8个千兆电口，≥1个1G SPF千兆光口。</w:t>
            </w:r>
            <w:r>
              <w:rPr>
                <w:rFonts w:hint="eastAsia" w:ascii="宋体" w:hAnsi="宋体" w:eastAsia="宋体" w:cs="宋体"/>
                <w:b/>
                <w:bCs/>
                <w:color w:val="auto"/>
                <w:sz w:val="21"/>
                <w:szCs w:val="21"/>
                <w:highlight w:val="none"/>
                <w:lang w:val="en-US" w:eastAsia="zh-CN"/>
              </w:rPr>
              <w:t xml:space="preserve">提供原厂公开技术文档（白皮书、彩页、官网规格页截图及链接地址均可）</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★2.支持802.3at POE+功能 ；POE功率≥120W。</w:t>
            </w:r>
            <w:r>
              <w:rPr>
                <w:rFonts w:hint="eastAsia" w:ascii="宋体" w:hAnsi="宋体" w:eastAsia="宋体" w:cs="宋体"/>
                <w:b/>
                <w:bCs/>
                <w:color w:val="auto"/>
                <w:sz w:val="21"/>
                <w:szCs w:val="21"/>
                <w:highlight w:val="none"/>
                <w:lang w:val="en-US" w:eastAsia="zh-CN"/>
              </w:rPr>
              <w:t xml:space="preserve">提供原厂公开技术文档（白皮书、彩页、官网规格页截图及链接地址均可）。</w:t>
            </w:r>
            <w:r>
              <w:rPr>
                <w:rFonts w:hint="eastAsia" w:ascii="宋体" w:hAnsi="宋体" w:eastAsia="宋体" w:cs="宋体"/>
                <w:i w:val="0"/>
                <w:iCs w:val="0"/>
                <w:color w:val="auto"/>
                <w:sz w:val="21"/>
                <w:szCs w:val="21"/>
                <w:highlight w:val="none"/>
                <w:u w:val="none"/>
                <w:lang w:val="en-US" w:eastAsia="zh-CN" w:bidi="ar"/>
              </w:rPr>
              <w:t xml:space="preserve">实际供电需满足学校使用需求。</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3.支持IPv4静态路由、RIP V1/V2、OSPF，支持IPv6静态路由、RIPng，支持 IPv4 和 IPv6 的三层路由和组播功能。</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4.支持基于端口的VLAN，支持基于协议的VLAN；支持基于MAC的VLAN。</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5.支持最多8个端口聚合。</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6.实现CPU保护功能，能限制非法报文对CPU的攻击，保护交换机在各种环境下稳定工作。</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7.要求所投产品支持防雷等级≥10KV。</w:t>
            </w:r>
            <w:r/>
          </w:p>
          <w:p>
            <w:pPr>
              <w:ind w:left="0"/>
              <w:jc w:val="left"/>
              <w:keepLines w:val="0"/>
              <w:keepNext w:val="0"/>
              <w:pageBreakBefore w:val="0"/>
              <w:spacing w:line="360" w:lineRule="exact"/>
              <w:widowControl/>
              <w:rPr>
                <w:rFonts w:hint="eastAsia" w:ascii="宋体" w:hAnsi="宋体" w:eastAsia="宋体" w:cs="宋体"/>
                <w:color w:val="auto"/>
                <w:sz w:val="21"/>
                <w:szCs w:val="21"/>
                <w:highlight w:val="none"/>
                <w:u w:val="none"/>
                <w:lang w:bidi="ar"/>
              </w:rPr>
            </w:pPr>
            <w:r>
              <w:rPr>
                <w:rFonts w:hint="eastAsia" w:ascii="宋体" w:hAnsi="宋体" w:eastAsia="宋体" w:cs="宋体"/>
                <w:color w:val="auto"/>
                <w:sz w:val="21"/>
                <w:szCs w:val="21"/>
                <w:highlight w:val="none"/>
                <w:u w:val="none"/>
                <w:lang w:val="en-US" w:eastAsia="zh-CN" w:bidi="ar"/>
              </w:rPr>
              <w:t xml:space="preserve">8</w:t>
            </w:r>
            <w:r>
              <w:rPr>
                <w:rFonts w:hint="eastAsia" w:ascii="宋体" w:hAnsi="宋体" w:eastAsia="宋体" w:cs="宋体"/>
                <w:color w:val="auto"/>
                <w:sz w:val="21"/>
                <w:szCs w:val="21"/>
                <w:highlight w:val="none"/>
                <w:u w:val="none"/>
                <w:lang w:bidi="ar"/>
              </w:rPr>
              <w:t xml:space="preserve">.支持MAC地址≥16K。提供证明材料</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9.支持RIP、RIPng、OSPF、OSPFv3路由协议。</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10.支持 ERPS 以太环保护协议（G.8032）。</w:t>
            </w:r>
            <w:r/>
          </w:p>
          <w:p>
            <w:pPr>
              <w:jc w:val="left"/>
              <w:keepLines w:val="0"/>
              <w:keepNext w:val="0"/>
              <w:pageBreakBefore w:val="0"/>
              <w:spacing w:line="360" w:lineRule="exact"/>
              <w:widowControl/>
              <w:rPr>
                <w:rFonts w:hint="eastAsia" w:ascii="宋体" w:hAnsi="宋体" w:eastAsia="宋体" w:cs="宋体"/>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bidi="ar"/>
              </w:rPr>
              <w:t xml:space="preserve">★11.</w:t>
            </w:r>
            <w:r>
              <w:rPr>
                <w:rFonts w:hint="eastAsia" w:ascii="宋体" w:hAnsi="宋体" w:eastAsia="宋体" w:cs="宋体"/>
                <w:color w:val="auto"/>
                <w:sz w:val="21"/>
                <w:szCs w:val="21"/>
                <w:highlight w:val="none"/>
                <w:u w:val="none"/>
                <w:lang w:val="en-US" w:eastAsia="zh-CN"/>
              </w:rPr>
              <w:t xml:space="preserve">所投产品具备工业和信息化部颁发的进网许可证（CTA认证），提供证书扫描件和工信部网站查询的进网许可截图。</w:t>
            </w:r>
            <w:r/>
          </w:p>
          <w:p>
            <w:pPr>
              <w:pStyle w:val="810"/>
              <w:ind w:left="0" w:firstLine="0"/>
              <w:keepLines w:val="0"/>
              <w:keepNext w:val="0"/>
              <w:pageBreakBefore w:val="0"/>
              <w:spacing w:line="360" w:lineRule="exact"/>
              <w:rPr>
                <w:rFonts w:hint="eastAsia" w:ascii="宋体" w:hAnsi="宋体" w:eastAsia="宋体" w:cs="宋体"/>
                <w:sz w:val="21"/>
                <w:szCs w:val="21"/>
                <w:lang w:eastAsia="zh-CN"/>
              </w:rPr>
            </w:pPr>
            <w:r>
              <w:rPr>
                <w:rFonts w:hint="eastAsia" w:ascii="宋体" w:hAnsi="宋体" w:eastAsia="宋体" w:cs="宋体"/>
                <w:i w:val="0"/>
                <w:iCs w:val="0"/>
                <w:color w:val="000000"/>
                <w:sz w:val="21"/>
                <w:szCs w:val="21"/>
                <w:highlight w:val="none"/>
                <w:u w:val="none"/>
              </w:rPr>
              <w:t xml:space="preserve">★</w:t>
            </w:r>
            <w:r>
              <w:rPr>
                <w:rFonts w:hint="eastAsia" w:ascii="宋体" w:hAnsi="宋体" w:eastAsia="宋体" w:cs="宋体"/>
                <w:i w:val="0"/>
                <w:iCs w:val="0"/>
                <w:color w:val="000000"/>
                <w:sz w:val="21"/>
                <w:szCs w:val="21"/>
                <w:highlight w:val="none"/>
                <w:u w:val="none"/>
                <w:lang w:val="en-US" w:eastAsia="zh-CN"/>
              </w:rPr>
              <w:t xml:space="preserve">12、与学校原有网络设备要兼容。提供承诺函加盖投标公章。</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8口POE GPON</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1、上行10G GPON端口</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2、下行≥8GE，RJ-45接口</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3、支持10/100/1000 Mbit/s接口速率自适应</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4、支持PPPoE/DHCP仿真测试</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5、支持防御MAC地址漂移，欺骗</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6、支持流量管理，流量监管，拥塞管理</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分光器</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pStyle w:val="810"/>
              <w:ind w:firstLine="0"/>
              <w:keepLines w:val="0"/>
              <w:keepNext w:val="0"/>
              <w:pageBreakBefore w:val="0"/>
              <w:spacing w:line="36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1、盒式光分路器</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2、分光比为1分8，均分</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3、尾纤型号为SC/UPC</w:t>
            </w:r>
            <w:r>
              <w:rPr>
                <w:rFonts w:hint="eastAsia" w:ascii="宋体" w:hAnsi="宋体" w:eastAsia="宋体" w:cs="宋体"/>
                <w:color w:val="auto"/>
                <w:sz w:val="21"/>
                <w:szCs w:val="21"/>
                <w:lang w:eastAsia="zh-CN"/>
              </w:rPr>
              <w:t xml:space="preserve">。</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千兆光模块</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pStyle w:val="810"/>
              <w:ind w:firstLine="0"/>
              <w:keepLines w:val="0"/>
              <w:keepNext w:val="0"/>
              <w:pageBreakBefore w:val="0"/>
              <w:spacing w:line="360" w:lineRule="exact"/>
              <w:rPr>
                <w:rFonts w:hint="eastAsia" w:ascii="宋体" w:hAnsi="宋体" w:eastAsia="宋体" w:cs="宋体"/>
                <w:sz w:val="21"/>
                <w:szCs w:val="21"/>
                <w:lang w:eastAsia="zh-CN"/>
              </w:rPr>
            </w:pPr>
            <w:r>
              <w:rPr>
                <w:rFonts w:hint="eastAsia" w:ascii="宋体" w:hAnsi="宋体" w:eastAsia="宋体" w:cs="宋体"/>
                <w:i w:val="0"/>
                <w:iCs w:val="0"/>
                <w:color w:val="000000"/>
                <w:sz w:val="21"/>
                <w:szCs w:val="21"/>
                <w:highlight w:val="none"/>
                <w:u w:val="none"/>
                <w:lang w:val="en-US" w:eastAsia="zh-CN" w:bidi="ar"/>
              </w:rPr>
              <w:t xml:space="preserve">光收发一体模块-SFP（1310nm、LC、10km），光模块序列号官网可查。</w:t>
            </w:r>
            <w:r>
              <w:rPr>
                <w:rFonts w:hint="eastAsia" w:ascii="宋体" w:hAnsi="宋体" w:eastAsia="宋体" w:cs="宋体"/>
                <w:b/>
                <w:bCs/>
                <w:i w:val="0"/>
                <w:iCs w:val="0"/>
                <w:color w:val="000000"/>
                <w:sz w:val="21"/>
                <w:szCs w:val="21"/>
                <w:highlight w:val="none"/>
                <w:u w:val="none"/>
                <w:lang w:val="en-US" w:eastAsia="zh-CN" w:bidi="ar"/>
              </w:rPr>
              <w:t xml:space="preserve">光模块序列号官网或者400或邮件方式可查,提供官网查询截图（含链接地址）或400电话号码或邮件地址。</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六类4对非屏蔽双绞线</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★1.线规：6类电缆（250 MHz），23AWG、导体材料为纯度不低于99.9%实心无氧铜（OFC），线芯：带十字芯骨架。</w:t>
            </w:r>
            <w:r>
              <w:rPr>
                <w:rFonts w:hint="eastAsia" w:ascii="宋体" w:hAnsi="宋体" w:eastAsia="宋体" w:cs="宋体"/>
                <w:b/>
                <w:bCs/>
                <w:i w:val="0"/>
                <w:iCs w:val="0"/>
                <w:color w:val="auto"/>
                <w:sz w:val="21"/>
                <w:szCs w:val="21"/>
                <w:highlight w:val="none"/>
                <w:u w:val="none"/>
                <w:lang w:val="en-US" w:eastAsia="zh-CN" w:bidi="ar"/>
              </w:rPr>
              <w:t xml:space="preserve">提供承诺函或</w:t>
            </w:r>
            <w:r>
              <w:rPr>
                <w:rFonts w:hint="eastAsia" w:ascii="宋体" w:hAnsi="宋体" w:eastAsia="宋体" w:cs="宋体"/>
                <w:b/>
                <w:bCs/>
                <w:color w:val="auto"/>
                <w:sz w:val="21"/>
                <w:szCs w:val="21"/>
                <w:highlight w:val="none"/>
                <w:lang w:val="en-US" w:eastAsia="zh-CN"/>
              </w:rPr>
              <w:t xml:space="preserve">提供原厂公开技术文档（白皮书、彩页、官网规格页截图及链接地址均可）。</w:t>
            </w:r>
            <w:r/>
          </w:p>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2.导体直径：</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0.57mm，绝缘材料：聚烯烃或聚全氟乙丙烯树脂(FEP)；外护套：LSZH低烟无卤阻燃聚烯烃。</w:t>
            </w:r>
            <w:r/>
          </w:p>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▲3.提供所投六类非屏蔽低烟无卤双绞线不少于以下技术参数的检测报告：单根导体直流电阻、近端串音衰减(NEXT)、近端串音衰减功率和（PS NEXT）、衰减远端串音比(ACR-F)、衰减远端串音比功率和(PS  ACR-F)、特性阻抗 (Zm)、回波损耗（Return Loss）。</w:t>
            </w:r>
            <w:r>
              <w:rPr>
                <w:rFonts w:hint="eastAsia" w:ascii="宋体" w:hAnsi="宋体" w:eastAsia="宋体" w:cs="宋体"/>
                <w:b/>
                <w:bCs/>
                <w:i w:val="0"/>
                <w:iCs w:val="0"/>
                <w:color w:val="auto"/>
                <w:sz w:val="21"/>
                <w:szCs w:val="21"/>
                <w:highlight w:val="none"/>
                <w:u w:val="none"/>
                <w:lang w:val="en-US" w:eastAsia="zh-CN" w:bidi="ar"/>
              </w:rPr>
              <w:t xml:space="preserve">提供所投产品由第三方检测机构出具的具有CMA标志的符合YD/T 1019-2023等现行国家或行业标准的</w:t>
            </w:r>
            <w:r>
              <w:rPr>
                <w:rFonts w:hint="eastAsia" w:ascii="宋体" w:hAnsi="宋体" w:eastAsia="宋体" w:cs="宋体"/>
                <w:b/>
                <w:bCs/>
                <w:color w:val="auto"/>
                <w:sz w:val="21"/>
                <w:szCs w:val="21"/>
                <w:highlight w:val="none"/>
                <w:lang w:val="en-US" w:eastAsia="zh-CN"/>
              </w:rPr>
              <w:t xml:space="preserve">检测报告</w:t>
            </w:r>
            <w:r>
              <w:rPr>
                <w:rFonts w:hint="eastAsia" w:ascii="宋体" w:hAnsi="宋体" w:cs="宋体"/>
                <w:b/>
                <w:bCs/>
                <w:color w:val="auto"/>
                <w:sz w:val="21"/>
                <w:szCs w:val="21"/>
                <w:highlight w:val="none"/>
                <w:lang w:val="en-US" w:eastAsia="zh-CN"/>
              </w:rPr>
              <w:t xml:space="preserve">原件关键页</w:t>
            </w:r>
            <w:r>
              <w:rPr>
                <w:rFonts w:hint="eastAsia" w:ascii="宋体" w:hAnsi="宋体" w:eastAsia="宋体" w:cs="宋体"/>
                <w:b/>
                <w:bCs/>
                <w:i w:val="0"/>
                <w:iCs w:val="0"/>
                <w:color w:val="auto"/>
                <w:sz w:val="21"/>
                <w:szCs w:val="21"/>
                <w:highlight w:val="none"/>
                <w:u w:val="none"/>
                <w:lang w:val="en-US" w:eastAsia="zh-CN" w:bidi="ar"/>
              </w:rPr>
              <w:t xml:space="preserve">扫描件，检测报告数量不作要求。</w:t>
            </w:r>
            <w:r>
              <w:rPr>
                <w:rFonts w:hint="eastAsia" w:ascii="宋体" w:hAnsi="宋体" w:eastAsia="宋体" w:cs="宋体"/>
                <w:b/>
                <w:bCs/>
                <w:color w:val="auto"/>
                <w:sz w:val="21"/>
                <w:szCs w:val="21"/>
                <w:highlight w:val="none"/>
              </w:rPr>
              <w:t xml:space="preserve">检测报告中须体现检测依据以及是否通过检测的结论。</w:t>
            </w:r>
            <w:r/>
          </w:p>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▲4.燃烧性能要求：所投六类非屏蔽低烟无卤双绞线至少达到单根电缆火焰垂直蔓延试验要求。</w:t>
            </w:r>
            <w:r>
              <w:rPr>
                <w:rFonts w:hint="eastAsia" w:ascii="宋体" w:hAnsi="宋体" w:eastAsia="宋体" w:cs="宋体"/>
                <w:b/>
                <w:bCs/>
                <w:i w:val="0"/>
                <w:iCs w:val="0"/>
                <w:color w:val="auto"/>
                <w:sz w:val="21"/>
                <w:szCs w:val="21"/>
                <w:highlight w:val="none"/>
                <w:u w:val="none"/>
                <w:lang w:val="en-US" w:eastAsia="zh-CN" w:bidi="ar"/>
              </w:rPr>
              <w:t xml:space="preserve">提供所投产品具有CMA标志的、由第三方检测机构出具的、符合GB/T 18380.12-2022或IEC 60332-1-2：2015标准中的单根电缆火焰垂直蔓延试验的</w:t>
            </w:r>
            <w:r>
              <w:rPr>
                <w:rFonts w:hint="eastAsia" w:ascii="宋体" w:hAnsi="宋体" w:eastAsia="宋体" w:cs="宋体"/>
                <w:b/>
                <w:bCs/>
                <w:color w:val="auto"/>
                <w:sz w:val="21"/>
                <w:szCs w:val="21"/>
                <w:highlight w:val="none"/>
                <w:lang w:val="en-US" w:eastAsia="zh-CN"/>
              </w:rPr>
              <w:t xml:space="preserve">检测报告</w:t>
            </w:r>
            <w:r>
              <w:rPr>
                <w:rFonts w:hint="eastAsia" w:ascii="宋体" w:hAnsi="宋体" w:cs="宋体"/>
                <w:b/>
                <w:bCs/>
                <w:color w:val="auto"/>
                <w:sz w:val="21"/>
                <w:szCs w:val="21"/>
                <w:highlight w:val="none"/>
                <w:lang w:val="en-US" w:eastAsia="zh-CN"/>
              </w:rPr>
              <w:t xml:space="preserve">原件关键页</w:t>
            </w:r>
            <w:r>
              <w:rPr>
                <w:rFonts w:hint="eastAsia" w:ascii="宋体" w:hAnsi="宋体" w:eastAsia="宋体" w:cs="宋体"/>
                <w:b/>
                <w:bCs/>
                <w:i w:val="0"/>
                <w:iCs w:val="0"/>
                <w:color w:val="auto"/>
                <w:sz w:val="21"/>
                <w:szCs w:val="21"/>
                <w:highlight w:val="none"/>
                <w:u w:val="none"/>
                <w:lang w:val="en-US" w:eastAsia="zh-CN" w:bidi="ar"/>
              </w:rPr>
              <w:t xml:space="preserve">扫描件。</w:t>
            </w:r>
            <w:r>
              <w:rPr>
                <w:rFonts w:hint="eastAsia" w:ascii="宋体" w:hAnsi="宋体" w:eastAsia="宋体" w:cs="宋体"/>
                <w:b/>
                <w:bCs/>
                <w:color w:val="auto"/>
                <w:sz w:val="21"/>
                <w:szCs w:val="21"/>
                <w:highlight w:val="none"/>
              </w:rPr>
              <w:t xml:space="preserve">检测报告中须体现检测依据以及是否通过检测的结论。</w:t>
            </w:r>
            <w:r/>
          </w:p>
          <w:p>
            <w:pPr>
              <w:jc w:val="left"/>
              <w:keepLines w:val="0"/>
              <w:keepNext w:val="0"/>
              <w:pageBreakBefore w:val="0"/>
              <w:spacing w:line="360" w:lineRule="exact"/>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5.烟密度：透光率应不小于50%。</w:t>
            </w:r>
            <w:r>
              <w:rPr>
                <w:rFonts w:hint="eastAsia" w:ascii="宋体" w:hAnsi="宋体" w:eastAsia="宋体" w:cs="宋体"/>
                <w:b/>
                <w:bCs/>
                <w:i w:val="0"/>
                <w:iCs w:val="0"/>
                <w:color w:val="auto"/>
                <w:sz w:val="21"/>
                <w:szCs w:val="21"/>
                <w:highlight w:val="none"/>
                <w:u w:val="none"/>
                <w:lang w:val="en-US" w:eastAsia="zh-CN" w:bidi="ar"/>
              </w:rPr>
              <w:t xml:space="preserve">提供所投产品由第三方检测机构出具的、具有CMA标志的、符合GB/T 17651.2-2021或IEC 61034-2:2019标准的检测报告</w:t>
            </w:r>
            <w:r>
              <w:rPr>
                <w:rFonts w:hint="eastAsia" w:ascii="宋体" w:hAnsi="宋体" w:cs="宋体"/>
                <w:b/>
                <w:bCs/>
                <w:i w:val="0"/>
                <w:iCs w:val="0"/>
                <w:color w:val="auto"/>
                <w:sz w:val="21"/>
                <w:szCs w:val="21"/>
                <w:highlight w:val="none"/>
                <w:u w:val="none"/>
                <w:lang w:val="en-US" w:eastAsia="zh-CN" w:bidi="ar"/>
              </w:rPr>
              <w:t xml:space="preserve">原件关键页</w:t>
            </w:r>
            <w:r>
              <w:rPr>
                <w:rFonts w:hint="eastAsia" w:ascii="宋体" w:hAnsi="宋体" w:eastAsia="宋体" w:cs="宋体"/>
                <w:b/>
                <w:bCs/>
                <w:i w:val="0"/>
                <w:iCs w:val="0"/>
                <w:color w:val="auto"/>
                <w:sz w:val="21"/>
                <w:szCs w:val="21"/>
                <w:highlight w:val="none"/>
                <w:u w:val="none"/>
                <w:lang w:val="en-US" w:eastAsia="zh-CN" w:bidi="ar"/>
              </w:rPr>
              <w:t xml:space="preserve">扫描件。</w:t>
            </w:r>
            <w:r>
              <w:rPr>
                <w:rFonts w:hint="eastAsia" w:ascii="宋体" w:hAnsi="宋体" w:eastAsia="宋体" w:cs="宋体"/>
                <w:b/>
                <w:bCs/>
                <w:color w:val="auto"/>
                <w:sz w:val="21"/>
                <w:szCs w:val="21"/>
                <w:highlight w:val="none"/>
              </w:rPr>
              <w:t xml:space="preserve">检测报告中须体现检测依据以及是否通过检测的结论。</w:t>
            </w:r>
            <w:r/>
          </w:p>
          <w:p>
            <w:pPr>
              <w:pStyle w:val="810"/>
              <w:ind w:firstLine="0"/>
              <w:keepLines w:val="0"/>
              <w:keepNext w:val="0"/>
              <w:pageBreakBefore w:val="0"/>
              <w:spacing w:line="360" w:lineRule="exact"/>
              <w:rPr>
                <w:rFonts w:hint="eastAsia" w:ascii="宋体" w:hAnsi="宋体" w:eastAsia="宋体" w:cs="宋体"/>
                <w:sz w:val="21"/>
                <w:szCs w:val="21"/>
                <w:lang w:eastAsia="zh-CN"/>
              </w:rPr>
            </w:pPr>
            <w:r>
              <w:rPr>
                <w:rFonts w:hint="eastAsia" w:ascii="宋体" w:hAnsi="宋体" w:eastAsia="宋体" w:cs="宋体"/>
                <w:b w:val="0"/>
                <w:bCs w:val="0"/>
                <w:i w:val="0"/>
                <w:iCs w:val="0"/>
                <w:color w:val="auto"/>
                <w:sz w:val="21"/>
                <w:szCs w:val="21"/>
                <w:highlight w:val="none"/>
                <w:u w:val="none"/>
                <w:lang w:val="en-US" w:eastAsia="zh-CN" w:bidi="ar"/>
              </w:rPr>
              <w:t xml:space="preserve">★6.承诺所投产品符合YD/T 1019-2023等现行国家或行业标准针对双绞多芯对称电缆的要求。提供承诺函（格式自拟）。</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2米六类4对非屏蔽跳线</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pStyle w:val="810"/>
              <w:ind w:firstLine="0"/>
              <w:keepLines w:val="0"/>
              <w:keepNext w:val="0"/>
              <w:pageBreakBefore w:val="0"/>
              <w:spacing w:line="360" w:lineRule="exact"/>
              <w:rPr>
                <w:rFonts w:hint="eastAsia" w:ascii="宋体" w:hAnsi="宋体" w:eastAsia="宋体" w:cs="宋体"/>
                <w:sz w:val="21"/>
                <w:szCs w:val="21"/>
                <w:lang w:eastAsia="zh-CN"/>
              </w:rPr>
            </w:pPr>
            <w:r>
              <w:rPr>
                <w:rFonts w:hint="eastAsia" w:ascii="宋体" w:hAnsi="宋体" w:eastAsia="宋体" w:cs="宋体"/>
                <w:i w:val="0"/>
                <w:iCs w:val="0"/>
                <w:color w:val="auto"/>
                <w:sz w:val="21"/>
                <w:szCs w:val="21"/>
                <w:highlight w:val="none"/>
                <w:u w:val="none"/>
                <w:lang w:val="en-US" w:eastAsia="zh-CN" w:bidi="ar"/>
              </w:rPr>
              <w:t xml:space="preserve">1.采用多股软线为导体，两端RJ45接触针为镀金，跳线必须为注塑成型，LSZH低烟无卤护套。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2.长度规格：≥2米。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3.传输带宽支持250MHz。提供由具备有效CMA资质的检测机构出具的封面盖有CMA认定标志的检测报告原件</w:t>
            </w:r>
            <w:r>
              <w:rPr>
                <w:rFonts w:hint="eastAsia" w:ascii="宋体" w:hAnsi="宋体" w:cs="宋体"/>
                <w:i w:val="0"/>
                <w:iCs w:val="0"/>
                <w:color w:val="auto"/>
                <w:sz w:val="21"/>
                <w:szCs w:val="21"/>
                <w:highlight w:val="none"/>
                <w:u w:val="none"/>
                <w:lang w:val="en-US" w:eastAsia="zh-CN" w:bidi="ar"/>
              </w:rPr>
              <w:t xml:space="preserve">关键页</w:t>
            </w:r>
            <w:r>
              <w:rPr>
                <w:rFonts w:hint="eastAsia" w:ascii="宋体" w:hAnsi="宋体" w:eastAsia="宋体" w:cs="宋体"/>
                <w:i w:val="0"/>
                <w:iCs w:val="0"/>
                <w:color w:val="auto"/>
                <w:sz w:val="21"/>
                <w:szCs w:val="21"/>
                <w:highlight w:val="none"/>
                <w:u w:val="none"/>
                <w:lang w:val="en-US" w:eastAsia="zh-CN" w:bidi="ar"/>
              </w:rPr>
              <w:t xml:space="preserve">扫描件（符合现行国家或行业标准）。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4.所投跳线需经过严格的回波损耗及近端串扰测试。</w:t>
            </w:r>
            <w:r>
              <w:rPr>
                <w:rFonts w:hint="eastAsia" w:ascii="宋体" w:hAnsi="宋体" w:eastAsia="宋体" w:cs="宋体"/>
                <w:b/>
                <w:bCs/>
                <w:i w:val="0"/>
                <w:iCs w:val="0"/>
                <w:color w:val="auto"/>
                <w:sz w:val="21"/>
                <w:szCs w:val="21"/>
                <w:highlight w:val="none"/>
                <w:u w:val="none"/>
                <w:lang w:val="en-US" w:eastAsia="zh-CN" w:bidi="ar"/>
              </w:rPr>
              <w:t xml:space="preserve">提供所投产品由第三方检测机构出具的、具有CMA标志的检测报告原件关键页扫描件（符合GB/T50312-2016或ANSI/TIA-568.2-D:2018或ISO/IEC11801或TIA/EIA-568.2-D:2018所制定的元件标准，投标时提供六类跳线的规格不限）；按第四章商务要求（其他要求的第2条）中明确的要求、提供相关佐证材料。</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4芯室外单模光缆</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numPr>
                <w:ilvl w:val="1"/>
                <w:numId w:val="0"/>
              </w:numPr>
              <w:jc w:val="left"/>
              <w:keepLines w:val="0"/>
              <w:keepNext w:val="0"/>
              <w:pageBreakBefore w:val="0"/>
              <w:spacing w:line="360" w:lineRule="exac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1.光纤类型：G.652.D单模光纤（9/125μm），支持1310nm和1550nm窗口。</w:t>
            </w:r>
            <w:r/>
          </w:p>
          <w:p>
            <w:pPr>
              <w:numPr>
                <w:ilvl w:val="1"/>
                <w:numId w:val="0"/>
              </w:numPr>
              <w:jc w:val="left"/>
              <w:keepLines w:val="0"/>
              <w:keepNext w:val="0"/>
              <w:pageBreakBefore w:val="0"/>
              <w:spacing w:line="360" w:lineRule="exac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2.规格及类型：芯数范围4芯，结构：GYTZS。</w:t>
            </w:r>
            <w:r/>
          </w:p>
          <w:p>
            <w:pPr>
              <w:numPr>
                <w:ilvl w:val="1"/>
                <w:numId w:val="0"/>
              </w:numPr>
              <w:jc w:val="left"/>
              <w:keepLines w:val="0"/>
              <w:keepNext w:val="0"/>
              <w:pageBreakBefore w:val="0"/>
              <w:spacing w:line="360" w:lineRule="exac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3.提供所投产品以下技术参数的检测报告：光缆中光纤的特性（衰减系数或者插入损耗）、光缆衰减温度特性、光缆的护套的性能（抗拉强度、断裂伸长率）。提供所投室外单模光缆产品由第三方检测机构出具且具有CMA标志的符合YD/T 901-2018等现行国家或行业标准的全文</w:t>
            </w:r>
            <w:r>
              <w:rPr>
                <w:rFonts w:hint="eastAsia" w:ascii="宋体" w:hAnsi="宋体" w:eastAsia="宋体" w:cs="宋体"/>
                <w:b/>
                <w:bCs/>
                <w:color w:val="auto"/>
                <w:sz w:val="21"/>
                <w:szCs w:val="21"/>
                <w:highlight w:val="none"/>
                <w:lang w:val="en-US" w:eastAsia="zh-CN"/>
              </w:rPr>
              <w:t xml:space="preserve">检测报告</w:t>
            </w:r>
            <w:r>
              <w:rPr>
                <w:rFonts w:hint="eastAsia" w:ascii="宋体" w:hAnsi="宋体" w:eastAsia="宋体" w:cs="宋体"/>
                <w:b w:val="0"/>
                <w:bCs w:val="0"/>
                <w:i w:val="0"/>
                <w:iCs w:val="0"/>
                <w:color w:val="auto"/>
                <w:sz w:val="21"/>
                <w:szCs w:val="21"/>
                <w:highlight w:val="none"/>
                <w:u w:val="none"/>
                <w:lang w:val="en-US" w:eastAsia="zh-CN" w:bidi="ar"/>
              </w:rPr>
              <w:t xml:space="preserve">扫描件</w:t>
            </w:r>
            <w:r>
              <w:rPr>
                <w:rFonts w:hint="eastAsia" w:ascii="宋体" w:hAnsi="宋体" w:eastAsia="宋体" w:cs="宋体"/>
                <w:b/>
                <w:bCs/>
                <w:i w:val="0"/>
                <w:iCs w:val="0"/>
                <w:color w:val="auto"/>
                <w:sz w:val="21"/>
                <w:szCs w:val="21"/>
                <w:highlight w:val="none"/>
                <w:u w:val="none"/>
                <w:lang w:val="en-US" w:eastAsia="zh-CN" w:bidi="ar"/>
              </w:rPr>
              <w:t xml:space="preserve">（芯数不限）</w:t>
            </w:r>
            <w:r>
              <w:rPr>
                <w:rFonts w:hint="eastAsia" w:ascii="宋体" w:hAnsi="宋体" w:eastAsia="宋体" w:cs="宋体"/>
                <w:b w:val="0"/>
                <w:bCs w:val="0"/>
                <w:i w:val="0"/>
                <w:iCs w:val="0"/>
                <w:color w:val="auto"/>
                <w:sz w:val="21"/>
                <w:szCs w:val="21"/>
                <w:highlight w:val="none"/>
                <w:u w:val="none"/>
                <w:lang w:val="en-US" w:eastAsia="zh-CN" w:bidi="ar"/>
              </w:rPr>
              <w:t xml:space="preserve">。检测报告中须体现检测依据以及是否通过检测的结论。</w:t>
            </w:r>
            <w:r/>
          </w:p>
          <w:p>
            <w:pPr>
              <w:numPr>
                <w:ilvl w:val="1"/>
                <w:numId w:val="0"/>
              </w:numPr>
              <w:jc w:val="left"/>
              <w:keepLines w:val="0"/>
              <w:keepNext w:val="0"/>
              <w:pageBreakBefore w:val="0"/>
              <w:spacing w:line="360" w:lineRule="exac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4.燃烧性能要求：所投</w:t>
            </w:r>
            <w:r>
              <w:rPr>
                <w:rFonts w:hint="eastAsia" w:ascii="宋体" w:hAnsi="宋体" w:eastAsia="宋体" w:cs="宋体"/>
                <w:i w:val="0"/>
                <w:iCs w:val="0"/>
                <w:color w:val="auto"/>
                <w:sz w:val="21"/>
                <w:szCs w:val="21"/>
                <w:highlight w:val="none"/>
                <w:u w:val="none"/>
                <w:lang w:val="en-US" w:eastAsia="zh-CN" w:bidi="ar"/>
              </w:rPr>
              <w:t xml:space="preserve">室外单模光缆</w:t>
            </w:r>
            <w:r>
              <w:rPr>
                <w:rFonts w:hint="eastAsia" w:ascii="宋体" w:hAnsi="宋体" w:eastAsia="宋体" w:cs="宋体"/>
                <w:b w:val="0"/>
                <w:bCs w:val="0"/>
                <w:i w:val="0"/>
                <w:iCs w:val="0"/>
                <w:color w:val="auto"/>
                <w:sz w:val="21"/>
                <w:szCs w:val="21"/>
                <w:highlight w:val="none"/>
                <w:u w:val="none"/>
                <w:lang w:val="en-US" w:eastAsia="zh-CN" w:bidi="ar"/>
              </w:rPr>
              <w:t xml:space="preserve">产品至少达到单根电缆火焰垂直蔓延试验要求。提供所投产品具有CMA标志的、由第三方检测机构出具的、符合GB/T 18380.12-2022</w:t>
            </w:r>
            <w:r>
              <w:rPr>
                <w:rFonts w:hint="eastAsia" w:ascii="宋体" w:hAnsi="宋体" w:eastAsia="宋体" w:cs="宋体"/>
                <w:b w:val="0"/>
                <w:bCs w:val="0"/>
                <w:color w:val="auto"/>
                <w:sz w:val="21"/>
                <w:szCs w:val="21"/>
                <w:highlight w:val="none"/>
                <w:lang w:val="en-US" w:eastAsia="zh-CN"/>
              </w:rPr>
              <w:t xml:space="preserve">或</w:t>
            </w:r>
            <w:r>
              <w:rPr>
                <w:rFonts w:hint="eastAsia" w:ascii="宋体" w:hAnsi="宋体" w:eastAsia="宋体" w:cs="宋体"/>
                <w:b w:val="0"/>
                <w:bCs w:val="0"/>
                <w:color w:val="auto"/>
                <w:sz w:val="21"/>
                <w:szCs w:val="21"/>
                <w:highlight w:val="none"/>
              </w:rPr>
              <w:t xml:space="preserve">GB/T 18380.</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2-20</w:t>
            </w:r>
            <w:r>
              <w:rPr>
                <w:rFonts w:hint="eastAsia" w:ascii="宋体" w:hAnsi="宋体" w:eastAsia="宋体" w:cs="宋体"/>
                <w:b w:val="0"/>
                <w:bCs w:val="0"/>
                <w:color w:val="auto"/>
                <w:sz w:val="21"/>
                <w:szCs w:val="21"/>
                <w:highlight w:val="none"/>
                <w:lang w:val="en-US" w:eastAsia="zh-CN"/>
              </w:rPr>
              <w:t xml:space="preserve">08</w:t>
            </w:r>
            <w:r>
              <w:rPr>
                <w:rFonts w:hint="eastAsia" w:ascii="宋体" w:hAnsi="宋体" w:eastAsia="宋体" w:cs="宋体"/>
                <w:b w:val="0"/>
                <w:bCs w:val="0"/>
                <w:i w:val="0"/>
                <w:iCs w:val="0"/>
                <w:color w:val="auto"/>
                <w:sz w:val="21"/>
                <w:szCs w:val="21"/>
                <w:highlight w:val="none"/>
                <w:u w:val="none"/>
                <w:lang w:val="en-US" w:eastAsia="zh-CN" w:bidi="ar"/>
              </w:rPr>
              <w:t xml:space="preserve">或IEC 60332-1-2：2015标准中的单根电缆火焰垂直蔓延试验的全文</w:t>
            </w:r>
            <w:r>
              <w:rPr>
                <w:rFonts w:hint="eastAsia" w:ascii="宋体" w:hAnsi="宋体" w:eastAsia="宋体" w:cs="宋体"/>
                <w:b/>
                <w:bCs/>
                <w:color w:val="auto"/>
                <w:sz w:val="21"/>
                <w:szCs w:val="21"/>
                <w:highlight w:val="none"/>
                <w:lang w:val="en-US" w:eastAsia="zh-CN"/>
              </w:rPr>
              <w:t xml:space="preserve">检测报告</w:t>
            </w:r>
            <w:r>
              <w:rPr>
                <w:rFonts w:hint="eastAsia" w:ascii="宋体" w:hAnsi="宋体" w:eastAsia="宋体" w:cs="宋体"/>
                <w:b w:val="0"/>
                <w:bCs w:val="0"/>
                <w:i w:val="0"/>
                <w:iCs w:val="0"/>
                <w:color w:val="auto"/>
                <w:sz w:val="21"/>
                <w:szCs w:val="21"/>
                <w:highlight w:val="none"/>
                <w:u w:val="none"/>
                <w:lang w:val="en-US" w:eastAsia="zh-CN" w:bidi="ar"/>
              </w:rPr>
              <w:t xml:space="preserve">扫描件</w:t>
            </w:r>
            <w:r>
              <w:rPr>
                <w:rFonts w:hint="eastAsia" w:ascii="宋体" w:hAnsi="宋体" w:eastAsia="宋体" w:cs="宋体"/>
                <w:b/>
                <w:bCs/>
                <w:i w:val="0"/>
                <w:iCs w:val="0"/>
                <w:color w:val="auto"/>
                <w:sz w:val="21"/>
                <w:szCs w:val="21"/>
                <w:highlight w:val="none"/>
                <w:u w:val="none"/>
                <w:lang w:val="en-US" w:eastAsia="zh-CN" w:bidi="ar"/>
              </w:rPr>
              <w:t xml:space="preserve">（芯数不限）</w:t>
            </w:r>
            <w:r>
              <w:rPr>
                <w:rFonts w:hint="eastAsia" w:ascii="宋体" w:hAnsi="宋体" w:eastAsia="宋体" w:cs="宋体"/>
                <w:b w:val="0"/>
                <w:bCs w:val="0"/>
                <w:i w:val="0"/>
                <w:iCs w:val="0"/>
                <w:color w:val="auto"/>
                <w:sz w:val="21"/>
                <w:szCs w:val="21"/>
                <w:highlight w:val="none"/>
                <w:u w:val="none"/>
                <w:lang w:val="en-US" w:eastAsia="zh-CN" w:bidi="ar"/>
              </w:rPr>
              <w:t xml:space="preserve">。检测报告中须体现检测依据以及是否通过检测的结论。</w:t>
            </w:r>
            <w:r/>
          </w:p>
          <w:p>
            <w:pPr>
              <w:numPr>
                <w:ilvl w:val="1"/>
                <w:numId w:val="0"/>
              </w:numPr>
              <w:jc w:val="left"/>
              <w:keepLines w:val="0"/>
              <w:keepNext w:val="0"/>
              <w:pageBreakBefore w:val="0"/>
              <w:spacing w:line="360" w:lineRule="exac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5.外护套材料：无卤素、低烟、阻燃，黑色高密度聚乙烯（HDPE）或抗紫外线PE。</w:t>
            </w:r>
            <w:r/>
          </w:p>
          <w:p>
            <w:pPr>
              <w:numPr>
                <w:ilvl w:val="1"/>
                <w:numId w:val="0"/>
              </w:numPr>
              <w:jc w:val="left"/>
              <w:keepLines w:val="0"/>
              <w:keepNext w:val="0"/>
              <w:pageBreakBefore w:val="0"/>
              <w:spacing w:line="360" w:lineRule="exac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6.阻水性能，纵向阻水（阻水带+填充油膏）。符合YD/T 901-2018等现行国家标准，提供第三方检测机构出具的</w:t>
            </w:r>
            <w:r>
              <w:rPr>
                <w:rFonts w:hint="eastAsia" w:ascii="宋体" w:hAnsi="宋体" w:eastAsia="宋体" w:cs="宋体"/>
                <w:b/>
                <w:bCs/>
                <w:color w:val="auto"/>
                <w:sz w:val="21"/>
                <w:szCs w:val="21"/>
                <w:highlight w:val="none"/>
                <w:lang w:val="en-US" w:eastAsia="zh-CN"/>
              </w:rPr>
              <w:t xml:space="preserve">检测报告</w:t>
            </w:r>
            <w:r>
              <w:rPr>
                <w:rFonts w:hint="eastAsia" w:ascii="宋体" w:hAnsi="宋体" w:eastAsia="宋体" w:cs="宋体"/>
                <w:b w:val="0"/>
                <w:bCs w:val="0"/>
                <w:i w:val="0"/>
                <w:iCs w:val="0"/>
                <w:color w:val="auto"/>
                <w:sz w:val="21"/>
                <w:szCs w:val="21"/>
                <w:highlight w:val="none"/>
                <w:u w:val="none"/>
                <w:lang w:val="en-US" w:eastAsia="zh-CN" w:bidi="ar"/>
              </w:rPr>
              <w:t xml:space="preserve">扫描件</w:t>
            </w:r>
            <w:r>
              <w:rPr>
                <w:rFonts w:hint="eastAsia" w:ascii="宋体" w:hAnsi="宋体" w:eastAsia="宋体" w:cs="宋体"/>
                <w:b/>
                <w:bCs/>
                <w:color w:val="auto"/>
                <w:sz w:val="21"/>
                <w:szCs w:val="21"/>
                <w:highlight w:val="none"/>
                <w:lang w:val="en-US" w:eastAsia="zh-CN"/>
              </w:rPr>
              <w:t xml:space="preserve">或者</w:t>
            </w:r>
            <w:r>
              <w:rPr>
                <w:rFonts w:hint="eastAsia" w:ascii="宋体" w:hAnsi="宋体" w:eastAsia="宋体" w:cs="宋体"/>
                <w:b w:val="0"/>
                <w:bCs w:val="0"/>
                <w:i w:val="0"/>
                <w:iCs w:val="0"/>
                <w:color w:val="auto"/>
                <w:sz w:val="21"/>
                <w:szCs w:val="21"/>
                <w:highlight w:val="none"/>
                <w:u w:val="none"/>
                <w:lang w:val="en-US" w:eastAsia="zh-CN" w:bidi="ar"/>
              </w:rPr>
              <w:t xml:space="preserve">提供25年产品质量质保函加盖原厂鲜章扫描件</w:t>
            </w:r>
            <w:r>
              <w:rPr>
                <w:rFonts w:hint="eastAsia" w:ascii="宋体" w:hAnsi="宋体" w:eastAsia="宋体" w:cs="宋体"/>
                <w:b/>
                <w:bCs/>
                <w:i w:val="0"/>
                <w:iCs w:val="0"/>
                <w:color w:val="auto"/>
                <w:sz w:val="21"/>
                <w:szCs w:val="21"/>
                <w:highlight w:val="none"/>
                <w:u w:val="none"/>
                <w:lang w:val="en-US" w:eastAsia="zh-CN" w:bidi="ar"/>
              </w:rPr>
              <w:t xml:space="preserve">或者</w:t>
            </w:r>
            <w:r>
              <w:rPr>
                <w:rFonts w:hint="eastAsia" w:ascii="宋体" w:hAnsi="宋体" w:eastAsia="宋体" w:cs="宋体"/>
                <w:b w:val="0"/>
                <w:bCs w:val="0"/>
                <w:i w:val="0"/>
                <w:iCs w:val="0"/>
                <w:color w:val="auto"/>
                <w:sz w:val="21"/>
                <w:szCs w:val="21"/>
                <w:highlight w:val="none"/>
                <w:u w:val="none"/>
                <w:lang w:val="en-US" w:eastAsia="zh-CN" w:bidi="ar"/>
              </w:rPr>
              <w:t xml:space="preserve">产品技术规格书。</w:t>
            </w:r>
            <w:r/>
          </w:p>
          <w:p>
            <w:pPr>
              <w:pStyle w:val="810"/>
              <w:ind w:firstLine="0"/>
              <w:keepLines w:val="0"/>
              <w:keepNext w:val="0"/>
              <w:pageBreakBefore w:val="0"/>
              <w:spacing w:line="360" w:lineRule="exact"/>
              <w:rPr>
                <w:rFonts w:hint="eastAsia" w:ascii="宋体" w:hAnsi="宋体" w:eastAsia="宋体" w:cs="宋体"/>
                <w:sz w:val="21"/>
                <w:szCs w:val="21"/>
                <w:lang w:eastAsia="zh-CN"/>
              </w:rPr>
            </w:pPr>
            <w:r>
              <w:rPr>
                <w:rFonts w:hint="eastAsia" w:ascii="宋体" w:hAnsi="宋体" w:eastAsia="宋体" w:cs="宋体"/>
                <w:b w:val="0"/>
                <w:bCs w:val="0"/>
                <w:i w:val="0"/>
                <w:iCs w:val="0"/>
                <w:color w:val="auto"/>
                <w:sz w:val="21"/>
                <w:szCs w:val="21"/>
                <w:highlight w:val="none"/>
                <w:u w:val="none"/>
                <w:lang w:val="en-US" w:eastAsia="zh-CN" w:bidi="ar"/>
              </w:rPr>
              <w:t xml:space="preserve">★7.承诺所投产品符合YD/T 901-2018等现行国家或行业标准针对室外光纤的要求。提供承诺函（格式自拟）。</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6芯室外单模光缆</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numPr>
                <w:ilvl w:val="1"/>
                <w:numId w:val="0"/>
              </w:numPr>
              <w:jc w:val="left"/>
              <w:keepLines w:val="0"/>
              <w:keepNext w:val="0"/>
              <w:pageBreakBefore w:val="0"/>
              <w:spacing w:line="360" w:lineRule="exac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1.光纤类型：G.652.D单模光纤（9/125μm），支持1310nm和1550nm窗口。</w:t>
            </w:r>
            <w:r/>
          </w:p>
          <w:p>
            <w:pPr>
              <w:pStyle w:val="810"/>
              <w:ind w:firstLine="0"/>
              <w:keepLines w:val="0"/>
              <w:keepNext w:val="0"/>
              <w:pageBreakBefore w:val="0"/>
              <w:spacing w:line="360" w:lineRule="exact"/>
              <w:rPr>
                <w:rFonts w:hint="eastAsia" w:ascii="宋体" w:hAnsi="宋体" w:eastAsia="宋体" w:cs="宋体"/>
                <w:sz w:val="21"/>
                <w:szCs w:val="21"/>
                <w:lang w:eastAsia="zh-CN"/>
              </w:rPr>
            </w:pPr>
            <w:r>
              <w:rPr>
                <w:rFonts w:hint="eastAsia" w:ascii="宋体" w:hAnsi="宋体" w:eastAsia="宋体" w:cs="宋体"/>
                <w:b w:val="0"/>
                <w:bCs w:val="0"/>
                <w:i w:val="0"/>
                <w:iCs w:val="0"/>
                <w:color w:val="auto"/>
                <w:sz w:val="21"/>
                <w:szCs w:val="21"/>
                <w:highlight w:val="none"/>
                <w:u w:val="none"/>
                <w:lang w:val="en-US" w:eastAsia="zh-CN" w:bidi="ar"/>
              </w:rPr>
              <w:t xml:space="preserve">2.规格及类型：芯数范围</w:t>
            </w:r>
            <w:r>
              <w:rPr>
                <w:rFonts w:hint="eastAsia" w:ascii="宋体" w:hAnsi="宋体" w:cs="宋体"/>
                <w:b w:val="0"/>
                <w:bCs w:val="0"/>
                <w:i w:val="0"/>
                <w:iCs w:val="0"/>
                <w:color w:val="auto"/>
                <w:sz w:val="21"/>
                <w:szCs w:val="21"/>
                <w:highlight w:val="none"/>
                <w:u w:val="none"/>
                <w:lang w:val="en-US" w:eastAsia="zh-CN" w:bidi="ar"/>
              </w:rPr>
              <w:t xml:space="preserve">12</w:t>
            </w:r>
            <w:r>
              <w:rPr>
                <w:rFonts w:hint="eastAsia" w:ascii="宋体" w:hAnsi="宋体" w:eastAsia="宋体" w:cs="宋体"/>
                <w:b w:val="0"/>
                <w:bCs w:val="0"/>
                <w:i w:val="0"/>
                <w:iCs w:val="0"/>
                <w:color w:val="auto"/>
                <w:sz w:val="21"/>
                <w:szCs w:val="21"/>
                <w:highlight w:val="none"/>
                <w:u w:val="none"/>
                <w:lang w:val="en-US" w:eastAsia="zh-CN" w:bidi="ar"/>
              </w:rPr>
              <w:t xml:space="preserve">芯，结构：GYTZS。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3.提供所投产品以下技术参数的检测报告：光缆光纤特性、光缆机械性能、光缆衰减温度特性（光缆温度特性）或者衰减系数、光缆护套性能等。</w:t>
            </w:r>
            <w:r>
              <w:rPr>
                <w:rFonts w:hint="eastAsia" w:ascii="宋体" w:hAnsi="宋体" w:cs="宋体"/>
                <w:b/>
                <w:bCs/>
                <w:i w:val="0"/>
                <w:iCs w:val="0"/>
                <w:color w:val="auto"/>
                <w:sz w:val="21"/>
                <w:szCs w:val="21"/>
                <w:highlight w:val="none"/>
                <w:u w:val="none"/>
                <w:lang w:val="en-US" w:eastAsia="zh-CN" w:bidi="ar"/>
              </w:rPr>
              <w:t xml:space="preserve">第三方检测机构出具的具有CMA认证标志的</w:t>
            </w:r>
            <w:r>
              <w:rPr>
                <w:rFonts w:hint="eastAsia" w:ascii="宋体" w:hAnsi="宋体" w:eastAsia="宋体" w:cs="宋体"/>
                <w:b/>
                <w:bCs/>
                <w:i w:val="0"/>
                <w:iCs w:val="0"/>
                <w:color w:val="auto"/>
                <w:sz w:val="21"/>
                <w:szCs w:val="21"/>
                <w:highlight w:val="none"/>
                <w:u w:val="none"/>
                <w:lang w:val="en-US" w:eastAsia="zh-CN" w:bidi="ar"/>
              </w:rPr>
              <w:t xml:space="preserve">检测报告</w:t>
            </w:r>
            <w:r>
              <w:rPr>
                <w:rFonts w:hint="eastAsia" w:ascii="宋体" w:hAnsi="宋体" w:cs="宋体"/>
                <w:b/>
                <w:bCs/>
                <w:i w:val="0"/>
                <w:iCs w:val="0"/>
                <w:color w:val="auto"/>
                <w:sz w:val="21"/>
                <w:szCs w:val="21"/>
                <w:highlight w:val="none"/>
                <w:u w:val="none"/>
                <w:lang w:val="en-US" w:eastAsia="zh-CN" w:bidi="ar"/>
              </w:rPr>
              <w:t xml:space="preserve">原件</w:t>
            </w:r>
            <w:r>
              <w:rPr>
                <w:rFonts w:hint="eastAsia" w:ascii="宋体" w:hAnsi="宋体" w:eastAsia="宋体" w:cs="宋体"/>
                <w:b/>
                <w:bCs/>
                <w:i w:val="0"/>
                <w:iCs w:val="0"/>
                <w:color w:val="auto"/>
                <w:sz w:val="21"/>
                <w:szCs w:val="21"/>
                <w:highlight w:val="none"/>
                <w:u w:val="none"/>
                <w:lang w:val="en-US" w:eastAsia="zh-CN" w:bidi="ar"/>
              </w:rPr>
              <w:t xml:space="preserve">关键页扫描件（符合GB/T9771.3-2020或YD/T901-2018或（ANSI/TIA-568-3.D-2016、ANSI/TIA-568-C.3-2008等现行国家或行业标准，芯数不限）；按第四章商务要求（其他要求的第2条）中明确的要求、提供相关佐证材料。</w:t>
            </w:r>
            <w:r>
              <w:rPr>
                <w:rFonts w:hint="eastAsia" w:ascii="宋体" w:hAnsi="宋体" w:eastAsia="宋体" w:cs="宋体"/>
                <w:b/>
                <w:bCs/>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4.护套材料：采用低烟无卤阻燃材料。</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5.燃烧性能要求：所投室内单模光缆产品至少达到单根电缆火焰垂直蔓延试验要求。</w:t>
            </w:r>
            <w:r>
              <w:rPr>
                <w:rFonts w:hint="eastAsia" w:ascii="宋体" w:hAnsi="宋体" w:cs="宋体"/>
                <w:b/>
                <w:bCs/>
                <w:i w:val="0"/>
                <w:iCs w:val="0"/>
                <w:color w:val="auto"/>
                <w:sz w:val="21"/>
                <w:szCs w:val="21"/>
                <w:highlight w:val="none"/>
                <w:u w:val="none"/>
                <w:lang w:val="en-US" w:eastAsia="zh-CN" w:bidi="ar"/>
              </w:rPr>
              <w:t xml:space="preserve">第三方检测机构出具的具有CMA认证标志的</w:t>
            </w:r>
            <w:r>
              <w:rPr>
                <w:rFonts w:hint="eastAsia" w:ascii="宋体" w:hAnsi="宋体" w:eastAsia="宋体" w:cs="宋体"/>
                <w:b/>
                <w:bCs/>
                <w:i w:val="0"/>
                <w:iCs w:val="0"/>
                <w:color w:val="auto"/>
                <w:sz w:val="21"/>
                <w:szCs w:val="21"/>
                <w:highlight w:val="none"/>
                <w:u w:val="none"/>
                <w:lang w:val="en-US" w:eastAsia="zh-CN" w:bidi="ar"/>
              </w:rPr>
              <w:t xml:space="preserve">检测报告</w:t>
            </w:r>
            <w:r>
              <w:rPr>
                <w:rFonts w:hint="eastAsia" w:ascii="宋体" w:hAnsi="宋体" w:cs="宋体"/>
                <w:b/>
                <w:bCs/>
                <w:i w:val="0"/>
                <w:iCs w:val="0"/>
                <w:color w:val="auto"/>
                <w:sz w:val="21"/>
                <w:szCs w:val="21"/>
                <w:highlight w:val="none"/>
                <w:u w:val="none"/>
                <w:lang w:val="en-US" w:eastAsia="zh-CN" w:bidi="ar"/>
              </w:rPr>
              <w:t xml:space="preserve">原件</w:t>
            </w:r>
            <w:r>
              <w:rPr>
                <w:rFonts w:hint="eastAsia" w:ascii="宋体" w:hAnsi="宋体" w:eastAsia="宋体" w:cs="宋体"/>
                <w:b/>
                <w:bCs/>
                <w:i w:val="0"/>
                <w:iCs w:val="0"/>
                <w:color w:val="auto"/>
                <w:sz w:val="21"/>
                <w:szCs w:val="21"/>
                <w:highlight w:val="none"/>
                <w:u w:val="none"/>
                <w:lang w:val="en-US" w:eastAsia="zh-CN" w:bidi="ar"/>
              </w:rPr>
              <w:t xml:space="preserve">关键页扫描件（符合GB/T18380.12-2022或GB/T18380.22-2008或IEC60332-1-2：2015标准中的单根电缆火焰垂直蔓延试验的要求）；按第四章商务要求（其他要求的第2条）中明确的要求、提供相关佐证材料。</w:t>
            </w:r>
            <w:r>
              <w:rPr>
                <w:rFonts w:hint="eastAsia" w:ascii="宋体" w:hAnsi="宋体" w:eastAsia="宋体" w:cs="宋体"/>
                <w:b/>
                <w:bCs/>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6.烟密度：透光率应不小于50%。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★7.提供承诺函（格式自拟），承诺所投产品符合GB/T9771.3-2020或</w:t>
            </w:r>
            <w:r>
              <w:rPr>
                <w:rFonts w:hint="eastAsia" w:ascii="宋体" w:hAnsi="宋体" w:eastAsia="宋体" w:cs="宋体"/>
                <w:b/>
                <w:bCs/>
                <w:i w:val="0"/>
                <w:iCs w:val="0"/>
                <w:color w:val="auto"/>
                <w:sz w:val="21"/>
                <w:szCs w:val="21"/>
                <w:highlight w:val="none"/>
                <w:u w:val="none"/>
                <w:lang w:val="en-US" w:eastAsia="zh-CN" w:bidi="ar"/>
              </w:rPr>
              <w:t xml:space="preserve">YD/T901-2018</w:t>
            </w:r>
            <w:r>
              <w:rPr>
                <w:rFonts w:hint="eastAsia" w:ascii="宋体" w:hAnsi="宋体" w:eastAsia="宋体" w:cs="宋体"/>
                <w:i w:val="0"/>
                <w:iCs w:val="0"/>
                <w:color w:val="auto"/>
                <w:sz w:val="21"/>
                <w:szCs w:val="21"/>
                <w:highlight w:val="none"/>
                <w:u w:val="none"/>
                <w:lang w:val="en-US" w:eastAsia="zh-CN" w:bidi="ar"/>
              </w:rPr>
              <w:t xml:space="preserve">或（ANSI/TIA-568-3.D-2016、ANSI/TIA-568-C.3-2008）等现行国家或行业标准针对室外光纤的要求。</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8芯室内单模光缆</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numPr>
                <w:ilvl w:val="1"/>
                <w:numId w:val="0"/>
              </w:numPr>
              <w:jc w:val="left"/>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1.光纤类型：G.652.D/B1.3单模光纤（9/125μm），支持1310nm和1550nm窗口。</w:t>
            </w:r>
            <w:r/>
          </w:p>
          <w:p>
            <w:pPr>
              <w:numPr>
                <w:ilvl w:val="1"/>
                <w:numId w:val="0"/>
              </w:numPr>
              <w:jc w:val="left"/>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2.规格及结构：芯数范围</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芯</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单芯子缆分支光缆</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结构：</w:t>
            </w:r>
            <w:r>
              <w:rPr>
                <w:rFonts w:hint="eastAsia" w:ascii="宋体" w:hAnsi="宋体" w:eastAsia="宋体" w:cs="宋体"/>
                <w:color w:val="auto"/>
                <w:sz w:val="21"/>
                <w:szCs w:val="21"/>
                <w:highlight w:val="none"/>
                <w:lang w:val="en-US" w:eastAsia="zh-CN"/>
              </w:rPr>
              <w:t xml:space="preserve">铠装</w:t>
            </w:r>
            <w:r>
              <w:rPr>
                <w:rFonts w:hint="eastAsia" w:ascii="宋体" w:hAnsi="宋体" w:eastAsia="宋体" w:cs="宋体"/>
                <w:color w:val="auto"/>
                <w:sz w:val="21"/>
                <w:szCs w:val="21"/>
                <w:highlight w:val="none"/>
              </w:rPr>
              <w:t xml:space="preserve">。</w:t>
            </w:r>
            <w:r/>
          </w:p>
          <w:p>
            <w:pPr>
              <w:numPr>
                <w:ilvl w:val="1"/>
                <w:numId w:val="0"/>
              </w:numPr>
              <w:jc w:val="left"/>
              <w:keepLines w:val="0"/>
              <w:keepNext w:val="0"/>
              <w:pageBreakBefore w:val="0"/>
              <w:spacing w:line="360" w:lineRule="exact"/>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 xml:space="preserve">▲3.提供所投产品以下技术参数的检测报告：光缆光纤特性 、光缆机械性能、</w:t>
            </w:r>
            <w:r>
              <w:rPr>
                <w:rFonts w:hint="eastAsia" w:ascii="宋体" w:hAnsi="宋体" w:eastAsia="宋体" w:cs="宋体"/>
                <w:b w:val="0"/>
                <w:bCs w:val="0"/>
                <w:color w:val="auto"/>
                <w:sz w:val="21"/>
                <w:szCs w:val="21"/>
                <w:highlight w:val="none"/>
                <w:lang w:val="en-US" w:eastAsia="zh-CN"/>
              </w:rPr>
              <w:t xml:space="preserve">光缆</w:t>
            </w:r>
            <w:r>
              <w:rPr>
                <w:rFonts w:hint="eastAsia" w:ascii="宋体" w:hAnsi="宋体" w:eastAsia="宋体" w:cs="宋体"/>
                <w:b w:val="0"/>
                <w:bCs w:val="0"/>
                <w:color w:val="auto"/>
                <w:sz w:val="21"/>
                <w:szCs w:val="21"/>
                <w:highlight w:val="none"/>
              </w:rPr>
              <w:t xml:space="preserve">衰减温度特性</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光缆温度特性</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或者</w:t>
            </w:r>
            <w:r>
              <w:rPr>
                <w:rFonts w:hint="eastAsia" w:ascii="宋体" w:hAnsi="宋体" w:eastAsia="宋体" w:cs="宋体"/>
                <w:b w:val="0"/>
                <w:bCs w:val="0"/>
                <w:color w:val="auto"/>
                <w:sz w:val="21"/>
                <w:szCs w:val="21"/>
                <w:highlight w:val="none"/>
                <w:lang w:val="en-US" w:eastAsia="zh-CN"/>
              </w:rPr>
              <w:t xml:space="preserve">衰减系数</w:t>
            </w:r>
            <w:r>
              <w:rPr>
                <w:rFonts w:hint="eastAsia" w:ascii="宋体" w:hAnsi="宋体" w:eastAsia="宋体" w:cs="宋体"/>
                <w:b w:val="0"/>
                <w:bCs w:val="0"/>
                <w:color w:val="auto"/>
                <w:sz w:val="21"/>
                <w:szCs w:val="21"/>
                <w:highlight w:val="none"/>
              </w:rPr>
              <w:t xml:space="preserve">、光缆护套性能等。提供所投</w:t>
            </w:r>
            <w:r>
              <w:rPr>
                <w:rFonts w:hint="eastAsia" w:ascii="宋体" w:hAnsi="宋体" w:eastAsia="宋体" w:cs="宋体"/>
                <w:i w:val="0"/>
                <w:iCs w:val="0"/>
                <w:color w:val="auto"/>
                <w:sz w:val="21"/>
                <w:szCs w:val="21"/>
                <w:highlight w:val="none"/>
                <w:u w:val="none"/>
                <w:lang w:val="en-US" w:eastAsia="zh-CN" w:bidi="ar"/>
              </w:rPr>
              <w:t xml:space="preserve">室内单模光缆</w:t>
            </w:r>
            <w:r>
              <w:rPr>
                <w:rFonts w:hint="eastAsia" w:ascii="宋体" w:hAnsi="宋体" w:eastAsia="宋体" w:cs="宋体"/>
                <w:b w:val="0"/>
                <w:bCs w:val="0"/>
                <w:color w:val="auto"/>
                <w:sz w:val="21"/>
                <w:szCs w:val="21"/>
                <w:highlight w:val="none"/>
              </w:rPr>
              <w:t xml:space="preserve">产品第三方检测机构出具且具有</w:t>
            </w:r>
            <w:r>
              <w:rPr>
                <w:rFonts w:hint="eastAsia" w:ascii="宋体" w:hAnsi="宋体" w:eastAsia="宋体" w:cs="宋体"/>
                <w:b w:val="0"/>
                <w:bCs w:val="0"/>
                <w:color w:val="auto"/>
                <w:sz w:val="21"/>
                <w:szCs w:val="21"/>
                <w:highlight w:val="none"/>
                <w:lang w:eastAsia="zh-CN"/>
              </w:rPr>
              <w:t xml:space="preserve">CMA标志</w:t>
            </w:r>
            <w:r>
              <w:rPr>
                <w:rFonts w:hint="eastAsia" w:ascii="宋体" w:hAnsi="宋体" w:eastAsia="宋体" w:cs="宋体"/>
                <w:b w:val="0"/>
                <w:bCs w:val="0"/>
                <w:color w:val="auto"/>
                <w:sz w:val="21"/>
                <w:szCs w:val="21"/>
                <w:highlight w:val="none"/>
              </w:rPr>
              <w:t xml:space="preserve">的符合GB/T 9771.3-2020</w:t>
            </w:r>
            <w:r>
              <w:rPr>
                <w:rFonts w:hint="eastAsia" w:ascii="宋体" w:hAnsi="宋体" w:eastAsia="宋体" w:cs="宋体"/>
                <w:b w:val="0"/>
                <w:bCs w:val="0"/>
                <w:color w:val="auto"/>
                <w:sz w:val="21"/>
                <w:szCs w:val="21"/>
                <w:highlight w:val="none"/>
                <w:lang w:val="en-US" w:eastAsia="zh-CN"/>
              </w:rPr>
              <w:t xml:space="preserve">或YD/T1258.4-2019或（</w:t>
            </w:r>
            <w:r>
              <w:rPr>
                <w:rFonts w:hint="eastAsia" w:ascii="宋体" w:hAnsi="宋体" w:eastAsia="宋体" w:cs="宋体"/>
                <w:b w:val="0"/>
                <w:bCs w:val="0"/>
                <w:color w:val="auto"/>
                <w:sz w:val="21"/>
                <w:szCs w:val="21"/>
                <w:highlight w:val="none"/>
              </w:rPr>
              <w:t xml:space="preserve">ANSI/TIA-568-3.D-2016、ANSI/TIA-568-C.3-2008</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等现行国家或行业标准的全文</w:t>
            </w:r>
            <w:r>
              <w:rPr>
                <w:rFonts w:hint="eastAsia" w:ascii="宋体" w:hAnsi="宋体" w:eastAsia="宋体" w:cs="宋体"/>
                <w:b/>
                <w:bCs/>
                <w:color w:val="auto"/>
                <w:sz w:val="21"/>
                <w:szCs w:val="21"/>
                <w:highlight w:val="none"/>
                <w:lang w:eastAsia="zh-CN"/>
              </w:rPr>
              <w:t xml:space="preserve">检测报告</w:t>
            </w:r>
            <w:r>
              <w:rPr>
                <w:rFonts w:hint="eastAsia" w:ascii="宋体" w:hAnsi="宋体" w:eastAsia="宋体" w:cs="宋体"/>
                <w:b w:val="0"/>
                <w:bCs w:val="0"/>
                <w:color w:val="auto"/>
                <w:sz w:val="21"/>
                <w:szCs w:val="21"/>
                <w:highlight w:val="none"/>
              </w:rPr>
              <w:t xml:space="preserve">扫描件</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芯数不限</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。检测报告中须体现检测依据以及是否通过检测的结论</w:t>
            </w:r>
            <w:r>
              <w:rPr>
                <w:rFonts w:hint="eastAsia" w:ascii="宋体" w:hAnsi="宋体" w:eastAsia="宋体" w:cs="宋体"/>
                <w:b w:val="0"/>
                <w:bCs w:val="0"/>
                <w:color w:val="auto"/>
                <w:sz w:val="21"/>
                <w:szCs w:val="21"/>
                <w:highlight w:val="none"/>
                <w:lang w:eastAsia="zh-CN"/>
              </w:rPr>
              <w:t xml:space="preserve">。</w:t>
            </w:r>
            <w:r/>
          </w:p>
          <w:p>
            <w:pPr>
              <w:numPr>
                <w:ilvl w:val="1"/>
                <w:numId w:val="0"/>
              </w:numPr>
              <w:jc w:val="left"/>
              <w:keepLines w:val="0"/>
              <w:keepNext w:val="0"/>
              <w:pageBreakBefore w:val="0"/>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4.护套材料：采用低烟无卤阻燃材料。</w:t>
            </w:r>
            <w:r/>
          </w:p>
          <w:p>
            <w:pPr>
              <w:numPr>
                <w:ilvl w:val="1"/>
                <w:numId w:val="0"/>
              </w:numPr>
              <w:jc w:val="left"/>
              <w:keepLines w:val="0"/>
              <w:keepNext w:val="0"/>
              <w:pageBreakBefore w:val="0"/>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▲5.燃烧性能要求：所投</w:t>
            </w:r>
            <w:r>
              <w:rPr>
                <w:rFonts w:hint="eastAsia" w:ascii="宋体" w:hAnsi="宋体" w:eastAsia="宋体" w:cs="宋体"/>
                <w:i w:val="0"/>
                <w:iCs w:val="0"/>
                <w:color w:val="auto"/>
                <w:sz w:val="21"/>
                <w:szCs w:val="21"/>
                <w:highlight w:val="none"/>
                <w:u w:val="none"/>
                <w:lang w:val="en-US" w:eastAsia="zh-CN" w:bidi="ar"/>
              </w:rPr>
              <w:t xml:space="preserve">室内单模光缆</w:t>
            </w:r>
            <w:r>
              <w:rPr>
                <w:rFonts w:hint="eastAsia" w:ascii="宋体" w:hAnsi="宋体" w:eastAsia="宋体" w:cs="宋体"/>
                <w:b w:val="0"/>
                <w:bCs w:val="0"/>
                <w:color w:val="auto"/>
                <w:sz w:val="21"/>
                <w:szCs w:val="21"/>
                <w:highlight w:val="none"/>
              </w:rPr>
              <w:t xml:space="preserve">产品至少达到单根电缆火焰垂直蔓延试验要求。提供所投产品具有</w:t>
            </w:r>
            <w:r>
              <w:rPr>
                <w:rFonts w:hint="eastAsia" w:ascii="宋体" w:hAnsi="宋体" w:eastAsia="宋体" w:cs="宋体"/>
                <w:b w:val="0"/>
                <w:bCs w:val="0"/>
                <w:color w:val="auto"/>
                <w:sz w:val="21"/>
                <w:szCs w:val="21"/>
                <w:highlight w:val="none"/>
                <w:lang w:eastAsia="zh-CN"/>
              </w:rPr>
              <w:t xml:space="preserve">CMA标志</w:t>
            </w:r>
            <w:r>
              <w:rPr>
                <w:rFonts w:hint="eastAsia" w:ascii="宋体" w:hAnsi="宋体" w:eastAsia="宋体" w:cs="宋体"/>
                <w:b w:val="0"/>
                <w:bCs w:val="0"/>
                <w:color w:val="auto"/>
                <w:sz w:val="21"/>
                <w:szCs w:val="21"/>
                <w:highlight w:val="none"/>
              </w:rPr>
              <w:t xml:space="preserve">的、由第三方检测机构出具的、符合GB/T 18380.12-2022</w:t>
            </w:r>
            <w:r>
              <w:rPr>
                <w:rFonts w:hint="eastAsia" w:ascii="宋体" w:hAnsi="宋体" w:eastAsia="宋体" w:cs="宋体"/>
                <w:b w:val="0"/>
                <w:bCs w:val="0"/>
                <w:color w:val="auto"/>
                <w:sz w:val="21"/>
                <w:szCs w:val="21"/>
                <w:highlight w:val="none"/>
                <w:lang w:val="en-US" w:eastAsia="zh-CN"/>
              </w:rPr>
              <w:t xml:space="preserve">或</w:t>
            </w:r>
            <w:r>
              <w:rPr>
                <w:rFonts w:hint="eastAsia" w:ascii="宋体" w:hAnsi="宋体" w:eastAsia="宋体" w:cs="宋体"/>
                <w:b w:val="0"/>
                <w:bCs w:val="0"/>
                <w:color w:val="auto"/>
                <w:sz w:val="21"/>
                <w:szCs w:val="21"/>
                <w:highlight w:val="none"/>
              </w:rPr>
              <w:t xml:space="preserve">GB/T 18380.</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2-20</w:t>
            </w:r>
            <w:r>
              <w:rPr>
                <w:rFonts w:hint="eastAsia" w:ascii="宋体" w:hAnsi="宋体" w:eastAsia="宋体" w:cs="宋体"/>
                <w:b w:val="0"/>
                <w:bCs w:val="0"/>
                <w:color w:val="auto"/>
                <w:sz w:val="21"/>
                <w:szCs w:val="21"/>
                <w:highlight w:val="none"/>
                <w:lang w:val="en-US" w:eastAsia="zh-CN"/>
              </w:rPr>
              <w:t xml:space="preserve">08</w:t>
            </w:r>
            <w:r>
              <w:rPr>
                <w:rFonts w:hint="eastAsia" w:ascii="宋体" w:hAnsi="宋体" w:eastAsia="宋体" w:cs="宋体"/>
                <w:b w:val="0"/>
                <w:bCs w:val="0"/>
                <w:color w:val="auto"/>
                <w:sz w:val="21"/>
                <w:szCs w:val="21"/>
                <w:highlight w:val="none"/>
              </w:rPr>
              <w:t xml:space="preserve">或IEC 60332-1-2：2015标准中的单根电缆火焰垂直蔓延试验的全文</w:t>
            </w:r>
            <w:r>
              <w:rPr>
                <w:rFonts w:hint="eastAsia" w:ascii="宋体" w:hAnsi="宋体" w:eastAsia="宋体" w:cs="宋体"/>
                <w:b/>
                <w:bCs/>
                <w:color w:val="auto"/>
                <w:sz w:val="21"/>
                <w:szCs w:val="21"/>
                <w:highlight w:val="none"/>
                <w:lang w:eastAsia="zh-CN"/>
              </w:rPr>
              <w:t xml:space="preserve">检测报告</w:t>
            </w:r>
            <w:r>
              <w:rPr>
                <w:rFonts w:hint="eastAsia" w:ascii="宋体" w:hAnsi="宋体" w:eastAsia="宋体" w:cs="宋体"/>
                <w:b w:val="0"/>
                <w:bCs w:val="0"/>
                <w:color w:val="auto"/>
                <w:sz w:val="21"/>
                <w:szCs w:val="21"/>
                <w:highlight w:val="none"/>
              </w:rPr>
              <w:t xml:space="preserve">扫描件。检测报告中须体现检测依据以及是否通过检测的结论。</w:t>
            </w:r>
            <w:r/>
          </w:p>
          <w:p>
            <w:pPr>
              <w:numPr>
                <w:ilvl w:val="1"/>
                <w:numId w:val="0"/>
              </w:numPr>
              <w:jc w:val="left"/>
              <w:keepLines w:val="0"/>
              <w:keepNext w:val="0"/>
              <w:pageBreakBefore w:val="0"/>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6.烟密度：透光率应不小于50%。</w:t>
            </w:r>
            <w:r/>
          </w:p>
          <w:p>
            <w:pPr>
              <w:pStyle w:val="810"/>
              <w:ind w:firstLine="0"/>
              <w:keepLines w:val="0"/>
              <w:keepNext w:val="0"/>
              <w:pageBreakBefore w:val="0"/>
              <w:spacing w:line="360" w:lineRule="exact"/>
              <w:rPr>
                <w:rFonts w:hint="eastAsia" w:ascii="宋体" w:hAnsi="宋体" w:eastAsia="宋体" w:cs="宋体"/>
                <w:sz w:val="21"/>
                <w:szCs w:val="21"/>
                <w:lang w:eastAsia="zh-CN"/>
              </w:rPr>
            </w:pP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7</w:t>
            </w:r>
            <w:r>
              <w:rPr>
                <w:rFonts w:hint="eastAsia" w:ascii="宋体" w:hAnsi="宋体" w:eastAsia="宋体" w:cs="宋体"/>
                <w:b w:val="0"/>
                <w:bCs w:val="0"/>
                <w:color w:val="auto"/>
                <w:sz w:val="21"/>
                <w:szCs w:val="21"/>
                <w:highlight w:val="none"/>
              </w:rPr>
              <w:t xml:space="preserve">.承诺所投产品符合GB/T 9771.3-2020或YD/T1258.4-2019</w:t>
            </w:r>
            <w:r>
              <w:rPr>
                <w:rFonts w:hint="eastAsia" w:ascii="宋体" w:hAnsi="宋体" w:eastAsia="宋体" w:cs="宋体"/>
                <w:b w:val="0"/>
                <w:bCs w:val="0"/>
                <w:color w:val="auto"/>
                <w:sz w:val="21"/>
                <w:szCs w:val="21"/>
                <w:highlight w:val="none"/>
                <w:lang w:val="en-US" w:eastAsia="zh-CN"/>
              </w:rPr>
              <w:t xml:space="preserve">或（</w:t>
            </w:r>
            <w:r>
              <w:rPr>
                <w:rFonts w:hint="eastAsia" w:ascii="宋体" w:hAnsi="宋体" w:eastAsia="宋体" w:cs="宋体"/>
                <w:b w:val="0"/>
                <w:bCs w:val="0"/>
                <w:color w:val="auto"/>
                <w:sz w:val="21"/>
                <w:szCs w:val="21"/>
                <w:highlight w:val="none"/>
              </w:rPr>
              <w:t xml:space="preserve">ANSI/TIA-568-3.D-2016、ANSI/TIA-568-C.3-2008</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等现行国家或行业标准针对室内光纤的要求</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提供承诺函</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格式自拟</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强电电缆</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pStyle w:val="810"/>
              <w:numPr>
                <w:ilvl w:val="0"/>
                <w:numId w:val="11"/>
              </w:numPr>
              <w:ind w:firstLine="0"/>
              <w:keepLines w:val="0"/>
              <w:keepNext w:val="0"/>
              <w:pageBreakBefore w:val="0"/>
              <w:spacing w:line="36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WDZ-YJY4*70+1*35,</w:t>
            </w:r>
            <w:r>
              <w:rPr>
                <w:rFonts w:hint="eastAsia" w:ascii="宋体" w:hAnsi="宋体" w:eastAsia="宋体" w:cs="宋体"/>
                <w:color w:val="auto"/>
                <w:sz w:val="21"/>
                <w:szCs w:val="21"/>
                <w:lang w:val="en-US" w:eastAsia="zh-CN"/>
              </w:rPr>
              <w:t xml:space="preserve">铜芯，符合 GB/T 12706.1等相关国家标准。</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信号线（4*1.5）</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pStyle w:val="810"/>
              <w:numPr>
                <w:ilvl w:val="0"/>
                <w:numId w:val="12"/>
              </w:numPr>
              <w:ind w:firstLine="0"/>
              <w:keepLines w:val="0"/>
              <w:keepNext w:val="0"/>
              <w:pageBreakBefore w:val="0"/>
              <w:spacing w:line="36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eastAsia="zh-CN"/>
              </w:rPr>
              <w:t xml:space="preserve">RVVP4*1.5，</w:t>
            </w:r>
            <w:r>
              <w:rPr>
                <w:rFonts w:hint="eastAsia" w:ascii="宋体" w:hAnsi="宋体" w:eastAsia="宋体" w:cs="宋体"/>
                <w:color w:val="auto"/>
                <w:sz w:val="21"/>
                <w:szCs w:val="21"/>
                <w:lang w:val="en-US" w:eastAsia="zh-CN"/>
              </w:rPr>
              <w:t xml:space="preserve">铜芯，符合JB/T 8734.5等相关国家标准。</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电源线（2*1.5）</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pStyle w:val="810"/>
              <w:ind w:firstLine="0"/>
              <w:keepLines w:val="0"/>
              <w:keepNext w:val="0"/>
              <w:pageBreakBefore w:val="0"/>
              <w:spacing w:line="36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lang w:eastAsia="zh-CN"/>
              </w:rPr>
              <w:t xml:space="preserve">RVV3*1.5，</w:t>
            </w:r>
            <w:r>
              <w:rPr>
                <w:rFonts w:hint="eastAsia" w:ascii="宋体" w:hAnsi="宋体" w:eastAsia="宋体" w:cs="宋体"/>
                <w:color w:val="auto"/>
                <w:sz w:val="21"/>
                <w:szCs w:val="21"/>
                <w:lang w:val="en-US" w:eastAsia="zh-CN"/>
              </w:rPr>
              <w:t xml:space="preserve">铜芯，符合GB/T 5023.5等相关国家标准。</w:t>
            </w:r>
            <w:r/>
          </w:p>
          <w:p>
            <w:pPr>
              <w:pStyle w:val="810"/>
              <w:ind w:firstLine="0"/>
              <w:keepLines w:val="0"/>
              <w:keepNext w:val="0"/>
              <w:pageBreakBefore w:val="0"/>
              <w:spacing w:line="360" w:lineRule="exact"/>
              <w:rPr>
                <w:rFonts w:hint="eastAsia" w:ascii="宋体" w:hAnsi="宋体" w:eastAsia="宋体" w:cs="宋体"/>
                <w:color w:val="auto"/>
                <w:sz w:val="21"/>
                <w:szCs w:val="21"/>
                <w:lang w:val="en-US" w:eastAsia="zh-CN"/>
              </w:rPr>
            </w:pPr>
            <w:r>
              <w:rPr>
                <w:rFonts w:hint="eastAsia" w:ascii="宋体" w:hAnsi="宋体" w:eastAsia="宋体" w:cs="宋体"/>
                <w:b w:val="0"/>
                <w:bCs w:val="0"/>
                <w:color w:val="auto"/>
                <w:sz w:val="21"/>
                <w:szCs w:val="21"/>
                <w:highlight w:val="none"/>
              </w:rPr>
              <w:t xml:space="preserve">★</w:t>
            </w:r>
            <w:r>
              <w:rPr>
                <w:rFonts w:hint="eastAsia" w:ascii="宋体" w:hAnsi="宋体" w:eastAsia="宋体" w:cs="宋体"/>
                <w:color w:val="auto"/>
                <w:sz w:val="21"/>
                <w:szCs w:val="21"/>
                <w:lang w:val="en-US" w:eastAsia="zh-CN"/>
              </w:rPr>
              <w:t xml:space="preserve">2、提供所投产品的CCC认证证书扫描件。</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电源线（3*1.5）</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pStyle w:val="810"/>
              <w:ind w:firstLine="0"/>
              <w:keepLines w:val="0"/>
              <w:keepNext w:val="0"/>
              <w:pageBreakBefore w:val="0"/>
              <w:spacing w:line="36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lang w:eastAsia="zh-CN"/>
              </w:rPr>
              <w:t xml:space="preserve">RVV2*1.5，</w:t>
            </w:r>
            <w:r>
              <w:rPr>
                <w:rFonts w:hint="eastAsia" w:ascii="宋体" w:hAnsi="宋体" w:eastAsia="宋体" w:cs="宋体"/>
                <w:color w:val="auto"/>
                <w:sz w:val="21"/>
                <w:szCs w:val="21"/>
                <w:lang w:val="en-US" w:eastAsia="zh-CN"/>
              </w:rPr>
              <w:t xml:space="preserve">铜芯，符合GB/T 5023.5等相关国家标准。</w:t>
            </w:r>
            <w:r/>
          </w:p>
          <w:p>
            <w:pPr>
              <w:pStyle w:val="810"/>
              <w:numPr>
                <w:ilvl w:val="0"/>
                <w:numId w:val="0"/>
              </w:numPr>
              <w:keepLines w:val="0"/>
              <w:keepNext w:val="0"/>
              <w:pageBreakBefore w:val="0"/>
              <w:spacing w:line="360" w:lineRule="exact"/>
              <w:rPr>
                <w:rFonts w:hint="eastAsia" w:ascii="宋体" w:hAnsi="宋体" w:eastAsia="宋体" w:cs="宋体"/>
                <w:color w:val="auto"/>
                <w:sz w:val="21"/>
                <w:szCs w:val="21"/>
                <w:lang w:eastAsia="zh-CN"/>
              </w:rPr>
            </w:pP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color w:val="auto"/>
                <w:sz w:val="21"/>
                <w:szCs w:val="21"/>
                <w:lang w:val="en-US" w:eastAsia="zh-CN"/>
              </w:rPr>
              <w:t xml:space="preserve">提供所投产品的CCC认证证书扫描件。</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室外安防箱</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numPr>
                <w:ilvl w:val="0"/>
                <w:numId w:val="0"/>
              </w:num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1、配套室外安防箱，内含防水箱（或防水盒）*1。</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2、若为防水箱：国标304不锈钢，尺寸根据现场定制</w:t>
            </w:r>
            <w:r>
              <w:rPr>
                <w:rFonts w:hint="eastAsia" w:ascii="宋体" w:hAnsi="宋体" w:eastAsia="宋体" w:cs="宋体"/>
                <w:i w:val="0"/>
                <w:iCs w:val="0"/>
                <w:color w:val="auto"/>
                <w:sz w:val="21"/>
                <w:szCs w:val="21"/>
                <w:highlight w:val="none"/>
                <w:u w:val="none"/>
                <w:lang w:val="en-US" w:eastAsia="zh-CN" w:bidi="ar"/>
              </w:rPr>
              <w:t xml:space="preserve">；配套接地线、紧线器、线连接器和避雷器</w:t>
            </w:r>
            <w:r>
              <w:rPr>
                <w:rFonts w:hint="eastAsia" w:ascii="宋体" w:hAnsi="宋体" w:eastAsia="宋体" w:cs="宋体"/>
                <w:i w:val="0"/>
                <w:iCs w:val="0"/>
                <w:color w:val="auto"/>
                <w:sz w:val="21"/>
                <w:szCs w:val="21"/>
                <w:highlight w:val="none"/>
                <w:u w:val="none"/>
                <w:lang w:val="en-US" w:eastAsia="zh-CN" w:bidi="ar"/>
              </w:rPr>
              <w:t xml:space="preserve">。</w:t>
            </w:r>
            <w:r/>
          </w:p>
          <w:p>
            <w:pPr>
              <w:pStyle w:val="810"/>
              <w:ind w:firstLine="0"/>
              <w:keepLines w:val="0"/>
              <w:keepNext w:val="0"/>
              <w:pageBreakBefore w:val="0"/>
              <w:spacing w:line="360" w:lineRule="exact"/>
              <w:rPr>
                <w:rFonts w:hint="eastAsia" w:ascii="宋体" w:hAnsi="宋体" w:eastAsia="宋体" w:cs="宋体"/>
                <w:sz w:val="21"/>
                <w:szCs w:val="21"/>
                <w:lang w:eastAsia="zh-CN"/>
              </w:rPr>
            </w:pPr>
            <w:r>
              <w:rPr>
                <w:rFonts w:hint="eastAsia" w:ascii="宋体" w:hAnsi="宋体" w:eastAsia="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自带防拆。</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摄像机支架</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pStyle w:val="810"/>
              <w:ind w:firstLine="0"/>
              <w:jc w:val="both"/>
              <w:keepLines w:val="0"/>
              <w:keepNext w:val="0"/>
              <w:pageBreakBefore w:val="0"/>
              <w:spacing w:line="360" w:lineRule="exact"/>
              <w:rPr>
                <w:rFonts w:hint="eastAsia" w:ascii="宋体" w:hAnsi="宋体" w:eastAsia="宋体" w:cs="宋体"/>
                <w:sz w:val="21"/>
                <w:szCs w:val="21"/>
                <w:lang w:eastAsia="zh-CN"/>
              </w:rPr>
            </w:pPr>
            <w:r>
              <w:rPr>
                <w:rFonts w:hint="eastAsia" w:ascii="宋体" w:hAnsi="宋体" w:eastAsia="宋体" w:cs="宋体"/>
                <w:i w:val="0"/>
                <w:iCs w:val="0"/>
                <w:color w:val="auto"/>
                <w:sz w:val="21"/>
                <w:szCs w:val="21"/>
                <w:highlight w:val="none"/>
                <w:u w:val="none"/>
                <w:lang w:val="en-US" w:eastAsia="zh-CN" w:bidi="ar"/>
              </w:rPr>
              <w:t xml:space="preserve">白色，壁装或可伸缩吊杆安装；材质铝合金或白钢支架，满足吊装/壁装多种场景。</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42U机柜</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pStyle w:val="810"/>
              <w:ind w:firstLine="0"/>
              <w:keepLines w:val="0"/>
              <w:keepNext w:val="0"/>
              <w:pageBreakBefore w:val="0"/>
              <w:spacing w:line="360" w:lineRule="exact"/>
              <w:rPr>
                <w:rFonts w:hint="eastAsia" w:ascii="宋体" w:hAnsi="宋体" w:eastAsia="宋体" w:cs="宋体"/>
                <w:color w:val="auto"/>
                <w:sz w:val="21"/>
                <w:szCs w:val="21"/>
                <w:lang w:eastAsia="zh-CN"/>
              </w:rPr>
            </w:pPr>
            <w:r>
              <w:rPr>
                <w:rFonts w:hint="eastAsia" w:ascii="宋体" w:hAnsi="宋体" w:eastAsia="宋体" w:cs="宋体"/>
                <w:b w:val="0"/>
                <w:bCs w:val="0"/>
                <w:color w:val="auto"/>
                <w:sz w:val="21"/>
                <w:szCs w:val="21"/>
                <w:highlight w:val="none"/>
              </w:rPr>
              <w:t xml:space="preserve">≥</w:t>
            </w:r>
            <w:r>
              <w:rPr>
                <w:rFonts w:hint="eastAsia" w:ascii="宋体" w:hAnsi="宋体" w:eastAsia="宋体" w:cs="宋体"/>
                <w:color w:val="auto"/>
                <w:sz w:val="21"/>
                <w:szCs w:val="21"/>
                <w:highlight w:val="none"/>
              </w:rPr>
              <w:t xml:space="preserve">800*600*2000mm(深*宽*高)机柜，前门为钢化玻璃门，后门为无孔钢板门，含8位10A PDU</w:t>
            </w:r>
            <w:r>
              <w:rPr>
                <w:rFonts w:hint="eastAsia" w:ascii="宋体" w:hAnsi="宋体" w:eastAsia="宋体" w:cs="宋体"/>
                <w:color w:val="auto"/>
                <w:sz w:val="21"/>
                <w:szCs w:val="21"/>
                <w:highlight w:val="none"/>
                <w:lang w:eastAsia="zh-CN"/>
              </w:rPr>
              <w:t xml:space="preserve">。</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9U壁挂机柜</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pStyle w:val="810"/>
              <w:ind w:firstLine="0"/>
              <w:keepLines w:val="0"/>
              <w:keepNext w:val="0"/>
              <w:pageBreakBefore w:val="0"/>
              <w:spacing w:line="360" w:lineRule="exact"/>
              <w:rPr>
                <w:rFonts w:hint="eastAsia" w:ascii="宋体" w:hAnsi="宋体" w:eastAsia="宋体" w:cs="宋体"/>
                <w:color w:val="auto"/>
                <w:sz w:val="21"/>
                <w:szCs w:val="21"/>
                <w:lang w:eastAsia="zh-CN"/>
              </w:rPr>
            </w:pPr>
            <w:r>
              <w:rPr>
                <w:rFonts w:hint="eastAsia" w:ascii="宋体" w:hAnsi="宋体" w:eastAsia="宋体" w:cs="宋体"/>
                <w:b w:val="0"/>
                <w:bCs w:val="0"/>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400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00*</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50mm(深*宽*高)机柜，前门为钢化玻璃门，后门为无孔钢板门，含8位10A PDU</w:t>
            </w:r>
            <w:r>
              <w:rPr>
                <w:rFonts w:hint="eastAsia" w:ascii="宋体" w:hAnsi="宋体" w:eastAsia="宋体" w:cs="宋体"/>
                <w:color w:val="auto"/>
                <w:sz w:val="21"/>
                <w:szCs w:val="21"/>
                <w:highlight w:val="none"/>
                <w:lang w:eastAsia="zh-CN"/>
              </w:rPr>
              <w:t xml:space="preserve">。</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24芯光纤配线架</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keepLines w:val="0"/>
              <w:keepNext w:val="0"/>
              <w:pageBreakBefore w:val="0"/>
              <w:spacing w:line="360" w:lineRule="exact"/>
              <w:widowControl/>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bidi="ar"/>
              </w:rPr>
              <w:t xml:space="preserve">1</w:t>
            </w:r>
            <w:r>
              <w:rPr>
                <w:rFonts w:hint="eastAsia" w:ascii="宋体" w:hAnsi="宋体" w:eastAsia="宋体" w:cs="宋体"/>
                <w:b w:val="0"/>
                <w:bCs w:val="0"/>
                <w:color w:val="auto"/>
                <w:sz w:val="21"/>
                <w:szCs w:val="21"/>
                <w:highlight w:val="none"/>
                <w:lang w:val="en-US" w:eastAsia="zh-CN" w:bidi="ar"/>
              </w:rPr>
              <w:t xml:space="preserve">.24</w:t>
            </w:r>
            <w:r>
              <w:rPr>
                <w:rFonts w:hint="eastAsia" w:ascii="宋体" w:hAnsi="宋体" w:eastAsia="宋体" w:cs="宋体"/>
                <w:b w:val="0"/>
                <w:bCs w:val="0"/>
                <w:color w:val="auto"/>
                <w:sz w:val="21"/>
                <w:szCs w:val="21"/>
                <w:highlight w:val="none"/>
                <w:lang w:bidi="ar"/>
              </w:rPr>
              <w:t xml:space="preserve">芯LC双工光纤配线架，1U高度</w:t>
            </w:r>
            <w:r>
              <w:rPr>
                <w:rFonts w:hint="eastAsia" w:ascii="宋体" w:hAnsi="宋体" w:eastAsia="宋体" w:cs="宋体"/>
                <w:b w:val="0"/>
                <w:bCs w:val="0"/>
                <w:color w:val="auto"/>
                <w:sz w:val="21"/>
                <w:szCs w:val="21"/>
                <w:highlight w:val="none"/>
                <w:lang w:eastAsia="zh-CN" w:bidi="ar"/>
              </w:rPr>
              <w:t xml:space="preserve">。</w:t>
            </w:r>
            <w:r/>
          </w:p>
          <w:p>
            <w:pPr>
              <w:keepLines w:val="0"/>
              <w:keepNext w:val="0"/>
              <w:pageBreakBefore w:val="0"/>
              <w:spacing w:line="360" w:lineRule="exact"/>
              <w:widowControl/>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bidi="ar"/>
              </w:rPr>
              <w:t xml:space="preserve">2</w:t>
            </w:r>
            <w:r>
              <w:rPr>
                <w:rFonts w:hint="eastAsia" w:ascii="宋体" w:hAnsi="宋体" w:eastAsia="宋体" w:cs="宋体"/>
                <w:b w:val="0"/>
                <w:bCs w:val="0"/>
                <w:color w:val="auto"/>
                <w:sz w:val="21"/>
                <w:szCs w:val="21"/>
                <w:highlight w:val="none"/>
                <w:lang w:val="en-US" w:eastAsia="zh-CN" w:bidi="ar"/>
              </w:rPr>
              <w:t xml:space="preserve">.</w:t>
            </w:r>
            <w:r>
              <w:rPr>
                <w:rFonts w:hint="eastAsia" w:ascii="宋体" w:hAnsi="宋体" w:eastAsia="宋体" w:cs="宋体"/>
                <w:b w:val="0"/>
                <w:bCs w:val="0"/>
                <w:color w:val="auto"/>
                <w:sz w:val="21"/>
                <w:szCs w:val="21"/>
                <w:highlight w:val="none"/>
                <w:lang w:bidi="ar"/>
              </w:rPr>
              <w:t xml:space="preserve">安装方式：19英寸机柜式安装，可直接安装于墙面</w:t>
            </w:r>
            <w:r>
              <w:rPr>
                <w:rFonts w:hint="eastAsia" w:ascii="宋体" w:hAnsi="宋体" w:eastAsia="宋体" w:cs="宋体"/>
                <w:b w:val="0"/>
                <w:bCs w:val="0"/>
                <w:color w:val="auto"/>
                <w:sz w:val="21"/>
                <w:szCs w:val="21"/>
                <w:highlight w:val="none"/>
                <w:lang w:eastAsia="zh-CN" w:bidi="ar"/>
              </w:rPr>
              <w:t xml:space="preserve">。</w:t>
            </w:r>
            <w:r/>
          </w:p>
          <w:p>
            <w:pPr>
              <w:keepLines w:val="0"/>
              <w:keepNext w:val="0"/>
              <w:pageBreakBefore w:val="0"/>
              <w:spacing w:line="36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bidi="ar"/>
              </w:rPr>
              <w:t xml:space="preserve">3</w:t>
            </w:r>
            <w:r>
              <w:rPr>
                <w:rFonts w:hint="eastAsia" w:ascii="宋体" w:hAnsi="宋体" w:eastAsia="宋体" w:cs="宋体"/>
                <w:b w:val="0"/>
                <w:bCs w:val="0"/>
                <w:color w:val="auto"/>
                <w:sz w:val="21"/>
                <w:szCs w:val="21"/>
                <w:highlight w:val="none"/>
                <w:lang w:val="en-US" w:eastAsia="zh-CN" w:bidi="ar"/>
              </w:rPr>
              <w:t xml:space="preserve">.</w:t>
            </w:r>
            <w:r>
              <w:rPr>
                <w:rFonts w:hint="eastAsia" w:ascii="宋体" w:hAnsi="宋体" w:eastAsia="宋体" w:cs="宋体"/>
                <w:b w:val="0"/>
                <w:bCs w:val="0"/>
                <w:color w:val="auto"/>
                <w:sz w:val="21"/>
                <w:szCs w:val="21"/>
                <w:highlight w:val="none"/>
              </w:rPr>
              <w:t xml:space="preserve">插入损耗：</w:t>
            </w:r>
            <w:r/>
          </w:p>
          <w:p>
            <w:pPr>
              <w:keepLines w:val="0"/>
              <w:keepNext w:val="0"/>
              <w:pageBreakBefore w:val="0"/>
              <w:spacing w:line="3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rPr>
              <w:t xml:space="preserve">多模（850nm）：≤0.2dB（适配器+连接器）</w:t>
            </w:r>
            <w:r>
              <w:rPr>
                <w:rFonts w:hint="eastAsia" w:ascii="宋体" w:hAnsi="宋体" w:eastAsia="宋体" w:cs="宋体"/>
                <w:b w:val="0"/>
                <w:bCs w:val="0"/>
                <w:color w:val="auto"/>
                <w:sz w:val="21"/>
                <w:szCs w:val="21"/>
                <w:highlight w:val="none"/>
                <w:lang w:val="en-US" w:eastAsia="zh-CN"/>
              </w:rPr>
              <w:t xml:space="preserve">；</w:t>
            </w:r>
            <w:r/>
          </w:p>
          <w:p>
            <w:pPr>
              <w:keepLines w:val="0"/>
              <w:keepNext w:val="0"/>
              <w:pageBreakBefore w:val="0"/>
              <w:spacing w:line="3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rPr>
              <w:t xml:space="preserve">单模（1310nm/1550nm）：≤0.2dB</w:t>
            </w:r>
            <w:r>
              <w:rPr>
                <w:rFonts w:hint="eastAsia" w:ascii="宋体" w:hAnsi="宋体" w:eastAsia="宋体" w:cs="宋体"/>
                <w:b w:val="0"/>
                <w:bCs w:val="0"/>
                <w:color w:val="auto"/>
                <w:sz w:val="21"/>
                <w:szCs w:val="21"/>
                <w:highlight w:val="none"/>
                <w:lang w:val="en-US" w:eastAsia="zh-CN"/>
              </w:rPr>
              <w:t xml:space="preserve">；</w:t>
            </w:r>
            <w:r/>
          </w:p>
          <w:p>
            <w:pPr>
              <w:keepLines w:val="0"/>
              <w:keepNext w:val="0"/>
              <w:pageBreakBefore w:val="0"/>
              <w:spacing w:line="360" w:lineRule="exact"/>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 xml:space="preserve">回波损耗：≥45dB（UPC型，单模）</w:t>
            </w:r>
            <w:r>
              <w:rPr>
                <w:rFonts w:hint="eastAsia" w:ascii="宋体" w:hAnsi="宋体" w:eastAsia="宋体" w:cs="宋体"/>
                <w:b w:val="0"/>
                <w:bCs w:val="0"/>
                <w:color w:val="auto"/>
                <w:sz w:val="21"/>
                <w:szCs w:val="21"/>
                <w:highlight w:val="none"/>
                <w:lang w:eastAsia="zh-CN"/>
              </w:rPr>
              <w:t xml:space="preserve">。</w:t>
            </w:r>
            <w:r/>
          </w:p>
          <w:p>
            <w:pPr>
              <w:keepLines w:val="0"/>
              <w:keepNext w:val="0"/>
              <w:pageBreakBefore w:val="0"/>
              <w:spacing w:line="360" w:lineRule="exact"/>
              <w:widowControl/>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bidi="ar"/>
              </w:rPr>
              <w:t xml:space="preserve">4</w:t>
            </w:r>
            <w:r>
              <w:rPr>
                <w:rFonts w:hint="eastAsia" w:ascii="宋体" w:hAnsi="宋体" w:eastAsia="宋体" w:cs="宋体"/>
                <w:b w:val="0"/>
                <w:bCs w:val="0"/>
                <w:color w:val="auto"/>
                <w:sz w:val="21"/>
                <w:szCs w:val="21"/>
                <w:highlight w:val="none"/>
                <w:lang w:val="en-US" w:eastAsia="zh-CN" w:bidi="ar"/>
              </w:rPr>
              <w:t xml:space="preserve">.</w:t>
            </w:r>
            <w:r>
              <w:rPr>
                <w:rFonts w:hint="eastAsia" w:ascii="宋体" w:hAnsi="宋体" w:eastAsia="宋体" w:cs="宋体"/>
                <w:b w:val="0"/>
                <w:bCs w:val="0"/>
                <w:color w:val="auto"/>
                <w:sz w:val="21"/>
                <w:szCs w:val="21"/>
                <w:highlight w:val="none"/>
                <w:lang w:bidi="ar"/>
              </w:rPr>
              <w:t xml:space="preserve">符合IP</w:t>
            </w:r>
            <w:r>
              <w:rPr>
                <w:rFonts w:hint="eastAsia" w:ascii="宋体" w:hAnsi="宋体" w:eastAsia="宋体" w:cs="宋体"/>
                <w:b w:val="0"/>
                <w:bCs w:val="0"/>
                <w:color w:val="auto"/>
                <w:sz w:val="21"/>
                <w:szCs w:val="21"/>
                <w:highlight w:val="none"/>
                <w:lang w:val="en-US" w:eastAsia="zh-CN" w:bidi="ar"/>
              </w:rPr>
              <w:t xml:space="preserve">65</w:t>
            </w:r>
            <w:r>
              <w:rPr>
                <w:rFonts w:hint="eastAsia" w:ascii="宋体" w:hAnsi="宋体" w:eastAsia="宋体" w:cs="宋体"/>
                <w:b w:val="0"/>
                <w:bCs w:val="0"/>
                <w:color w:val="auto"/>
                <w:sz w:val="21"/>
                <w:szCs w:val="21"/>
                <w:highlight w:val="none"/>
                <w:lang w:bidi="ar"/>
              </w:rPr>
              <w:t xml:space="preserve">防护等级，适配器未使用时需配备防尘帽</w:t>
            </w:r>
            <w:r>
              <w:rPr>
                <w:rFonts w:hint="eastAsia" w:ascii="宋体" w:hAnsi="宋体" w:eastAsia="宋体" w:cs="宋体"/>
                <w:b w:val="0"/>
                <w:bCs w:val="0"/>
                <w:color w:val="auto"/>
                <w:sz w:val="21"/>
                <w:szCs w:val="21"/>
                <w:highlight w:val="none"/>
                <w:lang w:eastAsia="zh-CN" w:bidi="ar"/>
              </w:rPr>
              <w:t xml:space="preserve">。</w:t>
            </w:r>
            <w:r/>
          </w:p>
          <w:p>
            <w:pPr>
              <w:pStyle w:val="810"/>
              <w:ind w:firstLine="0"/>
              <w:keepLines w:val="0"/>
              <w:keepNext w:val="0"/>
              <w:pageBreakBefore w:val="0"/>
              <w:spacing w:line="360" w:lineRule="exact"/>
              <w:rPr>
                <w:rFonts w:hint="eastAsia" w:ascii="宋体" w:hAnsi="宋体" w:eastAsia="宋体" w:cs="宋体"/>
                <w:sz w:val="21"/>
                <w:szCs w:val="21"/>
                <w:lang w:eastAsia="zh-CN"/>
              </w:rPr>
            </w:pPr>
            <w:r>
              <w:rPr>
                <w:rFonts w:hint="eastAsia" w:ascii="宋体" w:hAnsi="宋体" w:eastAsia="宋体" w:cs="宋体"/>
                <w:b w:val="0"/>
                <w:bCs w:val="0"/>
                <w:color w:val="auto"/>
                <w:sz w:val="21"/>
                <w:szCs w:val="21"/>
                <w:highlight w:val="none"/>
                <w:lang w:bidi="ar"/>
              </w:rPr>
              <w:t xml:space="preserve">5</w:t>
            </w:r>
            <w:r>
              <w:rPr>
                <w:rFonts w:hint="eastAsia" w:ascii="宋体" w:hAnsi="宋体" w:eastAsia="宋体" w:cs="宋体"/>
                <w:b w:val="0"/>
                <w:bCs w:val="0"/>
                <w:color w:val="auto"/>
                <w:sz w:val="21"/>
                <w:szCs w:val="21"/>
                <w:highlight w:val="none"/>
                <w:lang w:val="en-US" w:eastAsia="zh-CN" w:bidi="ar"/>
              </w:rPr>
              <w:t xml:space="preserve">.</w:t>
            </w:r>
            <w:r>
              <w:rPr>
                <w:rFonts w:hint="eastAsia" w:ascii="宋体" w:hAnsi="宋体" w:eastAsia="宋体" w:cs="宋体"/>
                <w:b w:val="0"/>
                <w:bCs w:val="0"/>
                <w:color w:val="auto"/>
                <w:sz w:val="21"/>
                <w:szCs w:val="21"/>
                <w:highlight w:val="none"/>
                <w:lang w:bidi="ar"/>
              </w:rPr>
              <w:t xml:space="preserve">配套提供暗装底盒</w:t>
            </w:r>
            <w:r>
              <w:rPr>
                <w:rFonts w:hint="eastAsia" w:ascii="宋体" w:hAnsi="宋体" w:eastAsia="宋体" w:cs="宋体"/>
                <w:b w:val="0"/>
                <w:bCs w:val="0"/>
                <w:color w:val="auto"/>
                <w:sz w:val="21"/>
                <w:szCs w:val="21"/>
                <w:highlight w:val="none"/>
                <w:lang w:eastAsia="zh-CN" w:bidi="ar"/>
              </w:rPr>
              <w:t xml:space="preserve">（</w:t>
            </w:r>
            <w:r>
              <w:rPr>
                <w:rFonts w:hint="eastAsia" w:ascii="宋体" w:hAnsi="宋体" w:eastAsia="宋体" w:cs="宋体"/>
                <w:b w:val="0"/>
                <w:bCs w:val="0"/>
                <w:color w:val="auto"/>
                <w:sz w:val="21"/>
                <w:szCs w:val="21"/>
                <w:highlight w:val="none"/>
                <w:lang w:val="en-US" w:eastAsia="zh-CN" w:bidi="ar"/>
              </w:rPr>
              <w:t xml:space="preserve">绕纤盘</w:t>
            </w:r>
            <w:r>
              <w:rPr>
                <w:rFonts w:hint="eastAsia" w:ascii="宋体" w:hAnsi="宋体" w:eastAsia="宋体" w:cs="宋体"/>
                <w:b w:val="0"/>
                <w:bCs w:val="0"/>
                <w:color w:val="auto"/>
                <w:sz w:val="21"/>
                <w:szCs w:val="21"/>
                <w:highlight w:val="none"/>
                <w:lang w:eastAsia="zh-CN" w:bidi="ar"/>
              </w:rPr>
              <w:t xml:space="preserve">）</w:t>
            </w:r>
            <w:r>
              <w:rPr>
                <w:rFonts w:hint="eastAsia" w:ascii="宋体" w:hAnsi="宋体" w:eastAsia="宋体" w:cs="宋体"/>
                <w:b w:val="0"/>
                <w:bCs w:val="0"/>
                <w:color w:val="auto"/>
                <w:sz w:val="21"/>
                <w:szCs w:val="21"/>
                <w:highlight w:val="none"/>
                <w:lang w:bidi="ar"/>
              </w:rPr>
              <w:t xml:space="preserve">，暗装盒</w:t>
            </w:r>
            <w:r>
              <w:rPr>
                <w:rFonts w:hint="eastAsia" w:ascii="宋体" w:hAnsi="宋体" w:eastAsia="宋体" w:cs="宋体"/>
                <w:b w:val="0"/>
                <w:bCs w:val="0"/>
                <w:color w:val="auto"/>
                <w:sz w:val="21"/>
                <w:szCs w:val="21"/>
                <w:highlight w:val="none"/>
                <w:lang w:eastAsia="zh-CN" w:bidi="ar"/>
              </w:rPr>
              <w:t xml:space="preserve">（</w:t>
            </w:r>
            <w:r>
              <w:rPr>
                <w:rFonts w:hint="eastAsia" w:ascii="宋体" w:hAnsi="宋体" w:eastAsia="宋体" w:cs="宋体"/>
                <w:b w:val="0"/>
                <w:bCs w:val="0"/>
                <w:color w:val="auto"/>
                <w:sz w:val="21"/>
                <w:szCs w:val="21"/>
                <w:highlight w:val="none"/>
                <w:lang w:val="en-US" w:eastAsia="zh-CN" w:bidi="ar"/>
              </w:rPr>
              <w:t xml:space="preserve">绕纤盘）</w:t>
            </w:r>
            <w:r>
              <w:rPr>
                <w:rFonts w:hint="eastAsia" w:ascii="宋体" w:hAnsi="宋体" w:eastAsia="宋体" w:cs="宋体"/>
                <w:b w:val="0"/>
                <w:bCs w:val="0"/>
                <w:color w:val="auto"/>
                <w:sz w:val="21"/>
                <w:szCs w:val="21"/>
                <w:highlight w:val="none"/>
                <w:lang w:bidi="ar"/>
              </w:rPr>
              <w:t xml:space="preserve">内设有线缆盘绕存储架，线缆盘绕架设计弯曲半径≥40mm（静态）/≥80mm（动态），支持OM3/OM4/OS2光纤安全存储，满配耦合器。</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24口六类非屏蔽配线架</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strike w:val="0"/>
                <w:color w:val="auto"/>
                <w:sz w:val="21"/>
                <w:szCs w:val="21"/>
                <w:highlight w:val="none"/>
                <w:u w:val="none"/>
                <w:lang w:val="en-US" w:eastAsia="zh-CN" w:bidi="ar"/>
              </w:rPr>
              <w:suppressLineNumbers w:val="0"/>
            </w:pPr>
            <w:r>
              <w:rPr>
                <w:rFonts w:hint="eastAsia" w:ascii="宋体" w:hAnsi="宋体" w:eastAsia="宋体" w:cs="宋体"/>
                <w:b w:val="0"/>
                <w:bCs w:val="0"/>
                <w:i w:val="0"/>
                <w:iCs w:val="0"/>
                <w:strike w:val="0"/>
                <w:color w:val="auto"/>
                <w:sz w:val="21"/>
                <w:szCs w:val="21"/>
                <w:highlight w:val="none"/>
                <w:u w:val="none"/>
                <w:lang w:val="en-US" w:eastAsia="zh-CN" w:bidi="ar"/>
              </w:rPr>
              <w:t xml:space="preserve">1.模块式配线架，满配24个模块；</w:t>
            </w:r>
            <w:r/>
          </w:p>
          <w:p>
            <w:pPr>
              <w:jc w:val="left"/>
              <w:keepLines w:val="0"/>
              <w:keepNext w:val="0"/>
              <w:pageBreakBefore w:val="0"/>
              <w:spacing w:line="360" w:lineRule="exact"/>
              <w:widowControl/>
              <w:rPr>
                <w:rFonts w:hint="eastAsia" w:ascii="宋体" w:hAnsi="宋体" w:eastAsia="宋体" w:cs="宋体"/>
                <w:b w:val="0"/>
                <w:bCs w:val="0"/>
                <w:i w:val="0"/>
                <w:iCs w:val="0"/>
                <w:strike w:val="0"/>
                <w:color w:val="auto"/>
                <w:sz w:val="21"/>
                <w:szCs w:val="21"/>
                <w:highlight w:val="none"/>
                <w:u w:val="none"/>
                <w:lang w:val="en-US" w:eastAsia="zh-CN" w:bidi="ar"/>
              </w:rPr>
              <w:suppressLineNumbers w:val="0"/>
            </w:pPr>
            <w:r>
              <w:rPr>
                <w:rFonts w:hint="eastAsia" w:ascii="宋体" w:hAnsi="宋体" w:eastAsia="宋体" w:cs="宋体"/>
                <w:b w:val="0"/>
                <w:bCs w:val="0"/>
                <w:i w:val="0"/>
                <w:iCs w:val="0"/>
                <w:strike w:val="0"/>
                <w:color w:val="auto"/>
                <w:sz w:val="21"/>
                <w:szCs w:val="21"/>
                <w:highlight w:val="none"/>
                <w:u w:val="none"/>
                <w:lang w:val="en-US" w:eastAsia="zh-CN" w:bidi="ar"/>
              </w:rPr>
              <w:t xml:space="preserve">2.配线架后面配有理线托架，配线架配有防尘盖；</w:t>
            </w:r>
            <w:r/>
          </w:p>
          <w:p>
            <w:pPr>
              <w:jc w:val="left"/>
              <w:keepLines w:val="0"/>
              <w:keepNext w:val="0"/>
              <w:pageBreakBefore w:val="0"/>
              <w:spacing w:line="360" w:lineRule="exact"/>
              <w:widowControl/>
              <w:rPr>
                <w:rFonts w:hint="eastAsia" w:ascii="宋体" w:hAnsi="宋体" w:eastAsia="宋体" w:cs="宋体"/>
                <w:b w:val="0"/>
                <w:bCs w:val="0"/>
                <w:i w:val="0"/>
                <w:iCs w:val="0"/>
                <w:strike w:val="0"/>
                <w:color w:val="auto"/>
                <w:sz w:val="21"/>
                <w:szCs w:val="21"/>
                <w:highlight w:val="none"/>
                <w:u w:val="none"/>
                <w:lang w:val="en-US" w:eastAsia="zh-CN" w:bidi="ar"/>
              </w:rPr>
              <w:suppressLineNumbers w:val="0"/>
            </w:pPr>
            <w:r>
              <w:rPr>
                <w:rFonts w:hint="eastAsia" w:ascii="宋体" w:hAnsi="宋体" w:eastAsia="宋体" w:cs="宋体"/>
                <w:b w:val="0"/>
                <w:bCs w:val="0"/>
                <w:i w:val="0"/>
                <w:iCs w:val="0"/>
                <w:strike w:val="0"/>
                <w:color w:val="auto"/>
                <w:sz w:val="21"/>
                <w:szCs w:val="21"/>
                <w:highlight w:val="none"/>
                <w:u w:val="none"/>
                <w:lang w:val="en-US" w:eastAsia="zh-CN" w:bidi="ar"/>
              </w:rPr>
              <w:t xml:space="preserve">3.直接使用于19英寸标准机柜、机架、挂墙柜等；</w:t>
            </w:r>
            <w:r/>
          </w:p>
          <w:p>
            <w:pPr>
              <w:jc w:val="left"/>
              <w:keepLines w:val="0"/>
              <w:keepNext w:val="0"/>
              <w:pageBreakBefore w:val="0"/>
              <w:spacing w:line="360" w:lineRule="exact"/>
              <w:widowControl/>
              <w:rPr>
                <w:rFonts w:hint="eastAsia" w:ascii="宋体" w:hAnsi="宋体" w:eastAsia="宋体" w:cs="宋体"/>
                <w:b w:val="0"/>
                <w:bCs w:val="0"/>
                <w:i w:val="0"/>
                <w:iCs w:val="0"/>
                <w:strike w:val="0"/>
                <w:color w:val="auto"/>
                <w:sz w:val="21"/>
                <w:szCs w:val="21"/>
                <w:highlight w:val="none"/>
                <w:u w:val="none"/>
                <w:lang w:val="en-US" w:eastAsia="zh-CN" w:bidi="ar"/>
              </w:rPr>
              <w:suppressLineNumbers w:val="0"/>
            </w:pPr>
            <w:r>
              <w:rPr>
                <w:rFonts w:hint="eastAsia" w:ascii="宋体" w:hAnsi="宋体" w:eastAsia="宋体" w:cs="宋体"/>
                <w:b w:val="0"/>
                <w:bCs w:val="0"/>
                <w:i w:val="0"/>
                <w:iCs w:val="0"/>
                <w:strike w:val="0"/>
                <w:color w:val="auto"/>
                <w:sz w:val="21"/>
                <w:szCs w:val="21"/>
                <w:highlight w:val="none"/>
                <w:u w:val="none"/>
                <w:lang w:val="en-US" w:eastAsia="zh-CN" w:bidi="ar"/>
              </w:rPr>
              <w:t xml:space="preserve">4.采用优质冷轧钢板，表面经过特殊处理，坚固、美观、不易划伤；</w:t>
            </w:r>
            <w:r/>
          </w:p>
          <w:p>
            <w:pPr>
              <w:pStyle w:val="810"/>
              <w:ind w:firstLine="0"/>
              <w:keepLines w:val="0"/>
              <w:keepNext w:val="0"/>
              <w:pageBreakBefore w:val="0"/>
              <w:spacing w:line="360" w:lineRule="exact"/>
              <w:rPr>
                <w:rFonts w:hint="eastAsia" w:ascii="宋体" w:hAnsi="宋体" w:eastAsia="宋体" w:cs="宋体"/>
                <w:sz w:val="21"/>
                <w:szCs w:val="21"/>
                <w:lang w:eastAsia="zh-CN"/>
              </w:rPr>
            </w:pPr>
            <w:r>
              <w:rPr>
                <w:rFonts w:hint="eastAsia" w:ascii="宋体" w:hAnsi="宋体" w:eastAsia="宋体" w:cs="宋体"/>
                <w:b w:val="0"/>
                <w:bCs w:val="0"/>
                <w:i w:val="0"/>
                <w:iCs w:val="0"/>
                <w:strike w:val="0"/>
                <w:color w:val="auto"/>
                <w:sz w:val="21"/>
                <w:szCs w:val="21"/>
                <w:highlight w:val="none"/>
                <w:u w:val="none"/>
                <w:lang w:val="en-US" w:eastAsia="zh-CN" w:bidi="ar"/>
              </w:rPr>
              <w:t xml:space="preserve">5.与6类非屏蔽双绞线所组成的链路，其电气性能应符合ANSI/TIA</w:t>
            </w:r>
            <w:r>
              <w:rPr>
                <w:rFonts w:hint="eastAsia" w:ascii="宋体" w:hAnsi="宋体" w:eastAsia="宋体" w:cs="宋体"/>
                <w:b w:val="0"/>
                <w:bCs w:val="0"/>
                <w:strike w:val="0"/>
                <w:color w:val="auto"/>
                <w:sz w:val="21"/>
                <w:szCs w:val="21"/>
                <w:highlight w:val="none"/>
              </w:rPr>
              <w:t xml:space="preserve">-568.2-</w:t>
            </w:r>
            <w:r>
              <w:rPr>
                <w:rFonts w:hint="eastAsia" w:ascii="宋体" w:hAnsi="宋体" w:eastAsia="宋体" w:cs="宋体"/>
                <w:b w:val="0"/>
                <w:bCs w:val="0"/>
                <w:strike w:val="0"/>
                <w:color w:val="auto"/>
                <w:sz w:val="21"/>
                <w:szCs w:val="21"/>
                <w:highlight w:val="none"/>
                <w:lang w:val="en-US" w:eastAsia="zh-CN"/>
              </w:rPr>
              <w:t xml:space="preserve">D:</w:t>
            </w:r>
            <w:r>
              <w:rPr>
                <w:rFonts w:hint="eastAsia" w:ascii="宋体" w:hAnsi="宋体" w:eastAsia="宋体" w:cs="宋体"/>
                <w:b w:val="0"/>
                <w:bCs w:val="0"/>
                <w:strike w:val="0"/>
                <w:color w:val="auto"/>
                <w:sz w:val="21"/>
                <w:szCs w:val="21"/>
                <w:highlight w:val="none"/>
              </w:rPr>
              <w:t xml:space="preserve">20</w:t>
            </w:r>
            <w:r>
              <w:rPr>
                <w:rFonts w:hint="eastAsia" w:ascii="宋体" w:hAnsi="宋体" w:eastAsia="宋体" w:cs="宋体"/>
                <w:b w:val="0"/>
                <w:bCs w:val="0"/>
                <w:strike w:val="0"/>
                <w:color w:val="auto"/>
                <w:sz w:val="21"/>
                <w:szCs w:val="21"/>
                <w:highlight w:val="none"/>
                <w:lang w:val="en-US" w:eastAsia="zh-CN"/>
              </w:rPr>
              <w:t xml:space="preserve">18</w:t>
            </w:r>
            <w:r>
              <w:rPr>
                <w:rFonts w:hint="eastAsia" w:ascii="宋体" w:hAnsi="宋体" w:eastAsia="宋体" w:cs="宋体"/>
                <w:b w:val="0"/>
                <w:bCs w:val="0"/>
                <w:i w:val="0"/>
                <w:iCs w:val="0"/>
                <w:strike w:val="0"/>
                <w:color w:val="auto"/>
                <w:sz w:val="21"/>
                <w:szCs w:val="21"/>
                <w:highlight w:val="none"/>
                <w:u w:val="none"/>
                <w:lang w:val="en-US" w:eastAsia="zh-CN" w:bidi="ar"/>
              </w:rPr>
              <w:t xml:space="preserve">或TIA / EIA</w:t>
            </w:r>
            <w:r>
              <w:rPr>
                <w:rFonts w:hint="eastAsia" w:ascii="宋体" w:hAnsi="宋体" w:eastAsia="宋体" w:cs="宋体"/>
                <w:b w:val="0"/>
                <w:bCs w:val="0"/>
                <w:strike w:val="0"/>
                <w:color w:val="auto"/>
                <w:sz w:val="21"/>
                <w:szCs w:val="21"/>
                <w:highlight w:val="none"/>
              </w:rPr>
              <w:t xml:space="preserve">-568.2-</w:t>
            </w:r>
            <w:r>
              <w:rPr>
                <w:rFonts w:hint="eastAsia" w:ascii="宋体" w:hAnsi="宋体" w:eastAsia="宋体" w:cs="宋体"/>
                <w:b w:val="0"/>
                <w:bCs w:val="0"/>
                <w:strike w:val="0"/>
                <w:color w:val="auto"/>
                <w:sz w:val="21"/>
                <w:szCs w:val="21"/>
                <w:highlight w:val="none"/>
                <w:lang w:val="en-US" w:eastAsia="zh-CN"/>
              </w:rPr>
              <w:t xml:space="preserve">D:</w:t>
            </w:r>
            <w:r>
              <w:rPr>
                <w:rFonts w:hint="eastAsia" w:ascii="宋体" w:hAnsi="宋体" w:eastAsia="宋体" w:cs="宋体"/>
                <w:b w:val="0"/>
                <w:bCs w:val="0"/>
                <w:strike w:val="0"/>
                <w:color w:val="auto"/>
                <w:sz w:val="21"/>
                <w:szCs w:val="21"/>
                <w:highlight w:val="none"/>
              </w:rPr>
              <w:t xml:space="preserve">20</w:t>
            </w:r>
            <w:r>
              <w:rPr>
                <w:rFonts w:hint="eastAsia" w:ascii="宋体" w:hAnsi="宋体" w:eastAsia="宋体" w:cs="宋体"/>
                <w:b w:val="0"/>
                <w:bCs w:val="0"/>
                <w:strike w:val="0"/>
                <w:color w:val="auto"/>
                <w:sz w:val="21"/>
                <w:szCs w:val="21"/>
                <w:highlight w:val="none"/>
                <w:lang w:val="en-US" w:eastAsia="zh-CN"/>
              </w:rPr>
              <w:t xml:space="preserve">18或</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bidi="ar"/>
              </w:rPr>
              <w:t xml:space="preserve">ISO/IEC11801-1-2017</w:t>
            </w:r>
            <w:r>
              <w:rPr>
                <w:rFonts w:hint="eastAsia" w:ascii="宋体" w:hAnsi="宋体" w:eastAsia="宋体" w:cs="宋体"/>
                <w:b w:val="0"/>
                <w:bCs w:val="0"/>
                <w:i w:val="0"/>
                <w:iCs w:val="0"/>
                <w:strike w:val="0"/>
                <w:color w:val="auto"/>
                <w:sz w:val="21"/>
                <w:szCs w:val="21"/>
                <w:highlight w:val="none"/>
                <w:u w:val="none"/>
                <w:lang w:val="en-US" w:eastAsia="zh-CN" w:bidi="ar"/>
              </w:rPr>
              <w:t xml:space="preserve">标准的规定。</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理线器</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1.规格：1U封闭式网络理线架；</w:t>
            </w:r>
            <w:r/>
          </w:p>
          <w:p>
            <w:pPr>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结构：单面槽理线架按19英寸机架标准设计，适用于配线架及设备跳线的水平和垂直方向的线缆管理；设计简洁、对于各种线缆提供灵活、有效和安全的管理，使布线系统整洁美观，提供24个管理环；采用滑槽式封闭结构；</w:t>
            </w:r>
            <w:r/>
          </w:p>
          <w:p>
            <w:pPr>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3.材料：全金属材质；</w:t>
            </w:r>
            <w:r/>
          </w:p>
          <w:p>
            <w:pPr>
              <w:pStyle w:val="810"/>
              <w:ind w:firstLine="0"/>
              <w:keepLines w:val="0"/>
              <w:keepNext w:val="0"/>
              <w:pageBreakBefore w:val="0"/>
              <w:spacing w:line="360" w:lineRule="exact"/>
              <w:rPr>
                <w:rFonts w:hint="eastAsia" w:ascii="宋体" w:hAnsi="宋体" w:eastAsia="宋体" w:cs="宋体"/>
                <w:sz w:val="21"/>
                <w:szCs w:val="21"/>
                <w:lang w:eastAsia="zh-CN"/>
              </w:rPr>
            </w:pPr>
            <w:r>
              <w:rPr>
                <w:rFonts w:hint="eastAsia" w:ascii="宋体" w:hAnsi="宋体" w:eastAsia="宋体" w:cs="宋体"/>
                <w:i w:val="0"/>
                <w:iCs w:val="0"/>
                <w:color w:val="auto"/>
                <w:sz w:val="21"/>
                <w:szCs w:val="21"/>
                <w:highlight w:val="none"/>
                <w:u w:val="none"/>
                <w:lang w:val="en-US" w:eastAsia="zh-CN" w:bidi="ar"/>
              </w:rPr>
              <w:t xml:space="preserve">4.性能：管理跳线数≥48，满足跳线或交叉线弯曲半径的合理性。</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1.5米单模单芯光纤尾纤</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pStyle w:val="810"/>
              <w:ind w:firstLine="0"/>
              <w:keepLines w:val="0"/>
              <w:keepNext w:val="0"/>
              <w:pageBreakBefore w:val="0"/>
              <w:spacing w:line="360" w:lineRule="exact"/>
              <w:rPr>
                <w:rFonts w:hint="eastAsia" w:ascii="宋体" w:hAnsi="宋体" w:eastAsia="宋体" w:cs="宋体"/>
                <w:sz w:val="21"/>
                <w:szCs w:val="21"/>
                <w:lang w:eastAsia="zh-CN"/>
              </w:rPr>
            </w:pPr>
            <w:r>
              <w:rPr>
                <w:rFonts w:hint="eastAsia" w:ascii="宋体" w:hAnsi="宋体" w:eastAsia="宋体" w:cs="宋体"/>
                <w:i w:val="0"/>
                <w:iCs w:val="0"/>
                <w:color w:val="auto"/>
                <w:sz w:val="21"/>
                <w:szCs w:val="21"/>
                <w:u w:val="none"/>
                <w:lang w:val="en-US" w:eastAsia="zh-CN" w:bidi="ar"/>
              </w:rPr>
              <w:t xml:space="preserve">1.单工单模尾纤，1.5米，9/125，光纤尾纤用于光纤线路的灵活跳接或熔接，</w:t>
            </w:r>
            <w:r>
              <w:rPr>
                <w:rFonts w:hint="eastAsia" w:ascii="宋体" w:hAnsi="宋体" w:eastAsia="宋体" w:cs="宋体"/>
                <w:i w:val="0"/>
                <w:iCs w:val="0"/>
                <w:color w:val="auto"/>
                <w:sz w:val="21"/>
                <w:szCs w:val="21"/>
                <w:highlight w:val="none"/>
                <w:u w:val="none"/>
                <w:lang w:val="en-US" w:eastAsia="zh-CN" w:bidi="ar"/>
              </w:rPr>
              <w:t xml:space="preserve">插入损耗低，回波损耗高，性能满足国家或行业规范标准要求。</w:t>
            </w:r>
            <w:r>
              <w:rPr>
                <w:rFonts w:hint="eastAsia" w:ascii="宋体" w:hAnsi="宋体" w:eastAsia="宋体" w:cs="宋体"/>
                <w:b/>
                <w:bCs/>
                <w:i w:val="0"/>
                <w:iCs w:val="0"/>
                <w:color w:val="auto"/>
                <w:sz w:val="21"/>
                <w:szCs w:val="21"/>
                <w:highlight w:val="none"/>
                <w:u w:val="none"/>
                <w:lang w:val="en-US" w:eastAsia="zh-CN" w:bidi="ar"/>
              </w:rPr>
              <w:t xml:space="preserve">提供原厂公开技术文档（白皮书、彩页、官网规格页截图及链接地址）或</w:t>
            </w:r>
            <w:r>
              <w:rPr>
                <w:rFonts w:hint="eastAsia" w:ascii="宋体" w:hAnsi="宋体" w:cs="宋体"/>
                <w:b/>
                <w:bCs/>
                <w:i w:val="0"/>
                <w:iCs w:val="0"/>
                <w:color w:val="auto"/>
                <w:sz w:val="21"/>
                <w:szCs w:val="21"/>
                <w:highlight w:val="none"/>
                <w:u w:val="none"/>
                <w:lang w:val="en-US" w:eastAsia="zh-CN" w:bidi="ar"/>
              </w:rPr>
              <w:t xml:space="preserve">第三方检测机构出具的</w:t>
            </w:r>
            <w:r>
              <w:rPr>
                <w:rFonts w:hint="eastAsia" w:ascii="宋体" w:hAnsi="宋体" w:eastAsia="宋体" w:cs="宋体"/>
                <w:b/>
                <w:bCs/>
                <w:i w:val="0"/>
                <w:iCs w:val="0"/>
                <w:color w:val="auto"/>
                <w:sz w:val="21"/>
                <w:szCs w:val="21"/>
                <w:highlight w:val="none"/>
                <w:u w:val="none"/>
                <w:lang w:val="en-US" w:eastAsia="zh-CN" w:bidi="ar"/>
              </w:rPr>
              <w:t xml:space="preserve">检测报告</w:t>
            </w:r>
            <w:r>
              <w:rPr>
                <w:rFonts w:hint="eastAsia" w:ascii="宋体" w:hAnsi="宋体" w:cs="宋体"/>
                <w:b/>
                <w:bCs/>
                <w:i w:val="0"/>
                <w:iCs w:val="0"/>
                <w:color w:val="auto"/>
                <w:sz w:val="21"/>
                <w:szCs w:val="21"/>
                <w:highlight w:val="none"/>
                <w:u w:val="none"/>
                <w:lang w:val="en-US" w:eastAsia="zh-CN" w:bidi="ar"/>
              </w:rPr>
              <w:t xml:space="preserve">原件</w:t>
            </w:r>
            <w:r>
              <w:rPr>
                <w:rFonts w:hint="eastAsia" w:ascii="宋体" w:hAnsi="宋体" w:eastAsia="宋体" w:cs="宋体"/>
                <w:b/>
                <w:bCs/>
                <w:i w:val="0"/>
                <w:iCs w:val="0"/>
                <w:color w:val="auto"/>
                <w:sz w:val="21"/>
                <w:szCs w:val="21"/>
                <w:highlight w:val="none"/>
                <w:u w:val="none"/>
                <w:lang w:val="en-US" w:eastAsia="zh-CN" w:bidi="ar"/>
              </w:rPr>
              <w:t xml:space="preserve">关键页扫描件。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2.护套材料采用LSZH低烟无卤，具有良好的阻燃性能。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3.技术规范：回拨损耗：单模＞50dB，插入损耗：最大值0.5dB，典型值0.2dB。</w:t>
            </w:r>
            <w:r>
              <w:rPr>
                <w:rFonts w:hint="eastAsia" w:ascii="宋体" w:hAnsi="宋体" w:eastAsia="宋体" w:cs="宋体"/>
                <w:b/>
                <w:bCs/>
                <w:i w:val="0"/>
                <w:iCs w:val="0"/>
                <w:color w:val="auto"/>
                <w:sz w:val="21"/>
                <w:szCs w:val="21"/>
                <w:highlight w:val="none"/>
                <w:u w:val="none"/>
                <w:lang w:val="en-US" w:eastAsia="zh-CN" w:bidi="ar"/>
              </w:rPr>
              <w:t xml:space="preserve">提供原厂公开技术文档（白皮书、彩页、官网规格页截图及链接地址）或</w:t>
            </w:r>
            <w:r>
              <w:rPr>
                <w:rFonts w:hint="eastAsia" w:ascii="宋体" w:hAnsi="宋体" w:cs="宋体"/>
                <w:b/>
                <w:bCs/>
                <w:i w:val="0"/>
                <w:iCs w:val="0"/>
                <w:color w:val="auto"/>
                <w:sz w:val="21"/>
                <w:szCs w:val="21"/>
                <w:highlight w:val="none"/>
                <w:u w:val="none"/>
                <w:lang w:val="en-US" w:eastAsia="zh-CN" w:bidi="ar"/>
              </w:rPr>
              <w:t xml:space="preserve">第三方检测机构出具的</w:t>
            </w:r>
            <w:r>
              <w:rPr>
                <w:rFonts w:hint="eastAsia" w:ascii="宋体" w:hAnsi="宋体" w:eastAsia="宋体" w:cs="宋体"/>
                <w:b/>
                <w:bCs/>
                <w:i w:val="0"/>
                <w:iCs w:val="0"/>
                <w:color w:val="auto"/>
                <w:sz w:val="21"/>
                <w:szCs w:val="21"/>
                <w:highlight w:val="none"/>
                <w:u w:val="none"/>
                <w:lang w:val="en-US" w:eastAsia="zh-CN" w:bidi="ar"/>
              </w:rPr>
              <w:t xml:space="preserve">检测报告</w:t>
            </w:r>
            <w:r>
              <w:rPr>
                <w:rFonts w:hint="eastAsia" w:ascii="宋体" w:hAnsi="宋体" w:cs="宋体"/>
                <w:b/>
                <w:bCs/>
                <w:i w:val="0"/>
                <w:iCs w:val="0"/>
                <w:color w:val="auto"/>
                <w:sz w:val="21"/>
                <w:szCs w:val="21"/>
                <w:highlight w:val="none"/>
                <w:u w:val="none"/>
                <w:lang w:val="en-US" w:eastAsia="zh-CN" w:bidi="ar"/>
              </w:rPr>
              <w:t xml:space="preserve">原件</w:t>
            </w:r>
            <w:r>
              <w:rPr>
                <w:rFonts w:hint="eastAsia" w:ascii="宋体" w:hAnsi="宋体" w:eastAsia="宋体" w:cs="宋体"/>
                <w:b/>
                <w:bCs/>
                <w:i w:val="0"/>
                <w:iCs w:val="0"/>
                <w:color w:val="auto"/>
                <w:sz w:val="21"/>
                <w:szCs w:val="21"/>
                <w:highlight w:val="none"/>
                <w:u w:val="none"/>
                <w:lang w:val="en-US" w:eastAsia="zh-CN" w:bidi="ar"/>
              </w:rPr>
              <w:t xml:space="preserve">关键页扫描件。</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3米单模双芯光纤跳线</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1.G.652D单模光纤，双芯，LSZH护套，光缆的光学性能、机械性能、环境性能等符合现行国家或行业标准。</w:t>
            </w:r>
            <w:r>
              <w:rPr>
                <w:rFonts w:hint="eastAsia" w:ascii="宋体" w:hAnsi="宋体" w:eastAsia="宋体" w:cs="宋体"/>
                <w:b/>
                <w:bCs/>
                <w:i w:val="0"/>
                <w:iCs w:val="0"/>
                <w:color w:val="auto"/>
                <w:sz w:val="21"/>
                <w:szCs w:val="21"/>
                <w:highlight w:val="none"/>
                <w:u w:val="none"/>
                <w:lang w:val="en-US" w:eastAsia="zh-CN" w:bidi="ar"/>
              </w:rPr>
              <w:t xml:space="preserve">提供所投产品由第三方检测机构出具的、具有CMA标志的检测报告原件关键页扫描件（依据</w:t>
            </w:r>
            <w:r>
              <w:rPr>
                <w:rFonts w:hint="eastAsia" w:ascii="宋体" w:hAnsi="宋体" w:eastAsia="宋体" w:cs="宋体"/>
                <w:b/>
                <w:bCs/>
                <w:i w:val="0"/>
                <w:iCs w:val="0"/>
                <w:color w:val="000000"/>
                <w:sz w:val="21"/>
                <w:szCs w:val="21"/>
                <w:highlight w:val="none"/>
                <w:u w:val="none"/>
                <w:lang w:val="en-US" w:eastAsia="zh-CN" w:bidi="ar"/>
              </w:rPr>
              <w:t xml:space="preserve">YD/T 1272.1-2018或YD/T 2152-2010或GB/T 9771-2020等现行国家或行业标准</w:t>
            </w:r>
            <w:r>
              <w:rPr>
                <w:rFonts w:hint="eastAsia" w:ascii="宋体" w:hAnsi="宋体" w:eastAsia="宋体" w:cs="宋体"/>
                <w:b/>
                <w:bCs/>
                <w:i w:val="0"/>
                <w:iCs w:val="0"/>
                <w:color w:val="auto"/>
                <w:sz w:val="21"/>
                <w:szCs w:val="21"/>
                <w:highlight w:val="none"/>
                <w:u w:val="none"/>
                <w:lang w:val="en-US" w:eastAsia="zh-CN" w:bidi="ar"/>
              </w:rPr>
              <w:t xml:space="preserve">），</w:t>
            </w:r>
            <w:r>
              <w:rPr>
                <w:rFonts w:hint="eastAsia" w:ascii="宋体" w:hAnsi="宋体" w:eastAsia="宋体" w:cs="宋体"/>
                <w:b/>
                <w:bCs/>
                <w:i w:val="0"/>
                <w:iCs w:val="0"/>
                <w:color w:val="000000"/>
                <w:sz w:val="21"/>
                <w:szCs w:val="21"/>
                <w:highlight w:val="none"/>
                <w:u w:val="none"/>
                <w:lang w:val="en-US" w:eastAsia="zh-CN" w:bidi="ar"/>
              </w:rPr>
              <w:t xml:space="preserve">检测报告中须体现检测依据以及是否通过检测的结论：需含光学性能、机械性能、环境性能检测项</w:t>
            </w:r>
            <w:r>
              <w:rPr>
                <w:rFonts w:hint="eastAsia" w:ascii="宋体" w:hAnsi="宋体" w:eastAsia="宋体" w:cs="宋体"/>
                <w:b/>
                <w:bCs/>
                <w:i w:val="0"/>
                <w:iCs w:val="0"/>
                <w:color w:val="auto"/>
                <w:sz w:val="21"/>
                <w:szCs w:val="21"/>
                <w:highlight w:val="none"/>
                <w:u w:val="none"/>
                <w:lang w:val="en-US" w:eastAsia="zh-CN" w:bidi="ar"/>
              </w:rPr>
              <w:t xml:space="preserve">；提供检测报告的，按第四章商务要求（其他要求的第2条）中明确的要求、提供相关佐证材料。</w:t>
            </w:r>
            <w:r/>
          </w:p>
          <w:p>
            <w:pPr>
              <w:pStyle w:val="810"/>
              <w:ind w:firstLine="0"/>
              <w:keepLines w:val="0"/>
              <w:keepNext w:val="0"/>
              <w:pageBreakBefore w:val="0"/>
              <w:spacing w:line="360" w:lineRule="exact"/>
              <w:rPr>
                <w:rFonts w:hint="eastAsia" w:ascii="宋体" w:hAnsi="宋体" w:eastAsia="宋体" w:cs="宋体"/>
                <w:sz w:val="21"/>
                <w:szCs w:val="21"/>
                <w:lang w:eastAsia="zh-CN"/>
              </w:rPr>
            </w:pPr>
            <w:r>
              <w:rPr>
                <w:rFonts w:hint="eastAsia" w:ascii="宋体" w:hAnsi="宋体" w:eastAsia="宋体" w:cs="宋体"/>
                <w:i w:val="0"/>
                <w:iCs w:val="0"/>
                <w:color w:val="000000"/>
                <w:sz w:val="21"/>
                <w:szCs w:val="21"/>
                <w:highlight w:val="none"/>
                <w:u w:val="none"/>
                <w:lang w:val="en-US" w:eastAsia="zh-CN" w:bidi="ar"/>
              </w:rPr>
              <w:t xml:space="preserve">2.长度规格≥3米。</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4芯光纤终端盒（含耦合器)）</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keepLines w:val="0"/>
              <w:keepNext w:val="0"/>
              <w:pageBreakBefore w:val="0"/>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规格:4口LC光纤终端盒</w:t>
            </w:r>
            <w:r/>
          </w:p>
          <w:p>
            <w:pPr>
              <w:keepLines w:val="0"/>
              <w:keepNext w:val="0"/>
              <w:pageBreakBefore w:val="0"/>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材料</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优质冷轧碳钢、高性能工程铰链式设计，使盒体具备高标准使用性能和安全性能；</w:t>
            </w:r>
            <w:r/>
          </w:p>
          <w:p>
            <w:pPr>
              <w:keepLines w:val="0"/>
              <w:keepNext w:val="0"/>
              <w:pageBreakBefore w:val="0"/>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性能</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分光盒可以用于室内安装，熔纤盘具有良好的互换性接入，可提供</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芯光纤的熔接，包括热缩保护管式和机械接续子式。</w:t>
            </w:r>
            <w:r/>
          </w:p>
          <w:p>
            <w:pPr>
              <w:pStyle w:val="810"/>
              <w:ind w:firstLine="0"/>
              <w:keepLines w:val="0"/>
              <w:keepNext w:val="0"/>
              <w:pageBreakBefore w:val="0"/>
              <w:spacing w:line="360" w:lineRule="exact"/>
              <w:rPr>
                <w:rFonts w:hint="eastAsia" w:ascii="宋体" w:hAnsi="宋体" w:eastAsia="宋体" w:cs="宋体"/>
                <w:sz w:val="21"/>
                <w:szCs w:val="21"/>
                <w:lang w:eastAsia="zh-CN"/>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盒体表面脱脂、防锈磷化、静电喷涂处理。</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8口光纤终端盒(含耦合器)</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keepLines w:val="0"/>
              <w:keepNext w:val="0"/>
              <w:pageBreakBefore w:val="0"/>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规格:</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口LC光纤终端盒</w:t>
            </w:r>
            <w:r/>
          </w:p>
          <w:p>
            <w:pPr>
              <w:keepLines w:val="0"/>
              <w:keepNext w:val="0"/>
              <w:pageBreakBefore w:val="0"/>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材料</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优质冷轧碳钢、高性能工程铰链式设计，使盒体具备高标准使用性能和安全性能；</w:t>
            </w:r>
            <w:r/>
          </w:p>
          <w:p>
            <w:pPr>
              <w:keepLines w:val="0"/>
              <w:keepNext w:val="0"/>
              <w:pageBreakBefore w:val="0"/>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性能</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分光盒可以用于室内安装，熔纤盘具有良好的互换性接入，可提供8芯光纤的熔接，包括热缩保护管式和机械接续子式。</w:t>
            </w:r>
            <w:r/>
          </w:p>
          <w:p>
            <w:pPr>
              <w:pStyle w:val="810"/>
              <w:ind w:firstLine="0"/>
              <w:keepLines w:val="0"/>
              <w:keepNext w:val="0"/>
              <w:pageBreakBefore w:val="0"/>
              <w:spacing w:line="360" w:lineRule="exact"/>
              <w:rPr>
                <w:rFonts w:hint="eastAsia" w:ascii="宋体" w:hAnsi="宋体" w:eastAsia="宋体" w:cs="宋体"/>
                <w:sz w:val="21"/>
                <w:szCs w:val="21"/>
                <w:lang w:eastAsia="zh-CN"/>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盒体表面脱脂、防锈磷化、静电喷涂处理。</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光纤收发器</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pStyle w:val="810"/>
              <w:ind w:firstLine="0"/>
              <w:keepLines w:val="0"/>
              <w:keepNext w:val="0"/>
              <w:pageBreakBefore w:val="0"/>
              <w:spacing w:line="360" w:lineRule="exact"/>
              <w:rPr>
                <w:rFonts w:hint="eastAsia" w:ascii="宋体" w:hAnsi="宋体" w:eastAsia="宋体" w:cs="宋体"/>
                <w:sz w:val="21"/>
                <w:szCs w:val="21"/>
                <w:lang w:eastAsia="zh-CN"/>
              </w:rPr>
            </w:pPr>
            <w:r>
              <w:rPr>
                <w:rFonts w:hint="eastAsia" w:ascii="宋体" w:hAnsi="宋体" w:eastAsia="宋体" w:cs="宋体"/>
                <w:i w:val="0"/>
                <w:iCs w:val="0"/>
                <w:color w:val="auto"/>
                <w:sz w:val="21"/>
                <w:szCs w:val="21"/>
                <w:highlight w:val="none"/>
                <w:u w:val="none"/>
                <w:lang w:val="en-US" w:eastAsia="zh-CN" w:bidi="ar"/>
              </w:rPr>
              <w:t xml:space="preserve">千兆1光4电POE交换机，支持导轨安装，工作温度-45°-85°， 含两端光模块。</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光纤熔接</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pStyle w:val="810"/>
              <w:ind w:firstLine="0"/>
              <w:keepLines w:val="0"/>
              <w:keepNext w:val="0"/>
              <w:pageBreakBefore w:val="0"/>
              <w:spacing w:line="360" w:lineRule="exact"/>
              <w:rPr>
                <w:rFonts w:hint="eastAsia" w:ascii="宋体" w:hAnsi="宋体" w:eastAsia="宋体" w:cs="宋体"/>
                <w:sz w:val="21"/>
                <w:szCs w:val="21"/>
                <w:lang w:eastAsia="zh-CN"/>
              </w:rPr>
            </w:pPr>
            <w:r>
              <w:rPr>
                <w:rFonts w:hint="eastAsia" w:ascii="宋体" w:hAnsi="宋体" w:eastAsia="宋体" w:cs="宋体"/>
                <w:color w:val="auto"/>
                <w:sz w:val="21"/>
                <w:szCs w:val="21"/>
                <w:highlight w:val="none"/>
              </w:rPr>
              <w:t xml:space="preserve">定制</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熔接后的特性指标应符合现行国家或行业标准。</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护线管</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pStyle w:val="810"/>
              <w:ind w:firstLine="0"/>
              <w:keepLines w:val="0"/>
              <w:keepNext w:val="0"/>
              <w:pageBreakBefore w:val="0"/>
              <w:spacing w:line="36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阻燃PVC25护线管，含配套敷设辅材。</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金属软管</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pStyle w:val="810"/>
              <w:ind w:firstLine="0"/>
              <w:keepLines w:val="0"/>
              <w:keepNext w:val="0"/>
              <w:pageBreakBefore w:val="0"/>
              <w:spacing w:line="36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25mm金属软管。</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拖线板</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pStyle w:val="810"/>
              <w:ind w:firstLine="0"/>
              <w:keepLines w:val="0"/>
              <w:keepNext w:val="0"/>
              <w:pageBreakBefore w:val="0"/>
              <w:spacing w:line="360" w:lineRule="exact"/>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1、不低于3米 5孔插座  整盘最大功率 2500W</w:t>
            </w:r>
            <w:r/>
          </w:p>
          <w:p>
            <w:pPr>
              <w:pStyle w:val="810"/>
              <w:ind w:firstLine="0"/>
              <w:keepLines w:val="0"/>
              <w:keepNext w:val="0"/>
              <w:pageBreakBefore w:val="0"/>
              <w:spacing w:line="360" w:lineRule="exact"/>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2、支持超功率自动断电，配备防过载保护器件。</w:t>
            </w:r>
            <w:r/>
          </w:p>
          <w:p>
            <w:pPr>
              <w:pStyle w:val="810"/>
              <w:ind w:firstLine="0"/>
              <w:keepLines w:val="0"/>
              <w:keepNext w:val="0"/>
              <w:pageBreakBefore w:val="0"/>
              <w:spacing w:line="36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bidi="ar-SA"/>
              </w:rPr>
              <w:t xml:space="preserve">3、所投产品应符合国标相关标准。</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37</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辅材</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pStyle w:val="810"/>
              <w:ind w:firstLine="0"/>
              <w:keepLines w:val="0"/>
              <w:keepNext w:val="0"/>
              <w:pageBreakBefore w:val="0"/>
              <w:spacing w:line="36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bidi="ar-SA"/>
              </w:rPr>
              <w:t xml:space="preserve">含标签、胶布、扎带、管卡、膨胀螺丝、螺母、水晶头等安装辅材。</w:t>
            </w:r>
            <w:r/>
          </w:p>
        </w:tc>
      </w:tr>
    </w:tbl>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810"/>
        <w:ind w:left="0" w:firstLine="0"/>
        <w:rPr>
          <w:rFonts w:hint="eastAsia" w:ascii="宋体" w:hAnsi="宋体"/>
          <w:b/>
          <w:bCs/>
          <w:sz w:val="24"/>
          <w:szCs w:val="24"/>
          <w:highlight w:val="none"/>
        </w:rPr>
      </w:pPr>
      <w:r>
        <w:rPr>
          <w:rFonts w:hint="eastAsia"/>
          <w:b/>
          <w:bCs/>
          <w:color w:val="auto"/>
          <w:sz w:val="21"/>
          <w:szCs w:val="21"/>
          <w:highlight w:val="none"/>
          <w:lang w:val="en-US" w:eastAsia="zh-CN"/>
        </w:rPr>
        <w:t xml:space="preserve">注意事项：1、其中设备安装点位表（由学校提供），包含四个信息——使用场景、位置信息、摄像机名称、IP地址等，数量要与服务标中的视频接入分析总路数一致。2、在施工过程中如果涉及到装饰的拆除与修复，一切费用由中标方负责。</w:t>
      </w:r>
      <w:r/>
    </w:p>
    <w:p>
      <w:pPr>
        <w:pStyle w:val="1111"/>
        <w:ind w:hanging="432"/>
        <w:spacing w:line="400" w:lineRule="exact"/>
        <w:tabs>
          <w:tab w:val="left" w:pos="0" w:leader="none"/>
        </w:tabs>
        <w:rPr>
          <w:rFonts w:ascii="Times New Roman" w:hAnsi="Times New Roman"/>
          <w:b w:val="0"/>
          <w:sz w:val="24"/>
          <w:szCs w:val="21"/>
        </w:rPr>
      </w:pPr>
      <w:r>
        <w:rPr>
          <w:rFonts w:hint="eastAsia" w:ascii="Times New Roman" w:hAnsi="Times New Roman"/>
          <w:b w:val="0"/>
          <w:sz w:val="24"/>
          <w:szCs w:val="21"/>
        </w:rPr>
        <w:tab/>
      </w:r>
      <w:r>
        <w:rPr>
          <w:rFonts w:hint="eastAsia" w:ascii="Times New Roman" w:hAnsi="Times New Roman"/>
          <w:b w:val="0"/>
          <w:sz w:val="24"/>
          <w:szCs w:val="21"/>
        </w:rPr>
        <w:t xml:space="preserve">3.</w:t>
      </w:r>
      <w:r>
        <w:rPr>
          <w:rFonts w:ascii="Times New Roman" w:hAnsi="Times New Roman"/>
          <w:b w:val="0"/>
          <w:sz w:val="24"/>
          <w:szCs w:val="21"/>
        </w:rPr>
        <w:t xml:space="preserve">验收标准</w:t>
      </w:r>
      <w:r/>
    </w:p>
    <w:p>
      <w:pPr>
        <w:ind w:firstLine="482"/>
        <w:spacing w:line="400" w:lineRule="exact"/>
        <w:widowControl/>
        <w:rPr>
          <w:rFonts w:hint="eastAsia" w:ascii="宋体" w:hAnsi="宋体"/>
          <w:sz w:val="24"/>
          <w:szCs w:val="24"/>
        </w:rPr>
      </w:pPr>
      <w:r>
        <w:rPr>
          <w:rFonts w:hint="eastAsia" w:ascii="宋体" w:hAnsi="宋体"/>
          <w:sz w:val="24"/>
          <w:szCs w:val="24"/>
        </w:rPr>
        <w:t xml:space="preserve">严格按照关于印发《江苏省政府采购履约验收管理办法》的通知（苏财规〔2024〕7号）进行验收。必要时委托依法取得检测、认证资质的机构进行检测、认证，对于供应商未按合同约定履约的，采购人依法追究其违约责任。</w:t>
      </w:r>
      <w:r/>
    </w:p>
    <w:p>
      <w:pPr>
        <w:ind w:firstLine="420"/>
        <w:spacing w:line="400" w:lineRule="exact"/>
        <w:widowControl/>
        <w:rPr>
          <w:rFonts w:hint="eastAsia" w:ascii="宋体" w:hAnsi="宋体"/>
          <w:b/>
          <w:bCs/>
          <w:sz w:val="24"/>
          <w:szCs w:val="24"/>
        </w:rPr>
      </w:pPr>
      <w:r>
        <w:rPr>
          <w:rFonts w:hint="eastAsia" w:ascii="宋体" w:hAnsi="宋体"/>
          <w:b/>
          <w:bCs/>
          <w:sz w:val="24"/>
          <w:szCs w:val="24"/>
          <w:lang w:val="en-US" w:eastAsia="zh-CN"/>
        </w:rPr>
        <w:t xml:space="preserve">本项目</w:t>
      </w:r>
      <w:r>
        <w:rPr>
          <w:rFonts w:hint="eastAsia" w:ascii="宋体" w:hAnsi="宋体"/>
          <w:b/>
          <w:bCs/>
          <w:sz w:val="24"/>
          <w:szCs w:val="24"/>
        </w:rPr>
        <w:t xml:space="preserve">综合布线</w:t>
      </w:r>
      <w:r>
        <w:rPr>
          <w:rFonts w:hint="eastAsia" w:ascii="宋体" w:hAnsi="宋体"/>
          <w:b/>
          <w:bCs/>
          <w:sz w:val="24"/>
          <w:szCs w:val="24"/>
          <w:lang w:val="en-US" w:eastAsia="zh-CN"/>
        </w:rPr>
        <w:t xml:space="preserve">部分</w:t>
      </w:r>
      <w:r>
        <w:rPr>
          <w:rFonts w:hint="eastAsia" w:ascii="宋体" w:hAnsi="宋体"/>
          <w:b/>
          <w:bCs/>
          <w:sz w:val="24"/>
          <w:szCs w:val="24"/>
        </w:rPr>
        <w:t xml:space="preserve">的验收要求</w:t>
      </w:r>
      <w:r>
        <w:rPr>
          <w:rFonts w:hint="eastAsia" w:ascii="宋体" w:hAnsi="宋体"/>
          <w:b/>
          <w:bCs/>
          <w:sz w:val="24"/>
          <w:szCs w:val="24"/>
          <w:lang w:eastAsia="zh-CN"/>
        </w:rPr>
        <w:t xml:space="preserve">，</w:t>
      </w:r>
      <w:r>
        <w:rPr>
          <w:rFonts w:hint="eastAsia" w:ascii="宋体" w:hAnsi="宋体"/>
          <w:b/>
          <w:bCs/>
          <w:sz w:val="24"/>
          <w:szCs w:val="24"/>
        </w:rPr>
        <w:t xml:space="preserve">见如下描述：</w:t>
      </w:r>
      <w:r/>
    </w:p>
    <w:p>
      <w:pPr>
        <w:ind w:firstLine="482"/>
        <w:spacing w:line="400" w:lineRule="exact"/>
        <w:widowControl/>
        <w:rPr>
          <w:rFonts w:hint="eastAsia" w:ascii="宋体" w:hAnsi="宋体"/>
          <w:sz w:val="24"/>
          <w:szCs w:val="24"/>
        </w:rPr>
      </w:pPr>
      <w:r>
        <w:rPr>
          <w:rFonts w:hint="eastAsia" w:ascii="宋体" w:hAnsi="宋体"/>
          <w:sz w:val="24"/>
          <w:szCs w:val="24"/>
        </w:rPr>
        <w:t xml:space="preserve">综合布线工程验收前应进行自检测试和竣工验收测试工作。</w:t>
      </w:r>
      <w:r/>
    </w:p>
    <w:p>
      <w:pPr>
        <w:ind w:firstLine="480"/>
        <w:spacing w:line="360" w:lineRule="auto"/>
        <w:rPr>
          <w:rFonts w:hint="eastAsia" w:ascii="宋体" w:hAnsi="宋体"/>
          <w:sz w:val="24"/>
          <w:szCs w:val="24"/>
        </w:rPr>
      </w:pPr>
      <w:r>
        <w:rPr>
          <w:rFonts w:hint="eastAsia" w:ascii="宋体" w:hAnsi="宋体"/>
          <w:sz w:val="24"/>
          <w:szCs w:val="24"/>
        </w:rPr>
        <w:t xml:space="preserve">（1）工程竣工以后，施工单位在工程验收前要提供的材料：</w:t>
      </w:r>
      <w:r/>
    </w:p>
    <w:p>
      <w:pPr>
        <w:ind w:firstLine="480"/>
        <w:spacing w:line="360" w:lineRule="auto"/>
        <w:rPr>
          <w:rFonts w:hint="eastAsia" w:ascii="宋体" w:hAnsi="宋体"/>
          <w:sz w:val="24"/>
          <w:szCs w:val="24"/>
        </w:rPr>
      </w:pPr>
      <w:r>
        <w:rPr>
          <w:rFonts w:ascii="宋体" w:hAnsi="宋体"/>
          <w:sz w:val="24"/>
          <w:szCs w:val="24"/>
        </w:rPr>
        <w:fldChar w:fldCharType="begin"/>
      </w:r>
      <w:r>
        <w:rPr>
          <w:rFonts w:ascii="宋体" w:hAnsi="宋体"/>
          <w:sz w:val="24"/>
          <w:szCs w:val="24"/>
        </w:rPr>
        <w:instrText xml:space="preserve"> </w:instrText>
      </w:r>
      <w:r>
        <w:rPr>
          <w:rFonts w:hint="eastAsia" w:ascii="宋体" w:hAnsi="宋体"/>
          <w:sz w:val="24"/>
          <w:szCs w:val="24"/>
        </w:rPr>
        <w:instrText xml:space="preserve">= 1 \* GB3</w:instrText>
      </w:r>
      <w:r>
        <w:rPr>
          <w:rFonts w:ascii="宋体" w:hAnsi="宋体"/>
          <w:sz w:val="24"/>
          <w:szCs w:val="24"/>
        </w:rPr>
        <w:instrText xml:space="preserve"> </w:instrText>
      </w:r>
      <w:r>
        <w:rPr>
          <w:rFonts w:ascii="宋体" w:hAnsi="宋体"/>
          <w:sz w:val="24"/>
          <w:szCs w:val="24"/>
        </w:rPr>
        <w:fldChar w:fldCharType="separate"/>
      </w:r>
      <w:r>
        <w:rPr>
          <w:rFonts w:hint="eastAsia" w:ascii="宋体" w:hAnsi="宋体"/>
          <w:sz w:val="24"/>
          <w:szCs w:val="24"/>
        </w:rPr>
        <w:t xml:space="preserve">①</w:t>
      </w:r>
      <w:r>
        <w:rPr>
          <w:rFonts w:ascii="宋体" w:hAnsi="宋体"/>
          <w:sz w:val="24"/>
          <w:szCs w:val="24"/>
        </w:rPr>
        <w:fldChar w:fldCharType="end"/>
      </w:r>
      <w:r>
        <w:rPr>
          <w:rFonts w:hint="eastAsia" w:ascii="宋体" w:hAnsi="宋体"/>
          <w:sz w:val="24"/>
          <w:szCs w:val="24"/>
        </w:rPr>
        <w:t xml:space="preserve">一套完整的通过审核的</w:t>
      </w:r>
      <w:r>
        <w:rPr>
          <w:rFonts w:ascii="宋体" w:hAnsi="宋体"/>
          <w:sz w:val="24"/>
          <w:szCs w:val="24"/>
        </w:rPr>
        <w:t xml:space="preserve">竣工图纸</w:t>
      </w:r>
      <w:r>
        <w:rPr>
          <w:rFonts w:hint="eastAsia" w:ascii="宋体" w:hAnsi="宋体"/>
          <w:sz w:val="24"/>
          <w:szCs w:val="24"/>
        </w:rPr>
        <w:t xml:space="preserve">（</w:t>
      </w:r>
      <w:r>
        <w:rPr>
          <w:rFonts w:ascii="宋体" w:hAnsi="宋体"/>
          <w:sz w:val="24"/>
          <w:szCs w:val="24"/>
        </w:rPr>
        <w:t xml:space="preserve">施工中更改后的施工设计图</w:t>
      </w:r>
      <w:r>
        <w:rPr>
          <w:rFonts w:hint="eastAsia" w:ascii="宋体" w:hAnsi="宋体"/>
          <w:sz w:val="24"/>
          <w:szCs w:val="24"/>
        </w:rPr>
        <w:t xml:space="preserve">）给采购单位，两份纸质稿及一份电子稿。</w:t>
      </w:r>
      <w:r/>
    </w:p>
    <w:p>
      <w:pPr>
        <w:ind w:firstLine="480"/>
        <w:spacing w:line="360" w:lineRule="auto"/>
        <w:rPr>
          <w:rFonts w:hint="eastAsia" w:ascii="宋体" w:hAnsi="宋体"/>
          <w:sz w:val="24"/>
          <w:szCs w:val="24"/>
        </w:rPr>
      </w:pPr>
      <w:r>
        <w:rPr>
          <w:rFonts w:hint="eastAsia" w:ascii="宋体" w:hAnsi="宋体"/>
          <w:sz w:val="24"/>
          <w:szCs w:val="24"/>
        </w:rPr>
        <w:t xml:space="preserve">综合布线的竣工图纸应包括说明、设计系统图及反映各部分设备安装情况的施工图。竣工图纸应表示以下内容：</w:t>
      </w:r>
      <w:r/>
    </w:p>
    <w:p>
      <w:pPr>
        <w:pStyle w:val="810"/>
        <w:numPr>
          <w:ilvl w:val="0"/>
          <w:numId w:val="13"/>
        </w:numPr>
        <w:rPr>
          <w:rFonts w:hint="eastAsia" w:ascii="宋体" w:hAnsi="宋体"/>
        </w:rPr>
      </w:pPr>
      <w:r>
        <w:rPr>
          <w:rFonts w:hint="eastAsia" w:ascii="宋体" w:hAnsi="宋体"/>
        </w:rPr>
        <w:t xml:space="preserve">安装场地和布线管道的位置、尺寸、标识符等；</w:t>
      </w:r>
      <w:r/>
    </w:p>
    <w:p>
      <w:pPr>
        <w:pStyle w:val="810"/>
        <w:numPr>
          <w:ilvl w:val="0"/>
          <w:numId w:val="13"/>
        </w:numPr>
        <w:rPr>
          <w:rFonts w:hint="eastAsia" w:ascii="宋体" w:hAnsi="宋体"/>
        </w:rPr>
      </w:pPr>
      <w:r>
        <w:rPr>
          <w:rFonts w:hint="eastAsia" w:ascii="宋体" w:hAnsi="宋体"/>
        </w:rPr>
        <w:t xml:space="preserve">设备间、电信间、进线间等安装场地的平面图或剖面图及信息插座模块安装位置；</w:t>
      </w:r>
      <w:r/>
    </w:p>
    <w:p>
      <w:pPr>
        <w:ind w:firstLine="480"/>
        <w:spacing w:line="360" w:lineRule="auto"/>
        <w:rPr>
          <w:rFonts w:hint="eastAsia" w:ascii="宋体" w:hAnsi="宋体"/>
          <w:sz w:val="24"/>
          <w:szCs w:val="24"/>
        </w:rPr>
      </w:pPr>
      <w:r>
        <w:rPr>
          <w:rFonts w:ascii="宋体" w:hAnsi="宋体"/>
          <w:sz w:val="24"/>
          <w:szCs w:val="24"/>
        </w:rPr>
        <w:fldChar w:fldCharType="begin"/>
      </w:r>
      <w:r>
        <w:rPr>
          <w:rFonts w:ascii="宋体" w:hAnsi="宋体"/>
          <w:sz w:val="24"/>
          <w:szCs w:val="24"/>
        </w:rPr>
        <w:instrText xml:space="preserve"> </w:instrText>
      </w:r>
      <w:r>
        <w:rPr>
          <w:rFonts w:hint="eastAsia" w:ascii="宋体" w:hAnsi="宋体"/>
          <w:sz w:val="24"/>
          <w:szCs w:val="24"/>
        </w:rPr>
        <w:instrText xml:space="preserve">= 2 \* GB3</w:instrText>
      </w:r>
      <w:r>
        <w:rPr>
          <w:rFonts w:ascii="宋体" w:hAnsi="宋体"/>
          <w:sz w:val="24"/>
          <w:szCs w:val="24"/>
        </w:rPr>
        <w:instrText xml:space="preserve"> </w:instrText>
      </w:r>
      <w:r>
        <w:rPr>
          <w:rFonts w:ascii="宋体" w:hAnsi="宋体"/>
          <w:sz w:val="24"/>
          <w:szCs w:val="24"/>
        </w:rPr>
        <w:fldChar w:fldCharType="separate"/>
      </w:r>
      <w:r>
        <w:rPr>
          <w:rFonts w:hint="eastAsia" w:ascii="宋体" w:hAnsi="宋体"/>
          <w:sz w:val="24"/>
          <w:szCs w:val="24"/>
        </w:rPr>
        <w:t xml:space="preserve">②</w:t>
      </w:r>
      <w:r>
        <w:rPr>
          <w:rFonts w:ascii="宋体" w:hAnsi="宋体"/>
          <w:sz w:val="24"/>
          <w:szCs w:val="24"/>
        </w:rPr>
        <w:fldChar w:fldCharType="end"/>
      </w:r>
      <w:r>
        <w:rPr>
          <w:rFonts w:hint="eastAsia" w:ascii="宋体" w:hAnsi="宋体"/>
          <w:sz w:val="24"/>
          <w:szCs w:val="24"/>
        </w:rPr>
        <w:t xml:space="preserve">设备材料进场检验记录及开箱检验记录</w:t>
      </w:r>
      <w:r>
        <w:rPr>
          <w:rFonts w:hint="eastAsia" w:ascii="宋体" w:hAnsi="宋体"/>
          <w:b/>
          <w:bCs/>
          <w:sz w:val="24"/>
          <w:szCs w:val="24"/>
        </w:rPr>
        <w:t xml:space="preserve">（尤其是要对各类铜缆的导体直径抽检）</w:t>
      </w:r>
      <w:r>
        <w:rPr>
          <w:rFonts w:hint="eastAsia" w:ascii="宋体" w:hAnsi="宋体"/>
          <w:sz w:val="24"/>
          <w:szCs w:val="24"/>
        </w:rPr>
        <w:t xml:space="preserve">，各类线材进校验收、签字记录。</w:t>
      </w:r>
      <w:r/>
    </w:p>
    <w:p>
      <w:pPr>
        <w:ind w:firstLine="480"/>
        <w:spacing w:line="360" w:lineRule="auto"/>
        <w:rPr>
          <w:rFonts w:hint="eastAsia" w:ascii="宋体" w:hAnsi="宋体"/>
          <w:sz w:val="24"/>
          <w:szCs w:val="24"/>
        </w:rPr>
      </w:pPr>
      <w:r>
        <w:rPr>
          <w:rFonts w:ascii="宋体" w:hAnsi="宋体"/>
          <w:sz w:val="24"/>
          <w:szCs w:val="24"/>
        </w:rPr>
        <w:fldChar w:fldCharType="begin"/>
      </w:r>
      <w:r>
        <w:rPr>
          <w:rFonts w:ascii="宋体" w:hAnsi="宋体"/>
          <w:sz w:val="24"/>
          <w:szCs w:val="24"/>
        </w:rPr>
        <w:instrText xml:space="preserve"> </w:instrText>
      </w:r>
      <w:r>
        <w:rPr>
          <w:rFonts w:hint="eastAsia" w:ascii="宋体" w:hAnsi="宋体"/>
          <w:sz w:val="24"/>
          <w:szCs w:val="24"/>
        </w:rPr>
        <w:instrText xml:space="preserve">= 3 \* GB3</w:instrText>
      </w:r>
      <w:r>
        <w:rPr>
          <w:rFonts w:ascii="宋体" w:hAnsi="宋体"/>
          <w:sz w:val="24"/>
          <w:szCs w:val="24"/>
        </w:rPr>
        <w:instrText xml:space="preserve"> </w:instrText>
      </w:r>
      <w:r>
        <w:rPr>
          <w:rFonts w:ascii="宋体" w:hAnsi="宋体"/>
          <w:sz w:val="24"/>
          <w:szCs w:val="24"/>
        </w:rPr>
        <w:fldChar w:fldCharType="separate"/>
      </w:r>
      <w:r>
        <w:rPr>
          <w:rFonts w:hint="eastAsia" w:ascii="宋体" w:hAnsi="宋体"/>
          <w:sz w:val="24"/>
          <w:szCs w:val="24"/>
        </w:rPr>
        <w:t xml:space="preserve">③</w:t>
      </w:r>
      <w:r>
        <w:rPr>
          <w:rFonts w:ascii="宋体" w:hAnsi="宋体"/>
          <w:sz w:val="24"/>
          <w:szCs w:val="24"/>
        </w:rPr>
        <w:fldChar w:fldCharType="end"/>
      </w:r>
      <w:r>
        <w:rPr>
          <w:rFonts w:hint="eastAsia" w:ascii="宋体" w:hAnsi="宋体"/>
          <w:sz w:val="24"/>
          <w:szCs w:val="24"/>
        </w:rPr>
        <w:t xml:space="preserve">隐蔽工程验收记录及签证。隐蔽工程要做好时间、施工情况记录，现场拍照存档。要有学校相关人员签字。如有信息化工程监理，要由监理按流程处理并签字确认。</w:t>
      </w:r>
      <w:r/>
    </w:p>
    <w:p>
      <w:pPr>
        <w:ind w:firstLine="480"/>
        <w:spacing w:line="360" w:lineRule="auto"/>
        <w:rPr>
          <w:rFonts w:hint="eastAsia" w:ascii="宋体" w:hAnsi="宋体"/>
          <w:sz w:val="24"/>
          <w:szCs w:val="24"/>
          <w:u w:val="single"/>
        </w:rPr>
      </w:pPr>
      <w:r>
        <w:rPr>
          <w:rFonts w:ascii="宋体" w:hAnsi="宋体"/>
          <w:sz w:val="24"/>
          <w:szCs w:val="24"/>
          <w:u w:val="single"/>
        </w:rPr>
        <w:fldChar w:fldCharType="begin"/>
      </w:r>
      <w:r>
        <w:rPr>
          <w:rFonts w:ascii="宋体" w:hAnsi="宋体"/>
          <w:sz w:val="24"/>
          <w:szCs w:val="24"/>
          <w:u w:val="single"/>
        </w:rPr>
        <w:instrText xml:space="preserve"> </w:instrText>
      </w:r>
      <w:r>
        <w:rPr>
          <w:rFonts w:hint="eastAsia" w:ascii="宋体" w:hAnsi="宋体"/>
          <w:sz w:val="24"/>
          <w:szCs w:val="24"/>
          <w:u w:val="single"/>
        </w:rPr>
        <w:instrText xml:space="preserve">= 4 \* GB3</w:instrText>
      </w:r>
      <w:r>
        <w:rPr>
          <w:rFonts w:ascii="宋体" w:hAnsi="宋体"/>
          <w:sz w:val="24"/>
          <w:szCs w:val="24"/>
          <w:u w:val="single"/>
        </w:rPr>
        <w:instrText xml:space="preserve"> </w:instrText>
      </w:r>
      <w:r>
        <w:rPr>
          <w:rFonts w:ascii="宋体" w:hAnsi="宋体"/>
          <w:sz w:val="24"/>
          <w:szCs w:val="24"/>
          <w:u w:val="single"/>
        </w:rPr>
        <w:fldChar w:fldCharType="separate"/>
      </w:r>
      <w:r>
        <w:rPr>
          <w:rFonts w:hint="eastAsia" w:ascii="宋体" w:hAnsi="宋体"/>
          <w:sz w:val="24"/>
          <w:szCs w:val="24"/>
          <w:u w:val="single"/>
        </w:rPr>
        <w:t xml:space="preserve">④</w:t>
      </w:r>
      <w:r>
        <w:rPr>
          <w:rFonts w:ascii="宋体" w:hAnsi="宋体"/>
          <w:sz w:val="24"/>
          <w:szCs w:val="24"/>
          <w:u w:val="single"/>
        </w:rPr>
        <w:fldChar w:fldCharType="end"/>
      </w:r>
      <w:r>
        <w:rPr>
          <w:rFonts w:hint="eastAsia" w:ascii="宋体" w:hAnsi="宋体"/>
          <w:sz w:val="24"/>
          <w:szCs w:val="24"/>
          <w:u w:val="single"/>
        </w:rPr>
        <w:t xml:space="preserve">系统中文检测报告及中文测试</w:t>
      </w:r>
      <w:r>
        <w:rPr>
          <w:rFonts w:ascii="宋体" w:hAnsi="宋体"/>
          <w:sz w:val="24"/>
          <w:szCs w:val="24"/>
          <w:u w:val="single"/>
        </w:rPr>
        <w:t xml:space="preserve">记录</w:t>
      </w:r>
      <w:r>
        <w:rPr>
          <w:rFonts w:hint="eastAsia" w:ascii="宋体" w:hAnsi="宋体"/>
          <w:sz w:val="24"/>
          <w:szCs w:val="24"/>
          <w:u w:val="single"/>
        </w:rPr>
        <w:t xml:space="preserve">：用FLUKE、OTDR等设备对所有点位进行测试，提供通过率为100%的测试报告；其中永久链路超过90米的不纳入测试范围，但必须保证能正常使用（比如PING不丢包等）。模拟广播的音箱线必须做通断和对地电阻测试，提供测试报告。</w:t>
      </w:r>
      <w:r/>
    </w:p>
    <w:p>
      <w:pPr>
        <w:ind w:firstLine="480"/>
        <w:spacing w:line="360" w:lineRule="auto"/>
        <w:rPr>
          <w:rFonts w:hint="eastAsia" w:ascii="宋体" w:hAnsi="宋体"/>
          <w:sz w:val="24"/>
          <w:szCs w:val="24"/>
          <w:u w:val="single"/>
        </w:rPr>
      </w:pPr>
      <w:r>
        <w:rPr>
          <w:rFonts w:hint="eastAsia" w:ascii="宋体" w:hAnsi="宋体"/>
          <w:sz w:val="24"/>
          <w:szCs w:val="24"/>
          <w:u w:val="single"/>
        </w:rPr>
        <w:t xml:space="preserve">应事先对工程中需要使用的仪表和工具进行测试或检查，测试仪精度应定期检测，每次现场测试前应出示仪表厂家或者是检测机构出具有效期内的测试仪的精度证明，缆线测试仪应附有检测机构的证明文件。</w:t>
      </w:r>
      <w:r/>
    </w:p>
    <w:p>
      <w:pPr>
        <w:ind w:firstLine="480"/>
        <w:spacing w:line="360" w:lineRule="auto"/>
        <w:rPr>
          <w:rFonts w:hint="eastAsia" w:ascii="宋体" w:hAnsi="宋体"/>
          <w:sz w:val="24"/>
          <w:szCs w:val="24"/>
          <w:u w:val="single"/>
        </w:rPr>
      </w:pPr>
      <w:r>
        <w:rPr>
          <w:rFonts w:hint="eastAsia" w:ascii="宋体" w:hAnsi="宋体"/>
          <w:sz w:val="24"/>
          <w:szCs w:val="24"/>
          <w:u w:val="single"/>
        </w:rPr>
        <w:t xml:space="preserve">检测须由持相关测试仪厂家出具的有效期内认证证明的人员操作或委托有相关人员和设备资质的第三方测试。</w:t>
      </w:r>
      <w:r/>
    </w:p>
    <w:p>
      <w:pPr>
        <w:ind w:firstLine="480"/>
        <w:spacing w:line="360" w:lineRule="auto"/>
        <w:rPr>
          <w:rFonts w:hint="eastAsia" w:ascii="宋体" w:hAnsi="宋体"/>
          <w:sz w:val="24"/>
          <w:szCs w:val="24"/>
        </w:rPr>
      </w:pPr>
      <w:r>
        <w:rPr>
          <w:rFonts w:hint="eastAsia" w:ascii="宋体" w:hAnsi="宋体"/>
          <w:sz w:val="24"/>
          <w:szCs w:val="24"/>
        </w:rPr>
        <w:t xml:space="preserve">应根据《综合布线工程验收规范》（GB</w:t>
      </w:r>
      <w:r>
        <w:rPr>
          <w:rFonts w:ascii="宋体" w:hAnsi="宋体"/>
          <w:sz w:val="24"/>
          <w:szCs w:val="24"/>
        </w:rPr>
        <w:t xml:space="preserve">/T </w:t>
      </w:r>
      <w:r>
        <w:rPr>
          <w:rFonts w:hint="eastAsia" w:ascii="宋体" w:hAnsi="宋体"/>
          <w:sz w:val="24"/>
          <w:szCs w:val="24"/>
        </w:rPr>
        <w:t xml:space="preserve">50312-2016）要求进行工程电气测试，布线系统各项测试结果应有详细记录，并应作为竣工资料的一部分。测试内容应按本规范附录A、附录B、附录C的规定，测试记录可采用自制表格、电子表格或仪表自动生成的报告文件等记录形式。其中双绞线布系统系统采用永久链路测试不低于规范明确的13个指标，光纤信息及链路测试采用等级2测试模型及方法；并填写综合布线系统工程电缆性能指标测试记录、综合布线工程光纤性能指标测试记录，形成综合布线系统工程电缆性能指标测试汇总表、综合布线工程光纤性能指标测试汇总表。</w:t>
      </w:r>
      <w:r/>
    </w:p>
    <w:p>
      <w:pPr>
        <w:ind w:firstLine="480"/>
        <w:spacing w:line="360" w:lineRule="auto"/>
        <w:rPr>
          <w:rFonts w:hint="eastAsia" w:ascii="宋体" w:hAnsi="宋体"/>
          <w:sz w:val="24"/>
          <w:szCs w:val="24"/>
        </w:rPr>
      </w:pPr>
      <w:r>
        <w:rPr>
          <w:rFonts w:hint="eastAsia" w:ascii="宋体" w:hAnsi="宋体"/>
          <w:sz w:val="24"/>
          <w:szCs w:val="24"/>
        </w:rPr>
        <w:t xml:space="preserve">系统性能检测单项合格判定和竣工检测综合合格判定应符合《综合布线工程验收规范》（GB</w:t>
      </w:r>
      <w:r>
        <w:rPr>
          <w:rFonts w:ascii="宋体" w:hAnsi="宋体"/>
          <w:sz w:val="24"/>
          <w:szCs w:val="24"/>
        </w:rPr>
        <w:t xml:space="preserve">/T </w:t>
      </w:r>
      <w:r>
        <w:rPr>
          <w:rFonts w:hint="eastAsia" w:ascii="宋体" w:hAnsi="宋体"/>
          <w:sz w:val="24"/>
          <w:szCs w:val="24"/>
        </w:rPr>
        <w:t xml:space="preserve">50312-2016）工程验收的规定。</w:t>
      </w:r>
      <w:r/>
    </w:p>
    <w:p>
      <w:pPr>
        <w:pStyle w:val="810"/>
        <w:ind w:firstLine="420"/>
        <w:rPr>
          <w:rFonts w:hint="eastAsia" w:ascii="宋体" w:hAnsi="宋体" w:cs="宋体"/>
        </w:rPr>
      </w:pPr>
      <w:r>
        <w:rPr>
          <w:rFonts w:hint="eastAsia" w:ascii="宋体" w:hAnsi="宋体" w:cs="宋体"/>
        </w:rPr>
        <w:t xml:space="preserve">⑤培训记录及培训资料。</w:t>
      </w:r>
      <w:r/>
    </w:p>
    <w:p>
      <w:pPr>
        <w:ind w:firstLine="480"/>
        <w:spacing w:line="360" w:lineRule="auto"/>
        <w:rPr>
          <w:rFonts w:hint="eastAsia" w:ascii="宋体" w:hAnsi="宋体"/>
          <w:sz w:val="24"/>
          <w:szCs w:val="24"/>
        </w:rPr>
      </w:pPr>
      <w:r>
        <w:rPr>
          <w:rFonts w:hint="eastAsia" w:ascii="宋体" w:hAnsi="宋体"/>
          <w:sz w:val="24"/>
          <w:szCs w:val="24"/>
        </w:rPr>
        <w:t xml:space="preserve">以上材料要保证质量，做到外观整洁、内容齐全、数据准确。</w:t>
      </w:r>
      <w:r/>
    </w:p>
    <w:p>
      <w:pPr>
        <w:ind w:firstLine="480"/>
        <w:spacing w:line="360" w:lineRule="auto"/>
        <w:rPr>
          <w:rFonts w:hint="eastAsia" w:ascii="宋体" w:hAnsi="宋体"/>
          <w:sz w:val="24"/>
          <w:szCs w:val="24"/>
        </w:rPr>
      </w:pPr>
      <w:r>
        <w:rPr>
          <w:rFonts w:hint="eastAsia" w:ascii="宋体" w:hAnsi="宋体"/>
          <w:sz w:val="24"/>
          <w:szCs w:val="24"/>
        </w:rPr>
        <w:t xml:space="preserve">（2）根据施工单位提供的</w:t>
      </w:r>
      <w:r>
        <w:rPr>
          <w:rFonts w:ascii="宋体" w:hAnsi="宋体"/>
          <w:sz w:val="24"/>
          <w:szCs w:val="24"/>
        </w:rPr>
        <w:t xml:space="preserve">测试</w:t>
      </w:r>
      <w:r>
        <w:rPr>
          <w:rFonts w:hint="eastAsia" w:ascii="宋体" w:hAnsi="宋体"/>
          <w:sz w:val="24"/>
          <w:szCs w:val="24"/>
        </w:rPr>
        <w:t xml:space="preserve">报告，</w:t>
      </w:r>
      <w:r>
        <w:rPr>
          <w:rFonts w:hint="eastAsia" w:ascii="宋体" w:hAnsi="宋体"/>
          <w:b/>
          <w:bCs/>
          <w:sz w:val="24"/>
          <w:szCs w:val="24"/>
        </w:rPr>
        <w:t xml:space="preserve">采购单位应进行的抽样复测（可以通过第三方进行复测）</w:t>
      </w:r>
      <w:r>
        <w:rPr>
          <w:rFonts w:hint="eastAsia" w:ascii="宋体" w:hAnsi="宋体"/>
          <w:sz w:val="24"/>
          <w:szCs w:val="24"/>
        </w:rPr>
        <w:t xml:space="preserve">。</w:t>
      </w:r>
      <w:r/>
    </w:p>
    <w:p>
      <w:pPr>
        <w:ind w:firstLine="480"/>
        <w:spacing w:line="360" w:lineRule="auto"/>
        <w:rPr>
          <w:rFonts w:hint="eastAsia" w:ascii="宋体" w:hAnsi="宋体"/>
          <w:sz w:val="24"/>
          <w:szCs w:val="24"/>
        </w:rPr>
      </w:pPr>
      <w:r>
        <w:rPr>
          <w:rFonts w:hint="eastAsia" w:ascii="宋体" w:hAnsi="宋体"/>
          <w:sz w:val="24"/>
          <w:szCs w:val="24"/>
        </w:rPr>
        <w:t xml:space="preserve">（3）复测验证方法：抽样比例不低于10%，抽样点应包括最远布线点，通过率≥99%。对双绞电缆抽样检测时，被抽样检测点（线对）不合格比例不大于被测总数的1%，应为抽样检测通过，不合格的点（线对应予以修复并复检）。被抽样检测点（线对）不合格比例如果大于1%,应为一次抽样检测未通过，应进行加倍抽样，加倍抽样不合格比例不大于1%，应为抽样检测通过。当不合格比例仍大于1%，应为抽样检测不通过，应进行全部检测，并按全部检测要求进行判定。建议复测在设备试运行前进行。</w:t>
      </w:r>
      <w:r/>
    </w:p>
    <w:p>
      <w:pPr>
        <w:ind w:firstLine="420"/>
        <w:spacing w:line="360" w:lineRule="auto"/>
        <w:rPr>
          <w:rFonts w:hint="eastAsia" w:ascii="宋体" w:hAnsi="宋体"/>
          <w:b/>
          <w:bCs/>
          <w:sz w:val="24"/>
          <w:szCs w:val="24"/>
        </w:rPr>
      </w:pPr>
      <w:r>
        <w:rPr>
          <w:rFonts w:hint="eastAsia" w:ascii="宋体" w:hAnsi="宋体"/>
          <w:b/>
          <w:bCs/>
          <w:sz w:val="24"/>
          <w:szCs w:val="24"/>
        </w:rPr>
        <w:t xml:space="preserve">复测的费用由中标供应商承担。</w:t>
      </w:r>
      <w:r/>
    </w:p>
    <w:p>
      <w:pPr>
        <w:ind w:firstLine="420"/>
        <w:spacing w:line="360" w:lineRule="auto"/>
        <w:rPr>
          <w:rFonts w:hint="eastAsia" w:ascii="宋体" w:hAnsi="宋体"/>
          <w:b/>
          <w:bCs/>
          <w:sz w:val="24"/>
          <w:szCs w:val="24"/>
        </w:rPr>
      </w:pPr>
      <w:r>
        <w:rPr>
          <w:rFonts w:hint="eastAsia" w:ascii="宋体" w:hAnsi="宋体"/>
          <w:b/>
          <w:bCs/>
          <w:sz w:val="24"/>
          <w:szCs w:val="24"/>
        </w:rPr>
        <w:t xml:space="preserve">若发现施工单位在测试报告中弄虚作假，</w:t>
      </w:r>
      <w:r>
        <w:rPr>
          <w:rFonts w:hint="eastAsia"/>
          <w:b/>
          <w:bCs/>
          <w:sz w:val="24"/>
          <w:szCs w:val="24"/>
        </w:rPr>
        <w:t xml:space="preserve">招标代理机构按流程向财政部门要求对其</w:t>
      </w:r>
      <w:r>
        <w:rPr>
          <w:rFonts w:hint="eastAsia" w:ascii="宋体" w:hAnsi="宋体"/>
          <w:b/>
          <w:bCs/>
          <w:sz w:val="24"/>
          <w:szCs w:val="24"/>
        </w:rPr>
        <w:t xml:space="preserve">进行处罚（列入供应商不诚信行为）。</w:t>
      </w:r>
      <w:r/>
    </w:p>
    <w:p>
      <w:pPr>
        <w:numPr>
          <w:ilvl w:val="0"/>
          <w:numId w:val="14"/>
        </w:numPr>
        <w:ind w:left="0" w:firstLine="480"/>
        <w:spacing w:line="360" w:lineRule="auto"/>
        <w:rPr>
          <w:rFonts w:hint="eastAsia" w:ascii="宋体" w:hAnsi="宋体"/>
          <w:color w:val="auto"/>
          <w:sz w:val="24"/>
          <w:szCs w:val="24"/>
        </w:rPr>
      </w:pPr>
      <w:r>
        <w:rPr>
          <w:rFonts w:hint="eastAsia" w:ascii="宋体" w:hAnsi="宋体"/>
          <w:sz w:val="24"/>
          <w:szCs w:val="24"/>
        </w:rPr>
        <w:t xml:space="preserve">验收应遵循的国家现行有关规范或标准，包含但不只限于《综合布线工程验收规范（GB/T 50312-2016）》《通信管道工程施工及验收规范GB50374》《通信线路工程验收规范YD 5121》和《常州市教育局局属单位信息化工程重大项目验收规范》《校园网络环境系统项目建设指南》《校园广播系统项目建</w:t>
      </w:r>
      <w:r>
        <w:rPr>
          <w:rFonts w:hint="eastAsia" w:ascii="宋体" w:hAnsi="宋体"/>
          <w:color w:val="auto"/>
          <w:sz w:val="24"/>
          <w:szCs w:val="24"/>
        </w:rPr>
        <w:t xml:space="preserve">设指南》《校园安防系统项目建设指南》《常州市中小学校园公共广播系统建设标准指导意见》等规定的要求对施工质量进行验收。</w:t>
      </w:r>
      <w:r/>
    </w:p>
    <w:p>
      <w:pPr>
        <w:pStyle w:val="810"/>
        <w:rPr>
          <w:rFonts w:hint="default" w:asciiTheme="minorEastAsia" w:hAnsiTheme="minorEastAsia" w:eastAsiaTheme="minorEastAsia" w:cstheme="minorEastAsia"/>
          <w:color w:val="ff0000"/>
          <w:sz w:val="24"/>
          <w:szCs w:val="24"/>
          <w:lang w:val="en-US" w:eastAsia="zh-CN"/>
        </w:rPr>
      </w:pPr>
      <w:r>
        <w:rPr>
          <w:rFonts w:hint="eastAsia" w:asciiTheme="minorEastAsia" w:hAnsiTheme="minorEastAsia" w:eastAsiaTheme="minorEastAsia" w:cstheme="minorEastAsia"/>
          <w:color w:val="ff0000"/>
          <w:sz w:val="24"/>
          <w:szCs w:val="24"/>
          <w:lang w:val="en-US" w:eastAsia="zh-CN"/>
        </w:rPr>
        <w:t xml:space="preserve">其余的对接及验收要求详见附件。</w:t>
      </w:r>
      <w:r/>
    </w:p>
    <w:p>
      <w:pPr>
        <w:spacing w:line="276"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4.其他要求</w:t>
      </w:r>
      <w:r/>
    </w:p>
    <w:p>
      <w:pPr>
        <w:ind w:left="420"/>
        <w:spacing w:line="276"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无。</w:t>
      </w:r>
      <w:r/>
    </w:p>
    <w:p>
      <w:pPr>
        <w:ind w:left="420"/>
        <w:spacing w:line="276"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numPr>
          <w:ilvl w:val="0"/>
          <w:numId w:val="15"/>
        </w:numPr>
        <w:spacing w:line="276" w:lineRule="auto"/>
        <w:tabs>
          <w:tab w:val="clear" w:pos="312" w:leader="none"/>
        </w:tabs>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 xml:space="preserve">实质性要求  </w:t>
      </w:r>
      <w:r/>
    </w:p>
    <w:tbl>
      <w:tblPr>
        <w:tblStyle w:val="806"/>
        <w:tblW w:w="86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86"/>
        <w:gridCol w:w="1300"/>
        <w:gridCol w:w="3639"/>
        <w:gridCol w:w="3123"/>
      </w:tblGrid>
      <w:tr>
        <w:trPr/>
        <w:tc>
          <w:tcPr>
            <w:tcW w:w="0" w:type="auto"/>
            <w:vAlign w:val="center"/>
            <w:textDirection w:val="lrTb"/>
            <w:noWrap w:val="false"/>
          </w:tcPr>
          <w:p>
            <w:pPr>
              <w:jc w:val="center"/>
              <w:spacing w:line="320" w:lineRule="exact"/>
              <w:widowControl/>
              <w:rPr>
                <w:rFonts w:hint="eastAsia" w:ascii="宋体" w:hAnsi="宋体" w:cs="宋体"/>
                <w:b/>
                <w:bCs/>
                <w:color w:val="auto"/>
                <w:highlight w:val="none"/>
              </w:rPr>
            </w:pPr>
            <w:r>
              <w:rPr>
                <w:rFonts w:hint="eastAsia" w:ascii="宋体" w:hAnsi="宋体" w:cs="宋体"/>
                <w:b/>
                <w:bCs/>
                <w:color w:val="auto"/>
                <w:highlight w:val="none"/>
                <w:lang w:bidi="ar"/>
              </w:rPr>
              <w:t xml:space="preserve">序号</w:t>
            </w:r>
            <w:r/>
          </w:p>
        </w:tc>
        <w:tc>
          <w:tcPr>
            <w:tcW w:w="1300" w:type="dxa"/>
            <w:vAlign w:val="center"/>
            <w:textDirection w:val="lrTb"/>
            <w:noWrap w:val="false"/>
          </w:tcPr>
          <w:p>
            <w:pPr>
              <w:jc w:val="center"/>
              <w:spacing w:line="320" w:lineRule="exact"/>
              <w:widowControl/>
              <w:rPr>
                <w:rFonts w:hint="eastAsia" w:ascii="宋体" w:hAnsi="宋体" w:cs="宋体"/>
                <w:b/>
                <w:bCs/>
                <w:color w:val="auto"/>
                <w:highlight w:val="none"/>
                <w:lang w:bidi="ar"/>
              </w:rPr>
            </w:pPr>
            <w:r>
              <w:rPr>
                <w:rFonts w:hint="eastAsia" w:ascii="宋体" w:hAnsi="宋体" w:cs="宋体"/>
                <w:b/>
                <w:bCs/>
                <w:color w:val="auto"/>
                <w:highlight w:val="none"/>
                <w:lang w:bidi="ar"/>
              </w:rPr>
              <w:t xml:space="preserve">设备名称</w:t>
            </w:r>
            <w:r/>
          </w:p>
          <w:p>
            <w:pPr>
              <w:jc w:val="center"/>
              <w:spacing w:line="320" w:lineRule="exact"/>
              <w:widowControl/>
              <w:rPr>
                <w:rFonts w:hint="eastAsia" w:ascii="宋体" w:hAnsi="宋体" w:cs="宋体"/>
                <w:b/>
                <w:bCs/>
                <w:color w:val="auto"/>
                <w:highlight w:val="none"/>
              </w:rPr>
            </w:pPr>
            <w:r>
              <w:rPr>
                <w:rFonts w:hint="eastAsia" w:ascii="宋体" w:hAnsi="宋体" w:cs="宋体"/>
                <w:b/>
                <w:bCs/>
                <w:color w:val="auto"/>
                <w:highlight w:val="none"/>
                <w:lang w:bidi="ar"/>
              </w:rPr>
              <w:t xml:space="preserve">或其它</w:t>
            </w:r>
            <w:r/>
          </w:p>
        </w:tc>
        <w:tc>
          <w:tcPr>
            <w:tcW w:w="3639" w:type="dxa"/>
            <w:vAlign w:val="center"/>
            <w:textDirection w:val="lrTb"/>
            <w:noWrap w:val="false"/>
          </w:tcPr>
          <w:p>
            <w:pPr>
              <w:jc w:val="center"/>
              <w:spacing w:line="320" w:lineRule="exact"/>
              <w:widowControl/>
              <w:rPr>
                <w:rFonts w:hint="eastAsia" w:ascii="宋体" w:hAnsi="宋体" w:cs="宋体"/>
                <w:b/>
                <w:bCs/>
                <w:color w:val="auto"/>
                <w:highlight w:val="none"/>
              </w:rPr>
            </w:pPr>
            <w:r>
              <w:rPr>
                <w:rFonts w:hint="eastAsia" w:ascii="宋体" w:hAnsi="宋体" w:cs="宋体"/>
                <w:b/>
                <w:bCs/>
                <w:color w:val="auto"/>
                <w:highlight w:val="none"/>
                <w:lang w:bidi="ar"/>
              </w:rPr>
              <w:t xml:space="preserve">技术参数或要求</w:t>
            </w:r>
            <w:r/>
          </w:p>
        </w:tc>
        <w:tc>
          <w:tcPr>
            <w:tcW w:w="3123" w:type="dxa"/>
            <w:vAlign w:val="center"/>
            <w:textDirection w:val="lrTb"/>
            <w:noWrap w:val="false"/>
          </w:tcPr>
          <w:p>
            <w:pPr>
              <w:jc w:val="left"/>
              <w:spacing w:line="320" w:lineRule="exact"/>
              <w:widowControl/>
              <w:rPr>
                <w:rFonts w:hint="eastAsia" w:ascii="宋体" w:hAnsi="宋体" w:cs="宋体"/>
                <w:b/>
                <w:bCs/>
                <w:color w:val="auto"/>
                <w:highlight w:val="none"/>
              </w:rPr>
            </w:pPr>
            <w:r>
              <w:rPr>
                <w:rFonts w:hint="eastAsia" w:ascii="宋体" w:hAnsi="宋体" w:cs="宋体"/>
                <w:b/>
                <w:bCs/>
                <w:color w:val="auto"/>
                <w:highlight w:val="none"/>
                <w:lang w:bidi="ar"/>
              </w:rPr>
              <w:t xml:space="preserve">证明材料</w:t>
            </w:r>
            <w:r/>
          </w:p>
        </w:tc>
      </w:tr>
      <w:tr>
        <w:trPr/>
        <w:tc>
          <w:tcPr>
            <w:shd w:val="clear" w:color="auto" w:fill="auto"/>
            <w:tcW w:w="586" w:type="dxa"/>
            <w:vAlign w:val="center"/>
            <w:vMerge w:val="restart"/>
            <w:textDirection w:val="lrTb"/>
            <w:noWrap w:val="false"/>
          </w:tcPr>
          <w:p>
            <w:pPr>
              <w:jc w:val="center"/>
              <w:spacing w:line="400" w:lineRule="exact"/>
              <w:widowControl/>
              <w:rPr>
                <w:rFonts w:hint="default"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1</w:t>
            </w:r>
            <w:r/>
          </w:p>
        </w:tc>
        <w:tc>
          <w:tcPr>
            <w:shd w:val="clear" w:color="auto" w:fill="auto"/>
            <w:tcW w:w="1300" w:type="dxa"/>
            <w:vAlign w:val="center"/>
            <w:vMerge w:val="restart"/>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智能网关</w:t>
            </w:r>
            <w:r/>
          </w:p>
        </w:tc>
        <w:tc>
          <w:tcPr>
            <w:tcW w:w="3639" w:type="dxa"/>
            <w:vAlign w:val="center"/>
            <w:textDirection w:val="lrTb"/>
            <w:noWrap w:val="false"/>
          </w:tcPr>
          <w:p>
            <w:pPr>
              <w:numPr>
                <w:ilvl w:val="0"/>
                <w:numId w:val="16"/>
              </w:numPr>
              <w:ind w:left="0"/>
              <w:jc w:val="left"/>
              <w:keepLines w:val="0"/>
              <w:keepNext w:val="0"/>
              <w:pageBreakBefore w:val="0"/>
              <w:spacing w:line="360" w:lineRule="exact"/>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核心功能与软件</w:t>
            </w:r>
            <w:r/>
          </w:p>
          <w:p>
            <w:pPr>
              <w:numPr>
                <w:ilvl w:val="0"/>
                <w:numId w:val="0"/>
              </w:numPr>
              <w:jc w:val="left"/>
              <w:keepLines w:val="0"/>
              <w:keepNext w:val="0"/>
              <w:pageBreakBefore w:val="0"/>
              <w:spacing w:line="360" w:lineRule="exact"/>
              <w:widowControl/>
              <w:rPr>
                <w:rFonts w:hint="default"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5综合管理与联动控制功能</w:t>
            </w:r>
            <w:r/>
          </w:p>
          <w:p>
            <w:pPr>
              <w:jc w:val="left"/>
              <w:spacing w:line="320" w:lineRule="exact"/>
              <w:widowControl/>
              <w:rPr>
                <w:rFonts w:hint="eastAsia" w:ascii="宋体" w:hAnsi="宋体" w:cs="宋体"/>
                <w:b/>
                <w:bCs/>
                <w:color w:val="auto"/>
                <w:highlight w:val="none"/>
                <w:lang w:bidi="ar"/>
              </w:rPr>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★（2）I/O状态监控与控制:支持通过接口获取数字信号输入状态及数字信号输出状态。</w:t>
            </w:r>
            <w:r/>
          </w:p>
        </w:tc>
        <w:tc>
          <w:tcPr>
            <w:tcW w:w="3123" w:type="dxa"/>
            <w:vAlign w:val="center"/>
            <w:vMerge w:val="restart"/>
            <w:textDirection w:val="lrTb"/>
            <w:noWrap w:val="false"/>
          </w:tcPr>
          <w:p>
            <w:pPr>
              <w:jc w:val="left"/>
              <w:spacing w:line="320" w:lineRule="exact"/>
              <w:widowControl/>
              <w:rPr>
                <w:rFonts w:hint="eastAsia" w:asciiTheme="minorEastAsia" w:hAnsiTheme="minorEastAsia" w:eastAsiaTheme="minorEastAsia" w:cstheme="minorEastAsia"/>
                <w:b/>
                <w:bCs/>
                <w:i w:val="0"/>
                <w:iCs w:val="0"/>
                <w:color w:val="auto"/>
                <w:sz w:val="21"/>
                <w:szCs w:val="21"/>
                <w:highlight w:val="none"/>
                <w:u w:val="none"/>
                <w:lang w:val="en-US" w:eastAsia="zh-CN" w:bidi="ar"/>
              </w:rPr>
            </w:pPr>
            <w:r>
              <w:rPr>
                <w:rFonts w:hint="eastAsia" w:ascii="宋体" w:hAnsi="宋体" w:eastAsia="宋体" w:cs="宋体"/>
                <w:b/>
                <w:bCs/>
                <w:i w:val="0"/>
                <w:iCs w:val="0"/>
                <w:color w:val="ff0000"/>
                <w:sz w:val="21"/>
                <w:szCs w:val="21"/>
                <w:highlight w:val="none"/>
                <w:u w:val="none"/>
                <w:lang w:val="en-US" w:eastAsia="zh-CN" w:bidi="ar"/>
              </w:rPr>
              <w:t xml:space="preserve">提供</w:t>
            </w:r>
            <w:r>
              <w:rPr>
                <w:rFonts w:hint="eastAsia" w:ascii="宋体" w:hAnsi="宋体" w:cs="宋体"/>
                <w:b/>
                <w:bCs/>
                <w:i w:val="0"/>
                <w:iCs w:val="0"/>
                <w:color w:val="ff0000"/>
                <w:sz w:val="21"/>
                <w:szCs w:val="21"/>
                <w:highlight w:val="none"/>
                <w:u w:val="none"/>
                <w:lang w:val="en-US" w:eastAsia="zh-CN" w:bidi="ar"/>
              </w:rPr>
              <w:t xml:space="preserve">原厂技术白皮书+真实性</w:t>
            </w:r>
            <w:r>
              <w:rPr>
                <w:rFonts w:hint="eastAsia" w:ascii="宋体" w:hAnsi="宋体" w:eastAsia="宋体" w:cs="宋体"/>
                <w:b/>
                <w:bCs/>
                <w:i w:val="0"/>
                <w:iCs w:val="0"/>
                <w:color w:val="ff0000"/>
                <w:sz w:val="21"/>
                <w:szCs w:val="21"/>
                <w:highlight w:val="none"/>
                <w:u w:val="none"/>
                <w:lang w:val="en-US" w:eastAsia="zh-CN" w:bidi="ar"/>
              </w:rPr>
              <w:t xml:space="preserve">承诺函</w:t>
            </w:r>
            <w:bookmarkStart w:id="226" w:name="_GoBack"/>
            <w:r/>
            <w:bookmarkEnd w:id="226"/>
            <w:r/>
            <w:r/>
          </w:p>
        </w:tc>
      </w:tr>
      <w:tr>
        <w:trPr/>
        <w:tc>
          <w:tcPr>
            <w:shd w:val="clear" w:color="auto" w:fill="auto"/>
            <w:tcW w:w="586" w:type="dxa"/>
            <w:vAlign w:val="center"/>
            <w:vMerge w:val="continue"/>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r>
            <w:r/>
          </w:p>
        </w:tc>
        <w:tc>
          <w:tcPr>
            <w:shd w:val="clear" w:color="auto" w:fill="auto"/>
            <w:tcW w:w="1300" w:type="dxa"/>
            <w:vAlign w:val="center"/>
            <w:vMerge w:val="continue"/>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r>
            <w:r/>
          </w:p>
        </w:tc>
        <w:tc>
          <w:tcPr>
            <w:tcW w:w="3639" w:type="dxa"/>
            <w:vAlign w:val="center"/>
            <w:textDirection w:val="lrTb"/>
            <w:noWrap w:val="false"/>
          </w:tcPr>
          <w:p>
            <w:pPr>
              <w:jc w:val="left"/>
              <w:spacing w:line="320" w:lineRule="exact"/>
              <w:widowControl/>
              <w:rPr>
                <w:rFonts w:hint="eastAsia" w:ascii="宋体" w:hAnsi="宋体" w:cs="宋体"/>
                <w:b/>
                <w:bCs/>
                <w:color w:val="auto"/>
                <w:highlight w:val="none"/>
                <w:lang w:bidi="ar"/>
              </w:rPr>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★（4）专用设备深度集成:支持通过网关（RS485/以太网协议）直接读取和配置专用火焰探测器的关键参数，包括但不限于：设备重启、报警恢复时间、报警复位标志、UV实时数值，UV报警阈值等</w:t>
            </w:r>
            <w:r/>
          </w:p>
        </w:tc>
        <w:tc>
          <w:tcPr>
            <w:tcW w:w="3123" w:type="dxa"/>
            <w:vAlign w:val="center"/>
            <w:vMerge w:val="continue"/>
            <w:textDirection w:val="lrTb"/>
            <w:noWrap w:val="false"/>
          </w:tcPr>
          <w:p>
            <w:pPr>
              <w:jc w:val="left"/>
              <w:spacing w:line="320" w:lineRule="exact"/>
              <w:widowControl/>
              <w:rPr>
                <w:rFonts w:hint="eastAsia" w:ascii="宋体" w:hAnsi="宋体" w:cs="宋体"/>
                <w:b/>
                <w:bCs/>
                <w:color w:val="auto"/>
                <w:highlight w:val="none"/>
                <w:lang w:bidi="ar"/>
              </w:rPr>
            </w:pPr>
            <w:r>
              <w:rPr>
                <w:rFonts w:hint="eastAsia" w:ascii="宋体" w:hAnsi="宋体" w:cs="宋体"/>
                <w:b/>
                <w:bCs/>
                <w:color w:val="auto"/>
                <w:highlight w:val="none"/>
                <w:lang w:bidi="ar"/>
              </w:rPr>
            </w:r>
            <w:r/>
          </w:p>
        </w:tc>
      </w:tr>
      <w:tr>
        <w:trPr/>
        <w:tc>
          <w:tcPr>
            <w:shd w:val="clear" w:color="auto" w:fill="auto"/>
            <w:tcW w:w="586" w:type="dxa"/>
            <w:vAlign w:val="center"/>
            <w:vMerge w:val="continue"/>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r>
            <w:r/>
          </w:p>
        </w:tc>
        <w:tc>
          <w:tcPr>
            <w:shd w:val="clear" w:color="auto" w:fill="auto"/>
            <w:tcW w:w="1300" w:type="dxa"/>
            <w:vAlign w:val="center"/>
            <w:vMerge w:val="continue"/>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r>
            <w:r/>
          </w:p>
        </w:tc>
        <w:tc>
          <w:tcPr>
            <w:tcW w:w="3639" w:type="dxa"/>
            <w:vAlign w:val="center"/>
            <w:textDirection w:val="lrTb"/>
            <w:noWrap w:val="false"/>
          </w:tcPr>
          <w:p>
            <w:pPr>
              <w:jc w:val="left"/>
              <w:spacing w:line="320" w:lineRule="exact"/>
              <w:widowControl/>
              <w:rPr>
                <w:rFonts w:hint="eastAsia" w:ascii="宋体" w:hAnsi="宋体" w:cs="宋体"/>
                <w:b/>
                <w:bCs/>
                <w:color w:val="auto"/>
                <w:highlight w:val="none"/>
                <w:lang w:bidi="ar"/>
              </w:rPr>
            </w:pPr>
            <w:r>
              <w:rPr>
                <w:rFonts w:hint="eastAsia" w:asciiTheme="minorEastAsia" w:hAnsiTheme="minorEastAsia" w:eastAsiaTheme="minorEastAsia" w:cstheme="minorEastAsia"/>
                <w:b w:val="0"/>
                <w:bCs w:val="0"/>
                <w:color w:val="auto"/>
                <w:sz w:val="21"/>
                <w:szCs w:val="21"/>
                <w:highlight w:val="none"/>
                <w:lang w:val="en-US" w:eastAsia="zh-CN"/>
              </w:rPr>
              <w:t xml:space="preserve">★</w:t>
            </w: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（5）消防与电源控制联动执行：支持预设联动逻辑或接收上位机指令，通过 控制DO输出状态 直接驱动“电源切断控制柜”，实现高危区域电源的秒级切断。</w:t>
            </w:r>
            <w:r/>
          </w:p>
        </w:tc>
        <w:tc>
          <w:tcPr>
            <w:tcW w:w="3123" w:type="dxa"/>
            <w:vAlign w:val="center"/>
            <w:textDirection w:val="lrTb"/>
            <w:noWrap w:val="false"/>
          </w:tcPr>
          <w:p>
            <w:pPr>
              <w:jc w:val="left"/>
              <w:spacing w:line="320" w:lineRule="exact"/>
              <w:widowControl/>
              <w:rPr>
                <w:rFonts w:hint="eastAsia" w:ascii="宋体" w:hAnsi="宋体" w:cs="宋体"/>
                <w:b/>
                <w:bCs/>
                <w:color w:val="auto"/>
                <w:highlight w:val="none"/>
                <w:lang w:bidi="ar"/>
              </w:rPr>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提供承诺函。</w:t>
            </w:r>
            <w:r/>
          </w:p>
        </w:tc>
      </w:tr>
      <w:tr>
        <w:trPr/>
        <w:tc>
          <w:tcPr>
            <w:shd w:val="clear" w:color="auto" w:fill="auto"/>
            <w:tcW w:w="0" w:type="auto"/>
            <w:vAlign w:val="center"/>
            <w:textDirection w:val="lrTb"/>
            <w:noWrap w:val="false"/>
          </w:tcPr>
          <w:p>
            <w:pPr>
              <w:jc w:val="center"/>
              <w:spacing w:line="400" w:lineRule="exact"/>
              <w:widowControl/>
              <w:rPr>
                <w:rFonts w:hint="default"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2</w:t>
            </w:r>
            <w:r/>
          </w:p>
        </w:tc>
        <w:tc>
          <w:tcPr>
            <w:shd w:val="clear" w:color="auto" w:fill="auto"/>
            <w:tcW w:w="1300" w:type="dxa"/>
            <w:vAlign w:val="center"/>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多波段紫红外火焰探测器</w:t>
            </w:r>
            <w:r/>
          </w:p>
        </w:tc>
        <w:tc>
          <w:tcPr>
            <w:tcW w:w="3639" w:type="dxa"/>
            <w:vAlign w:val="center"/>
            <w:textDirection w:val="lrTb"/>
            <w:noWrap w:val="false"/>
          </w:tcPr>
          <w:p>
            <w:pPr>
              <w:numPr>
                <w:ilvl w:val="0"/>
                <w:numId w:val="0"/>
              </w:numPr>
              <w:jc w:val="left"/>
              <w:keepLines w:val="0"/>
              <w:keepNext w:val="0"/>
              <w:pageBreakBefore w:val="0"/>
              <w:spacing w:line="360" w:lineRule="exact"/>
              <w:widowControl/>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★7、</w:t>
            </w: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数字化管理与控制接口：</w:t>
            </w:r>
            <w:r>
              <w:rPr>
                <w:rFonts w:hint="eastAsia" w:asciiTheme="minorEastAsia" w:hAnsiTheme="minorEastAsia" w:eastAsiaTheme="minorEastAsia" w:cstheme="minorEastAsia"/>
                <w:color w:val="auto"/>
                <w:sz w:val="21"/>
                <w:szCs w:val="21"/>
                <w:highlight w:val="none"/>
                <w:lang w:val="en-US" w:eastAsia="zh-CN"/>
              </w:rPr>
              <w:t xml:space="preserve">设备需标配标准通讯接口(如RS485/Modbus或以太网)，支持以下功能：</w:t>
            </w:r>
            <w:r/>
          </w:p>
          <w:p>
            <w:pPr>
              <w:numPr>
                <w:ilvl w:val="0"/>
                <w:numId w:val="0"/>
              </w:numPr>
              <w:jc w:val="left"/>
              <w:keepLines w:val="0"/>
              <w:keepNext w:val="0"/>
              <w:pageBreakBefore w:val="0"/>
              <w:spacing w:line="360" w:lineRule="exact"/>
              <w:widowControl/>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（1）设备重启:支持通过接口下发指令重启指定设备。</w:t>
            </w:r>
            <w:r/>
          </w:p>
          <w:p>
            <w:pPr>
              <w:pStyle w:val="810"/>
              <w:numPr>
                <w:ilvl w:val="0"/>
                <w:numId w:val="0"/>
              </w:numPr>
              <w:keepLines w:val="0"/>
              <w:keepNext w:val="0"/>
              <w:pageBreakBefore w:val="0"/>
              <w:spacing w:line="36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（2）数据读取:支持获取设备检测到的UV(紫外线)值。</w:t>
            </w:r>
            <w:r/>
          </w:p>
          <w:p>
            <w:pPr>
              <w:pStyle w:val="810"/>
              <w:numPr>
                <w:ilvl w:val="0"/>
                <w:numId w:val="0"/>
              </w:numPr>
              <w:keepLines w:val="0"/>
              <w:keepNext w:val="0"/>
              <w:pageBreakBefore w:val="0"/>
              <w:spacing w:line="36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（3）阈值设定:支持通过接口设置设备报警的UV阈值。</w:t>
            </w:r>
            <w:r/>
          </w:p>
          <w:p>
            <w:pPr>
              <w:pStyle w:val="810"/>
              <w:numPr>
                <w:ilvl w:val="0"/>
                <w:numId w:val="0"/>
              </w:numPr>
              <w:keepLines w:val="0"/>
              <w:keepNext w:val="0"/>
              <w:pageBreakBefore w:val="0"/>
              <w:spacing w:line="360" w:lineRule="exact"/>
              <w:rPr>
                <w:rFonts w:hint="eastAsia" w:ascii="宋体" w:hAnsi="宋体" w:cs="宋体"/>
                <w:b/>
                <w:bCs/>
                <w:color w:val="auto"/>
                <w:highlight w:val="none"/>
                <w:lang w:bidi="ar"/>
              </w:rPr>
            </w:pPr>
            <w:r>
              <w:rPr>
                <w:rFonts w:hint="eastAsia" w:asciiTheme="minorEastAsia" w:hAnsiTheme="minorEastAsia" w:eastAsiaTheme="minorEastAsia" w:cstheme="minorEastAsia"/>
                <w:color w:val="auto"/>
                <w:sz w:val="21"/>
                <w:szCs w:val="21"/>
                <w:highlight w:val="none"/>
                <w:lang w:val="en-US" w:eastAsia="zh-CN"/>
              </w:rPr>
              <w:t xml:space="preserve">（4）报警设置：支持通过接口让设备主动声光报警。</w:t>
            </w:r>
            <w:r/>
          </w:p>
        </w:tc>
        <w:tc>
          <w:tcPr>
            <w:tcW w:w="3123" w:type="dxa"/>
            <w:vAlign w:val="center"/>
            <w:textDirection w:val="lrTb"/>
            <w:noWrap w:val="false"/>
          </w:tcPr>
          <w:p>
            <w:pPr>
              <w:jc w:val="left"/>
              <w:spacing w:line="320" w:lineRule="exact"/>
              <w:widowControl/>
              <w:rPr>
                <w:rFonts w:hint="eastAsia" w:asciiTheme="minorEastAsia" w:hAnsiTheme="minorEastAsia" w:eastAsiaTheme="minorEastAsia" w:cstheme="minorEastAsia"/>
                <w:b/>
                <w:bCs/>
                <w:color w:val="auto"/>
                <w:sz w:val="21"/>
                <w:szCs w:val="21"/>
                <w:highlight w:val="none"/>
                <w:lang w:val="en-US" w:eastAsia="zh-CN"/>
              </w:rPr>
            </w:pPr>
            <w:r>
              <w:rPr>
                <w:rFonts w:hint="eastAsia" w:ascii="宋体" w:hAnsi="宋体" w:eastAsia="宋体" w:cs="宋体"/>
                <w:b/>
                <w:bCs/>
                <w:i w:val="0"/>
                <w:iCs w:val="0"/>
                <w:color w:val="ff0000"/>
                <w:sz w:val="21"/>
                <w:szCs w:val="21"/>
                <w:highlight w:val="none"/>
                <w:u w:val="none"/>
                <w:lang w:val="en-US" w:eastAsia="zh-CN" w:bidi="ar"/>
              </w:rPr>
              <w:t xml:space="preserve">提供</w:t>
            </w:r>
            <w:r>
              <w:rPr>
                <w:rFonts w:hint="eastAsia" w:ascii="宋体" w:hAnsi="宋体" w:cs="宋体"/>
                <w:b/>
                <w:bCs/>
                <w:i w:val="0"/>
                <w:iCs w:val="0"/>
                <w:color w:val="ff0000"/>
                <w:sz w:val="21"/>
                <w:szCs w:val="21"/>
                <w:highlight w:val="none"/>
                <w:u w:val="none"/>
                <w:lang w:val="en-US" w:eastAsia="zh-CN" w:bidi="ar"/>
              </w:rPr>
              <w:t xml:space="preserve">原厂技术白皮书+真实性</w:t>
            </w:r>
            <w:r>
              <w:rPr>
                <w:rFonts w:hint="eastAsia" w:ascii="宋体" w:hAnsi="宋体" w:eastAsia="宋体" w:cs="宋体"/>
                <w:b/>
                <w:bCs/>
                <w:i w:val="0"/>
                <w:iCs w:val="0"/>
                <w:color w:val="ff0000"/>
                <w:sz w:val="21"/>
                <w:szCs w:val="21"/>
                <w:highlight w:val="none"/>
                <w:u w:val="none"/>
                <w:lang w:val="en-US" w:eastAsia="zh-CN" w:bidi="ar"/>
              </w:rPr>
              <w:t xml:space="preserve">承诺函</w:t>
            </w:r>
            <w:r/>
          </w:p>
        </w:tc>
      </w:tr>
      <w:tr>
        <w:trPr/>
        <w:tc>
          <w:tcPr>
            <w:shd w:val="clear" w:color="auto" w:fill="auto"/>
            <w:tcW w:w="586" w:type="dxa"/>
            <w:vAlign w:val="center"/>
            <w:vMerge w:val="restart"/>
            <w:textDirection w:val="lrTb"/>
            <w:noWrap w:val="false"/>
          </w:tcPr>
          <w:p>
            <w:pPr>
              <w:jc w:val="center"/>
              <w:spacing w:line="400" w:lineRule="exact"/>
              <w:widowControl/>
              <w:rPr>
                <w:rFonts w:hint="default"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3</w:t>
            </w:r>
            <w:r/>
          </w:p>
        </w:tc>
        <w:tc>
          <w:tcPr>
            <w:shd w:val="clear" w:color="auto" w:fill="auto"/>
            <w:tcW w:w="1300" w:type="dxa"/>
            <w:vAlign w:val="center"/>
            <w:vMerge w:val="restart"/>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热成像双目枪式摄像机(含拾音器)</w:t>
            </w:r>
            <w:r/>
          </w:p>
        </w:tc>
        <w:tc>
          <w:tcPr>
            <w:tcW w:w="3639" w:type="dxa"/>
            <w:vAlign w:val="center"/>
            <w:textDirection w:val="lrTb"/>
            <w:noWrap w:val="false"/>
          </w:tcPr>
          <w:p>
            <w:pPr>
              <w:numPr>
                <w:ilvl w:val="0"/>
                <w:numId w:val="0"/>
              </w:numPr>
              <w:ind w:left="0"/>
              <w:jc w:val="left"/>
              <w:keepLines w:val="0"/>
              <w:keepNext w:val="0"/>
              <w:pageBreakBefore w:val="0"/>
              <w:spacing w:line="360" w:lineRule="exact"/>
              <w:widowControl/>
              <w:rPr>
                <w:rFonts w:hint="eastAsia" w:ascii="宋体" w:hAnsi="宋体" w:cs="宋体"/>
                <w:b/>
                <w:bCs/>
                <w:color w:val="auto"/>
                <w:highlight w:val="none"/>
                <w:lang w:bidi="ar"/>
              </w:rPr>
            </w:pPr>
            <w:r>
              <w:rPr>
                <w:rFonts w:hint="eastAsia" w:asciiTheme="minorEastAsia" w:hAnsiTheme="minorEastAsia" w:eastAsiaTheme="minorEastAsia" w:cstheme="minorEastAsia"/>
                <w:b w:val="0"/>
                <w:bCs w:val="0"/>
                <w:color w:val="auto"/>
                <w:sz w:val="21"/>
                <w:szCs w:val="21"/>
                <w:highlight w:val="none"/>
                <w:lang w:val="en-US" w:eastAsia="zh-CN"/>
              </w:rPr>
              <w:t xml:space="preserve">★18、内置MIC。</w:t>
            </w:r>
            <w:r/>
          </w:p>
        </w:tc>
        <w:tc>
          <w:tcPr>
            <w:tcW w:w="3123" w:type="dxa"/>
            <w:vAlign w:val="center"/>
            <w:textDirection w:val="lrTb"/>
            <w:noWrap w:val="false"/>
          </w:tcPr>
          <w:p>
            <w:pPr>
              <w:jc w:val="left"/>
              <w:spacing w:line="320" w:lineRule="exact"/>
              <w:widowControl/>
              <w:rPr>
                <w:rFonts w:hint="eastAsia" w:ascii="宋体" w:hAnsi="宋体" w:cs="宋体"/>
                <w:b/>
                <w:bCs/>
                <w:color w:val="auto"/>
                <w:highlight w:val="none"/>
                <w:lang w:bidi="ar"/>
              </w:rPr>
            </w:pPr>
            <w:r>
              <w:rPr>
                <w:rFonts w:hint="eastAsia" w:asciiTheme="minorEastAsia" w:hAnsiTheme="minorEastAsia" w:eastAsiaTheme="minorEastAsia" w:cstheme="minorEastAsia"/>
                <w:b/>
                <w:bCs/>
                <w:color w:val="auto"/>
                <w:sz w:val="21"/>
                <w:szCs w:val="21"/>
                <w:highlight w:val="none"/>
                <w:lang w:val="en-US" w:eastAsia="zh-CN"/>
              </w:rPr>
              <w:t xml:space="preserve">提供承诺函或提供原厂公开技术文档（白皮书、彩页、官网规格页截图及链接地址均可）。</w:t>
            </w:r>
            <w:r/>
          </w:p>
        </w:tc>
      </w:tr>
      <w:tr>
        <w:trPr/>
        <w:tc>
          <w:tcPr>
            <w:shd w:val="clear" w:color="auto" w:fill="auto"/>
            <w:tcW w:w="586" w:type="dxa"/>
            <w:vAlign w:val="center"/>
            <w:vMerge w:val="continue"/>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r>
            <w:r/>
          </w:p>
        </w:tc>
        <w:tc>
          <w:tcPr>
            <w:shd w:val="clear" w:color="auto" w:fill="auto"/>
            <w:tcW w:w="1300" w:type="dxa"/>
            <w:vAlign w:val="center"/>
            <w:vMerge w:val="continue"/>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r>
            <w:r/>
          </w:p>
        </w:tc>
        <w:tc>
          <w:tcPr>
            <w:tcW w:w="3639" w:type="dxa"/>
            <w:vAlign w:val="center"/>
            <w:textDirection w:val="lrTb"/>
            <w:noWrap w:val="false"/>
          </w:tcPr>
          <w:p>
            <w:pPr>
              <w:pStyle w:val="808"/>
              <w:ind w:left="0"/>
              <w:keepLines w:val="0"/>
              <w:keepNext w:val="0"/>
              <w:pageBreakBefore w:val="0"/>
              <w:spacing w:line="360" w:lineRule="exact"/>
              <w:rPr>
                <w:rFonts w:hint="eastAsia" w:ascii="宋体" w:hAnsi="宋体" w:cs="宋体"/>
                <w:b/>
                <w:bCs/>
                <w:color w:val="auto"/>
                <w:highlight w:val="none"/>
                <w:lang w:bidi="ar"/>
              </w:rPr>
            </w:pPr>
            <w:r>
              <w:rPr>
                <w:rFonts w:hint="eastAsia" w:asciiTheme="minorEastAsia" w:hAnsiTheme="minorEastAsia" w:eastAsiaTheme="minorEastAsia" w:cstheme="minorEastAsia"/>
                <w:color w:val="auto"/>
                <w:sz w:val="21"/>
                <w:szCs w:val="21"/>
                <w:highlight w:val="none"/>
                <w:lang w:bidi="ar"/>
              </w:rPr>
              <w:t xml:space="preserve">★</w:t>
            </w:r>
            <w:r>
              <w:rPr>
                <w:rFonts w:hint="eastAsia" w:asciiTheme="minorEastAsia" w:hAnsiTheme="minorEastAsia" w:eastAsiaTheme="minorEastAsia" w:cstheme="minorEastAsia"/>
                <w:color w:val="auto"/>
                <w:sz w:val="21"/>
                <w:szCs w:val="21"/>
                <w:highlight w:val="none"/>
                <w:lang w:val="en-US" w:eastAsia="zh-CN" w:bidi="ar"/>
              </w:rPr>
              <w:t xml:space="preserve">19</w:t>
            </w: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、具备POE供电功能。</w:t>
            </w:r>
            <w:r/>
          </w:p>
        </w:tc>
        <w:tc>
          <w:tcPr>
            <w:tcW w:w="3123" w:type="dxa"/>
            <w:vAlign w:val="center"/>
            <w:textDirection w:val="lrTb"/>
            <w:noWrap w:val="false"/>
          </w:tcPr>
          <w:p>
            <w:pPr>
              <w:jc w:val="left"/>
              <w:spacing w:line="320" w:lineRule="exact"/>
              <w:widowControl/>
              <w:rPr>
                <w:rFonts w:hint="eastAsia" w:ascii="宋体" w:hAnsi="宋体" w:cs="宋体"/>
                <w:b/>
                <w:bCs/>
                <w:color w:val="auto"/>
                <w:highlight w:val="none"/>
                <w:lang w:bidi="ar"/>
              </w:rPr>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提供原厂公开技术文档（白皮书、彩页、官网规格页截图及链接地址均可）。</w:t>
            </w:r>
            <w:r/>
          </w:p>
        </w:tc>
      </w:tr>
      <w:tr>
        <w:trPr/>
        <w:tc>
          <w:tcPr>
            <w:shd w:val="clear" w:color="auto" w:fill="auto"/>
            <w:tcW w:w="586" w:type="dxa"/>
            <w:vAlign w:val="center"/>
            <w:vMerge w:val="continue"/>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r>
            <w:r/>
          </w:p>
        </w:tc>
        <w:tc>
          <w:tcPr>
            <w:shd w:val="clear" w:color="auto" w:fill="auto"/>
            <w:tcW w:w="1300" w:type="dxa"/>
            <w:vAlign w:val="center"/>
            <w:vMerge w:val="continue"/>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r>
            <w:r/>
          </w:p>
        </w:tc>
        <w:tc>
          <w:tcPr>
            <w:tcW w:w="3639" w:type="dxa"/>
            <w:vAlign w:val="center"/>
            <w:textDirection w:val="lrTb"/>
            <w:noWrap w:val="false"/>
          </w:tcPr>
          <w:p>
            <w:pPr>
              <w:pStyle w:val="808"/>
              <w:ind w:left="0"/>
              <w:keepLines w:val="0"/>
              <w:keepNext w:val="0"/>
              <w:pageBreakBefore w:val="0"/>
              <w:spacing w:line="360" w:lineRule="exact"/>
              <w:rPr>
                <w:rFonts w:hint="eastAsia" w:asciiTheme="minorEastAsia" w:hAnsiTheme="minorEastAsia" w:eastAsiaTheme="minorEastAsia" w:cstheme="minorEastAsia"/>
                <w:b/>
                <w:bCs/>
                <w:i w:val="0"/>
                <w:iCs w:val="0"/>
                <w:color w:val="auto"/>
                <w:sz w:val="21"/>
                <w:szCs w:val="21"/>
                <w:highlight w:val="none"/>
                <w:u w:val="none"/>
                <w:lang w:val="en-US" w:eastAsia="zh-CN" w:bidi="ar"/>
              </w:rPr>
            </w:pPr>
            <w:r>
              <w:rPr>
                <w:rFonts w:hint="eastAsia" w:asciiTheme="minorEastAsia" w:hAnsiTheme="minorEastAsia" w:eastAsiaTheme="minorEastAsia" w:cstheme="minorEastAsia"/>
                <w:color w:val="auto"/>
                <w:sz w:val="21"/>
                <w:szCs w:val="21"/>
                <w:highlight w:val="none"/>
                <w:lang w:bidi="ar"/>
              </w:rPr>
              <w:t xml:space="preserve">★</w:t>
            </w:r>
            <w:r>
              <w:rPr>
                <w:rFonts w:hint="eastAsia" w:asciiTheme="minorEastAsia" w:hAnsiTheme="minorEastAsia" w:eastAsiaTheme="minorEastAsia" w:cstheme="minorEastAsia"/>
                <w:color w:val="auto"/>
                <w:sz w:val="21"/>
                <w:szCs w:val="21"/>
                <w:highlight w:val="none"/>
                <w:lang w:val="en-US" w:eastAsia="zh-CN" w:bidi="ar"/>
              </w:rPr>
              <w:t xml:space="preserve">20</w:t>
            </w: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、符合GB/T 28181、Onvif、IPv4/6现行协议标准。</w:t>
            </w:r>
            <w:r/>
          </w:p>
          <w:p>
            <w:pPr>
              <w:jc w:val="left"/>
              <w:spacing w:line="320" w:lineRule="exact"/>
              <w:widowControl/>
              <w:rPr>
                <w:rFonts w:hint="eastAsia" w:ascii="宋体" w:hAnsi="宋体" w:cs="宋体"/>
                <w:b/>
                <w:bCs/>
                <w:color w:val="auto"/>
                <w:highlight w:val="none"/>
                <w:lang w:bidi="ar"/>
              </w:rPr>
            </w:pPr>
            <w:r>
              <w:rPr>
                <w:rFonts w:hint="eastAsia" w:ascii="宋体" w:hAnsi="宋体" w:cs="宋体"/>
                <w:b/>
                <w:bCs/>
                <w:color w:val="auto"/>
                <w:highlight w:val="none"/>
                <w:lang w:bidi="ar"/>
              </w:rPr>
            </w:r>
            <w:r/>
          </w:p>
        </w:tc>
        <w:tc>
          <w:tcPr>
            <w:tcW w:w="3123" w:type="dxa"/>
            <w:vAlign w:val="center"/>
            <w:textDirection w:val="lrTb"/>
            <w:noWrap w:val="false"/>
          </w:tcPr>
          <w:p>
            <w:pPr>
              <w:pStyle w:val="808"/>
              <w:ind w:left="0"/>
              <w:jc w:val="left"/>
              <w:keepLines w:val="0"/>
              <w:keepNext w:val="0"/>
              <w:pageBreakBefore w:val="0"/>
              <w:spacing w:line="360" w:lineRule="exact"/>
              <w:rPr>
                <w:rFonts w:hint="eastAsia" w:ascii="宋体" w:hAnsi="宋体" w:cs="宋体"/>
                <w:b/>
                <w:bCs/>
                <w:color w:val="auto"/>
                <w:highlight w:val="none"/>
                <w:lang w:bidi="ar"/>
              </w:rPr>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提供所投产品原厂公开技术文档（白皮书、彩页、官网规格页截图及链接地址）或提供承诺函（格式自拟）。</w:t>
            </w:r>
            <w:r/>
          </w:p>
        </w:tc>
      </w:tr>
      <w:tr>
        <w:trPr/>
        <w:tc>
          <w:tcPr>
            <w:shd w:val="clear" w:color="auto" w:fill="auto"/>
            <w:tcW w:w="586" w:type="dxa"/>
            <w:vAlign w:val="center"/>
            <w:vMerge w:val="continue"/>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r>
            <w:r/>
          </w:p>
        </w:tc>
        <w:tc>
          <w:tcPr>
            <w:shd w:val="clear" w:color="auto" w:fill="auto"/>
            <w:tcW w:w="1300" w:type="dxa"/>
            <w:vAlign w:val="center"/>
            <w:vMerge w:val="continue"/>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r>
            <w:r/>
          </w:p>
        </w:tc>
        <w:tc>
          <w:tcPr>
            <w:tcW w:w="3639" w:type="dxa"/>
            <w:vAlign w:val="center"/>
            <w:textDirection w:val="lrTb"/>
            <w:noWrap w:val="false"/>
          </w:tcPr>
          <w:p>
            <w:pPr>
              <w:pStyle w:val="808"/>
              <w:ind w:left="0"/>
              <w:keepLines w:val="0"/>
              <w:keepNext w:val="0"/>
              <w:pageBreakBefore w:val="0"/>
              <w:spacing w:line="360" w:lineRule="exact"/>
              <w:rPr>
                <w:rFonts w:hint="eastAsia" w:ascii="宋体" w:hAnsi="宋体" w:cs="宋体"/>
                <w:b/>
                <w:bCs/>
                <w:color w:val="auto"/>
                <w:highlight w:val="none"/>
                <w:lang w:bidi="ar"/>
              </w:rPr>
            </w:pPr>
            <w:r>
              <w:rPr>
                <w:rFonts w:hint="eastAsia" w:asciiTheme="minorEastAsia" w:hAnsiTheme="minorEastAsia" w:eastAsiaTheme="minorEastAsia" w:cstheme="minorEastAsia"/>
                <w:color w:val="auto"/>
                <w:sz w:val="21"/>
                <w:szCs w:val="21"/>
                <w:highlight w:val="none"/>
                <w:lang w:bidi="ar"/>
              </w:rPr>
              <w:t xml:space="preserve">★</w:t>
            </w:r>
            <w:r>
              <w:rPr>
                <w:rFonts w:hint="eastAsia" w:asciiTheme="minorEastAsia" w:hAnsiTheme="minorEastAsia" w:eastAsiaTheme="minorEastAsia" w:cstheme="minorEastAsia"/>
                <w:color w:val="auto"/>
                <w:sz w:val="21"/>
                <w:szCs w:val="21"/>
                <w:highlight w:val="none"/>
                <w:lang w:val="en-US" w:eastAsia="zh-CN" w:bidi="ar"/>
              </w:rPr>
              <w:t xml:space="preserve">21、</w:t>
            </w:r>
            <w:r>
              <w:rPr>
                <w:rFonts w:hint="eastAsia" w:asciiTheme="minorEastAsia" w:hAnsiTheme="minorEastAsia" w:eastAsiaTheme="minorEastAsia" w:cstheme="minorEastAsia"/>
                <w:color w:val="auto"/>
                <w:highlight w:val="none"/>
                <w:lang w:val="en-US" w:eastAsia="zh-CN"/>
              </w:rPr>
              <w:t xml:space="preserve">提供摄像机接入学校现有安防管理系统的授权。</w:t>
            </w:r>
            <w:r/>
          </w:p>
        </w:tc>
        <w:tc>
          <w:tcPr>
            <w:tcW w:w="3123" w:type="dxa"/>
            <w:vAlign w:val="center"/>
            <w:textDirection w:val="lrTb"/>
            <w:noWrap w:val="false"/>
          </w:tcPr>
          <w:p>
            <w:pPr>
              <w:jc w:val="left"/>
              <w:spacing w:line="320" w:lineRule="exact"/>
              <w:widowControl/>
              <w:rPr>
                <w:rFonts w:hint="eastAsia" w:ascii="宋体" w:hAnsi="宋体" w:cs="宋体"/>
                <w:b/>
                <w:bCs/>
                <w:color w:val="auto"/>
                <w:highlight w:val="none"/>
                <w:lang w:bidi="ar"/>
              </w:rPr>
            </w:pPr>
            <w:r>
              <w:rPr>
                <w:rFonts w:hint="eastAsia" w:asciiTheme="minorEastAsia" w:hAnsiTheme="minorEastAsia" w:eastAsiaTheme="minorEastAsia" w:cstheme="minorEastAsia"/>
                <w:b/>
                <w:bCs/>
                <w:color w:val="auto"/>
                <w:highlight w:val="none"/>
                <w:lang w:val="en-US" w:eastAsia="zh-CN"/>
              </w:rPr>
              <w:t xml:space="preserve">提供承诺函。</w:t>
            </w:r>
            <w:r/>
          </w:p>
        </w:tc>
      </w:tr>
      <w:tr>
        <w:trPr/>
        <w:tc>
          <w:tcPr>
            <w:shd w:val="clear" w:color="auto" w:fill="auto"/>
            <w:tcW w:w="586" w:type="dxa"/>
            <w:vAlign w:val="center"/>
            <w:vMerge w:val="restart"/>
            <w:textDirection w:val="lrTb"/>
            <w:noWrap w:val="false"/>
          </w:tcPr>
          <w:p>
            <w:pPr>
              <w:jc w:val="center"/>
              <w:spacing w:line="400" w:lineRule="exact"/>
              <w:widowControl/>
              <w:rPr>
                <w:rFonts w:hint="default"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4</w:t>
            </w:r>
            <w:r/>
          </w:p>
        </w:tc>
        <w:tc>
          <w:tcPr>
            <w:shd w:val="clear" w:color="auto" w:fill="auto"/>
            <w:tcW w:w="1300" w:type="dxa"/>
            <w:vAlign w:val="center"/>
            <w:vMerge w:val="restart"/>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防欺凌预警终端（拾音器，核心设备）</w:t>
            </w:r>
            <w:r/>
          </w:p>
        </w:tc>
        <w:tc>
          <w:tcPr>
            <w:tcW w:w="3639" w:type="dxa"/>
            <w:vAlign w:val="center"/>
            <w:textDirection w:val="lrTb"/>
            <w:noWrap w:val="false"/>
          </w:tcPr>
          <w:p>
            <w:pPr>
              <w:numPr>
                <w:ilvl w:val="0"/>
                <w:numId w:val="0"/>
              </w:numPr>
              <w:jc w:val="left"/>
              <w:keepLines w:val="0"/>
              <w:keepNext w:val="0"/>
              <w:pageBreakBefore w:val="0"/>
              <w:spacing w:line="360" w:lineRule="exact"/>
              <w:rPr>
                <w:rFonts w:hint="eastAsia" w:asciiTheme="minorEastAsia" w:hAnsiTheme="minorEastAsia" w:eastAsiaTheme="minorEastAsia" w:cstheme="minorEastAsia"/>
                <w:i w:val="0"/>
                <w:iCs w:val="0"/>
                <w:color w:val="auto"/>
                <w:sz w:val="21"/>
                <w:szCs w:val="21"/>
                <w:highlight w:val="none"/>
                <w:u w:val="none"/>
                <w:lang w:val="en-US" w:eastAsia="zh-CN" w:bidi="ar"/>
              </w:rPr>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11、数字化管理与控制接口:设备需标配标准通讯接口(如RS485/Modbus或以太网)，支持以下功能:</w:t>
            </w:r>
            <w:r/>
          </w:p>
          <w:p>
            <w:pPr>
              <w:jc w:val="left"/>
              <w:spacing w:line="320" w:lineRule="exact"/>
              <w:widowControl/>
              <w:rPr>
                <w:rFonts w:hint="eastAsia" w:ascii="宋体" w:hAnsi="宋体" w:cs="宋体"/>
                <w:b/>
                <w:bCs/>
                <w:color w:val="auto"/>
                <w:highlight w:val="none"/>
                <w:lang w:bidi="ar"/>
              </w:rPr>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★（1）应可以通过接口获取拾音器的音频数据。</w:t>
            </w:r>
            <w:r/>
          </w:p>
        </w:tc>
        <w:tc>
          <w:tcPr>
            <w:tcW w:w="3123" w:type="dxa"/>
            <w:vAlign w:val="center"/>
            <w:textDirection w:val="lrTb"/>
            <w:noWrap w:val="false"/>
          </w:tcPr>
          <w:p>
            <w:pPr>
              <w:numPr>
                <w:ilvl w:val="0"/>
                <w:numId w:val="0"/>
              </w:numPr>
              <w:jc w:val="left"/>
              <w:keepLines w:val="0"/>
              <w:keepNext w:val="0"/>
              <w:pageBreakBefore w:val="0"/>
              <w:spacing w:line="360" w:lineRule="exact"/>
              <w:rPr>
                <w:rFonts w:hint="eastAsia" w:asciiTheme="minorEastAsia" w:hAnsiTheme="minorEastAsia" w:eastAsiaTheme="minorEastAsia" w:cstheme="minorEastAsia"/>
                <w:b/>
                <w:bCs/>
                <w:color w:val="auto"/>
                <w:sz w:val="21"/>
                <w:szCs w:val="21"/>
                <w:highlight w:val="none"/>
                <w:lang w:val="en-US" w:eastAsia="zh-CN"/>
              </w:rPr>
            </w:pPr>
            <w:r>
              <w:rPr>
                <w:rFonts w:hint="eastAsia" w:ascii="宋体" w:hAnsi="宋体" w:eastAsia="宋体" w:cs="宋体"/>
                <w:b/>
                <w:bCs/>
                <w:i w:val="0"/>
                <w:iCs w:val="0"/>
                <w:color w:val="ff0000"/>
                <w:sz w:val="21"/>
                <w:szCs w:val="21"/>
                <w:highlight w:val="none"/>
                <w:u w:val="none"/>
                <w:lang w:val="en-US" w:eastAsia="zh-CN" w:bidi="ar"/>
              </w:rPr>
              <w:t xml:space="preserve">提供</w:t>
            </w:r>
            <w:r>
              <w:rPr>
                <w:rFonts w:hint="eastAsia" w:ascii="宋体" w:hAnsi="宋体" w:cs="宋体"/>
                <w:b/>
                <w:bCs/>
                <w:i w:val="0"/>
                <w:iCs w:val="0"/>
                <w:color w:val="ff0000"/>
                <w:sz w:val="21"/>
                <w:szCs w:val="21"/>
                <w:highlight w:val="none"/>
                <w:u w:val="none"/>
                <w:lang w:val="en-US" w:eastAsia="zh-CN" w:bidi="ar"/>
              </w:rPr>
              <w:t xml:space="preserve">原厂技术白皮书+真实性</w:t>
            </w:r>
            <w:r>
              <w:rPr>
                <w:rFonts w:hint="eastAsia" w:ascii="宋体" w:hAnsi="宋体" w:eastAsia="宋体" w:cs="宋体"/>
                <w:b/>
                <w:bCs/>
                <w:i w:val="0"/>
                <w:iCs w:val="0"/>
                <w:color w:val="ff0000"/>
                <w:sz w:val="21"/>
                <w:szCs w:val="21"/>
                <w:highlight w:val="none"/>
                <w:u w:val="none"/>
                <w:lang w:val="en-US" w:eastAsia="zh-CN" w:bidi="ar"/>
              </w:rPr>
              <w:t xml:space="preserve">承诺函</w:t>
            </w:r>
            <w:r/>
          </w:p>
        </w:tc>
      </w:tr>
      <w:tr>
        <w:trPr/>
        <w:tc>
          <w:tcPr>
            <w:shd w:val="clear" w:color="auto" w:fill="auto"/>
            <w:tcW w:w="586" w:type="dxa"/>
            <w:vAlign w:val="center"/>
            <w:vMerge w:val="continue"/>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r>
            <w:r/>
          </w:p>
        </w:tc>
        <w:tc>
          <w:tcPr>
            <w:shd w:val="clear" w:color="auto" w:fill="auto"/>
            <w:tcW w:w="1300" w:type="dxa"/>
            <w:vAlign w:val="center"/>
            <w:vMerge w:val="continue"/>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r>
            <w:r/>
          </w:p>
        </w:tc>
        <w:tc>
          <w:tcPr>
            <w:tcW w:w="3639" w:type="dxa"/>
            <w:vAlign w:val="center"/>
            <w:textDirection w:val="lrTb"/>
            <w:noWrap w:val="false"/>
          </w:tcPr>
          <w:p>
            <w:pPr>
              <w:jc w:val="left"/>
              <w:spacing w:line="320" w:lineRule="exact"/>
              <w:widowControl/>
              <w:rPr>
                <w:rFonts w:hint="eastAsia" w:ascii="宋体" w:hAnsi="宋体" w:cs="宋体"/>
                <w:b/>
                <w:bCs/>
                <w:color w:val="auto"/>
                <w:highlight w:val="none"/>
                <w:lang w:bidi="ar"/>
              </w:rPr>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rPr>
                <w:rFonts w:hint="eastAsia" w:asciiTheme="minorEastAsia" w:hAnsiTheme="minorEastAsia" w:eastAsiaTheme="minorEastAsia" w:cstheme="minorEastAsia"/>
                <w:b/>
                <w:bCs/>
                <w:color w:val="auto"/>
                <w:highlight w:val="none"/>
                <w:lang w:val="en-US" w:eastAsia="zh-CN"/>
              </w:rPr>
              <w:t xml:space="preserve">12、投标供应商承诺所产品能被常州市教育局直属单位智慧安防服务中的AI算力设备纳管。</w:t>
            </w:r>
            <w:r/>
          </w:p>
        </w:tc>
        <w:tc>
          <w:tcPr>
            <w:tcW w:w="3123" w:type="dxa"/>
            <w:vAlign w:val="center"/>
            <w:textDirection w:val="lrTb"/>
            <w:noWrap w:val="false"/>
          </w:tcPr>
          <w:p>
            <w:pPr>
              <w:jc w:val="left"/>
              <w:spacing w:line="320" w:lineRule="exact"/>
              <w:widowControl/>
              <w:rPr>
                <w:rFonts w:hint="eastAsia" w:ascii="宋体" w:hAnsi="宋体" w:cs="宋体"/>
                <w:b/>
                <w:bCs/>
                <w:color w:val="auto"/>
                <w:highlight w:val="none"/>
                <w:lang w:bidi="ar"/>
              </w:rPr>
            </w:pPr>
            <w:r>
              <w:rPr>
                <w:rFonts w:hint="eastAsia" w:asciiTheme="minorEastAsia" w:hAnsiTheme="minorEastAsia" w:eastAsiaTheme="minorEastAsia" w:cstheme="minorEastAsia"/>
                <w:b/>
                <w:bCs/>
                <w:color w:val="auto"/>
                <w:highlight w:val="none"/>
                <w:lang w:val="en-US" w:eastAsia="zh-CN"/>
              </w:rPr>
              <w:t xml:space="preserve">提供承诺函。</w:t>
            </w:r>
            <w:r/>
          </w:p>
        </w:tc>
      </w:tr>
      <w:tr>
        <w:trPr/>
        <w:tc>
          <w:tcPr>
            <w:shd w:val="clear" w:color="auto" w:fill="auto"/>
            <w:tcW w:w="586" w:type="dxa"/>
            <w:vAlign w:val="center"/>
            <w:vMerge w:val="restart"/>
            <w:textDirection w:val="lrTb"/>
            <w:noWrap w:val="false"/>
          </w:tcPr>
          <w:p>
            <w:pPr>
              <w:jc w:val="center"/>
              <w:spacing w:line="400" w:lineRule="exact"/>
              <w:widowControl/>
              <w:rPr>
                <w:rFonts w:hint="default"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5</w:t>
            </w:r>
            <w:r/>
          </w:p>
        </w:tc>
        <w:tc>
          <w:tcPr>
            <w:shd w:val="clear" w:color="auto" w:fill="auto"/>
            <w:tcW w:w="1300" w:type="dxa"/>
            <w:vAlign w:val="center"/>
            <w:vMerge w:val="restart"/>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电源控制箱</w:t>
            </w:r>
            <w:r/>
          </w:p>
        </w:tc>
        <w:tc>
          <w:tcPr>
            <w:tcW w:w="3639" w:type="dxa"/>
            <w:vAlign w:val="center"/>
            <w:textDirection w:val="lrTb"/>
            <w:noWrap w:val="false"/>
          </w:tcPr>
          <w:p>
            <w:pPr>
              <w:numPr>
                <w:ilvl w:val="0"/>
                <w:numId w:val="0"/>
              </w:numPr>
              <w:jc w:val="left"/>
              <w:keepLines w:val="0"/>
              <w:keepNext w:val="0"/>
              <w:pageBreakBefore w:val="0"/>
              <w:spacing w:line="360" w:lineRule="exact"/>
              <w:rPr>
                <w:rFonts w:hint="eastAsia" w:asciiTheme="minorEastAsia" w:hAnsiTheme="minorEastAsia" w:eastAsiaTheme="minorEastAsia" w:cstheme="minorEastAsia"/>
                <w:i w:val="0"/>
                <w:iCs w:val="0"/>
                <w:color w:val="auto"/>
                <w:sz w:val="21"/>
                <w:szCs w:val="21"/>
                <w:highlight w:val="none"/>
                <w:u w:val="none"/>
                <w:lang w:val="en-US" w:eastAsia="zh-CN" w:bidi="ar"/>
              </w:rPr>
            </w:pPr>
            <w:r>
              <w:rPr>
                <w:rFonts w:hint="eastAsia" w:asciiTheme="minorEastAsia" w:hAnsiTheme="minorEastAsia" w:eastAsia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10、数字化管理与控制接口:设备需标配标准通讯接口(如RS485/Modbus或以太网)，支持以下功能:</w:t>
            </w:r>
            <w:r/>
          </w:p>
          <w:p>
            <w:pPr>
              <w:numPr>
                <w:ilvl w:val="0"/>
                <w:numId w:val="0"/>
              </w:numPr>
              <w:jc w:val="both"/>
              <w:keepLines w:val="0"/>
              <w:keepNext w:val="0"/>
              <w:pageBreakBefore w:val="0"/>
              <w:spacing w:line="360" w:lineRule="exact"/>
              <w:widowControl w:val="off"/>
              <w:rPr>
                <w:rFonts w:hint="eastAsia" w:ascii="宋体" w:hAnsi="宋体" w:cs="宋体"/>
                <w:b/>
                <w:bCs/>
                <w:color w:val="auto"/>
                <w:highlight w:val="none"/>
                <w:lang w:bidi="ar"/>
              </w:rPr>
            </w:pPr>
            <w:r>
              <w:rPr>
                <w:rFonts w:hint="eastAsia" w:asciiTheme="minorEastAsia" w:hAnsiTheme="minorEastAsia" w:eastAsiaTheme="minorEastAsia" w:cstheme="minorEastAsia"/>
                <w:color w:val="auto"/>
                <w:sz w:val="21"/>
                <w:szCs w:val="21"/>
                <w:highlight w:val="none"/>
                <w:lang w:val="en-US" w:eastAsia="zh-CN"/>
              </w:rPr>
              <w:t xml:space="preserve">（1）支持</w:t>
            </w:r>
            <w:r>
              <w:rPr>
                <w:rFonts w:hint="eastAsia" w:asciiTheme="minorEastAsia" w:hAnsiTheme="minorEastAsia" w:eastAsiaTheme="minorEastAsia" w:cstheme="minorEastAsia"/>
                <w:color w:val="auto"/>
                <w:sz w:val="21"/>
                <w:szCs w:val="21"/>
                <w:highlight w:val="none"/>
              </w:rPr>
              <w:t xml:space="preserve">接收网关的输出干节点控制信号作为“电源切断控制柜”的输入信号</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当控制信号为“开”时，“电源切断控制柜”的电源输入到电源输出通路应可以接通</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当控制信号为“闭”时，“电源切断控制柜”的电源输入到电源输出通路应可以切断</w:t>
            </w:r>
            <w:r>
              <w:rPr>
                <w:rFonts w:hint="eastAsia" w:asciiTheme="minorEastAsia" w:hAnsiTheme="minorEastAsia" w:eastAsiaTheme="minorEastAsia" w:cstheme="minorEastAsia"/>
                <w:color w:val="auto"/>
                <w:sz w:val="21"/>
                <w:szCs w:val="21"/>
                <w:highlight w:val="none"/>
                <w:lang w:eastAsia="zh-CN"/>
              </w:rPr>
              <w:t xml:space="preserve">。</w:t>
            </w:r>
            <w:r/>
          </w:p>
        </w:tc>
        <w:tc>
          <w:tcPr>
            <w:tcW w:w="3123" w:type="dxa"/>
            <w:vAlign w:val="center"/>
            <w:textDirection w:val="lrTb"/>
            <w:noWrap w:val="false"/>
          </w:tcPr>
          <w:p>
            <w:pPr>
              <w:numPr>
                <w:ilvl w:val="0"/>
                <w:numId w:val="0"/>
              </w:numPr>
              <w:jc w:val="left"/>
              <w:keepLines w:val="0"/>
              <w:keepNext w:val="0"/>
              <w:pageBreakBefore w:val="0"/>
              <w:spacing w:line="360" w:lineRule="exact"/>
              <w:widowControl w:val="off"/>
              <w:rPr>
                <w:rFonts w:hint="eastAsia" w:ascii="宋体" w:hAnsi="宋体" w:cs="宋体"/>
                <w:b/>
                <w:bCs/>
                <w:color w:val="auto"/>
                <w:highlight w:val="none"/>
                <w:lang w:bidi="ar"/>
              </w:rPr>
            </w:pPr>
            <w:r>
              <w:rPr>
                <w:rFonts w:hint="eastAsia" w:ascii="宋体" w:hAnsi="宋体" w:eastAsia="宋体" w:cs="宋体"/>
                <w:b/>
                <w:bCs/>
                <w:i w:val="0"/>
                <w:iCs w:val="0"/>
                <w:color w:val="ff0000"/>
                <w:sz w:val="21"/>
                <w:szCs w:val="21"/>
                <w:highlight w:val="none"/>
                <w:u w:val="none"/>
                <w:lang w:val="en-US" w:eastAsia="zh-CN" w:bidi="ar"/>
              </w:rPr>
              <w:t xml:space="preserve">提供</w:t>
            </w:r>
            <w:r>
              <w:rPr>
                <w:rFonts w:hint="eastAsia" w:ascii="宋体" w:hAnsi="宋体" w:cs="宋体"/>
                <w:b/>
                <w:bCs/>
                <w:i w:val="0"/>
                <w:iCs w:val="0"/>
                <w:color w:val="ff0000"/>
                <w:sz w:val="21"/>
                <w:szCs w:val="21"/>
                <w:highlight w:val="none"/>
                <w:u w:val="none"/>
                <w:lang w:val="en-US" w:eastAsia="zh-CN" w:bidi="ar"/>
              </w:rPr>
              <w:t xml:space="preserve">原厂技术白皮书+真实性</w:t>
            </w:r>
            <w:r>
              <w:rPr>
                <w:rFonts w:hint="eastAsia" w:ascii="宋体" w:hAnsi="宋体" w:eastAsia="宋体" w:cs="宋体"/>
                <w:b/>
                <w:bCs/>
                <w:i w:val="0"/>
                <w:iCs w:val="0"/>
                <w:color w:val="ff0000"/>
                <w:sz w:val="21"/>
                <w:szCs w:val="21"/>
                <w:highlight w:val="none"/>
                <w:u w:val="none"/>
                <w:lang w:val="en-US" w:eastAsia="zh-CN" w:bidi="ar"/>
              </w:rPr>
              <w:t xml:space="preserve">承诺函</w:t>
            </w:r>
            <w:r/>
          </w:p>
        </w:tc>
      </w:tr>
      <w:tr>
        <w:trPr/>
        <w:tc>
          <w:tcPr>
            <w:shd w:val="clear" w:color="auto" w:fill="auto"/>
            <w:tcW w:w="586" w:type="dxa"/>
            <w:vAlign w:val="center"/>
            <w:vMerge w:val="continue"/>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r>
            <w:r/>
          </w:p>
        </w:tc>
        <w:tc>
          <w:tcPr>
            <w:shd w:val="clear" w:color="auto" w:fill="auto"/>
            <w:tcW w:w="1300" w:type="dxa"/>
            <w:vAlign w:val="center"/>
            <w:vMerge w:val="continue"/>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r>
            <w:r/>
          </w:p>
        </w:tc>
        <w:tc>
          <w:tcPr>
            <w:tcW w:w="3639" w:type="dxa"/>
            <w:vAlign w:val="center"/>
            <w:textDirection w:val="lrTb"/>
            <w:noWrap w:val="false"/>
          </w:tcPr>
          <w:p>
            <w:pPr>
              <w:pStyle w:val="810"/>
              <w:numPr>
                <w:ilvl w:val="0"/>
                <w:numId w:val="0"/>
              </w:numPr>
              <w:jc w:val="left"/>
              <w:keepLines w:val="0"/>
              <w:keepNext w:val="0"/>
              <w:pageBreakBefore w:val="0"/>
              <w:spacing w:line="360" w:lineRule="exact"/>
              <w:widowControl w:val="off"/>
              <w:rPr>
                <w:rFonts w:hint="eastAsia" w:ascii="宋体" w:hAnsi="宋体" w:cs="宋体"/>
                <w:b/>
                <w:bCs/>
                <w:color w:val="auto"/>
                <w:highlight w:val="none"/>
                <w:lang w:bidi="ar"/>
              </w:rPr>
            </w:pPr>
            <w:r>
              <w:rPr>
                <w:rFonts w:hint="eastAsia" w:asciiTheme="minorEastAsia" w:hAnsiTheme="minorEastAsia" w:eastAsiaTheme="minorEastAsia" w:cstheme="minorEastAsia"/>
                <w:color w:val="auto"/>
                <w:sz w:val="21"/>
                <w:szCs w:val="21"/>
                <w:highlight w:val="none"/>
                <w:lang w:val="en-US" w:eastAsia="zh-CN" w:bidi="ar-SA"/>
              </w:rPr>
              <w:t xml:space="preserve">（2）消防联动执行:支持预设联动逻辑或接收上位机指令，通过控制数字信息输入状态直接驱动“电源切断控制柜”，实现高危区域电源的秒级切断。</w:t>
            </w:r>
            <w:r/>
          </w:p>
        </w:tc>
        <w:tc>
          <w:tcPr>
            <w:tcW w:w="3123" w:type="dxa"/>
            <w:vAlign w:val="center"/>
            <w:textDirection w:val="lrTb"/>
            <w:noWrap w:val="false"/>
          </w:tcPr>
          <w:p>
            <w:pPr>
              <w:jc w:val="left"/>
              <w:spacing w:line="320" w:lineRule="exact"/>
              <w:widowControl/>
              <w:rPr>
                <w:rFonts w:hint="eastAsia" w:ascii="宋体" w:hAnsi="宋体" w:cs="宋体"/>
                <w:b/>
                <w:bCs/>
                <w:color w:val="auto"/>
                <w:highlight w:val="none"/>
                <w:lang w:bidi="ar"/>
              </w:rPr>
            </w:pPr>
            <w:r>
              <w:rPr>
                <w:rFonts w:hint="eastAsia" w:asciiTheme="minorEastAsia" w:hAnsiTheme="minorEastAsia" w:eastAsiaTheme="minorEastAsia" w:cstheme="minorEastAsia"/>
                <w:b/>
                <w:bCs/>
                <w:color w:val="auto"/>
                <w:sz w:val="21"/>
                <w:szCs w:val="21"/>
                <w:highlight w:val="none"/>
                <w:lang w:val="en-US" w:eastAsia="zh-CN" w:bidi="ar-SA"/>
              </w:rPr>
              <w:t xml:space="preserve">提供承诺函。</w:t>
            </w:r>
            <w:r/>
          </w:p>
        </w:tc>
      </w:tr>
      <w:tr>
        <w:trPr/>
        <w:tc>
          <w:tcPr>
            <w:shd w:val="clear" w:color="auto" w:fill="auto"/>
            <w:tcW w:w="586" w:type="dxa"/>
            <w:vAlign w:val="center"/>
            <w:vMerge w:val="restart"/>
            <w:textDirection w:val="lrTb"/>
            <w:noWrap w:val="false"/>
          </w:tcPr>
          <w:p>
            <w:pPr>
              <w:jc w:val="center"/>
              <w:spacing w:line="400" w:lineRule="exact"/>
              <w:widowControl/>
              <w:rPr>
                <w:rFonts w:hint="default"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6</w:t>
            </w:r>
            <w:r/>
          </w:p>
        </w:tc>
        <w:tc>
          <w:tcPr>
            <w:shd w:val="clear" w:color="auto" w:fill="auto"/>
            <w:tcW w:w="1300" w:type="dxa"/>
            <w:vAlign w:val="center"/>
            <w:vMerge w:val="restart"/>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24电口千兆POE交换机</w:t>
            </w:r>
            <w:r/>
          </w:p>
        </w:tc>
        <w:tc>
          <w:tcPr>
            <w:tcW w:w="3639" w:type="dxa"/>
            <w:vAlign w:val="center"/>
            <w:textDirection w:val="lrTb"/>
            <w:noWrap w:val="false"/>
          </w:tcPr>
          <w:p>
            <w:pPr>
              <w:ind w:left="0"/>
              <w:jc w:val="left"/>
              <w:keepLines w:val="0"/>
              <w:keepNext w:val="0"/>
              <w:pageBreakBefore w:val="0"/>
              <w:spacing w:line="360" w:lineRule="exact"/>
              <w:widowControl/>
              <w:rPr>
                <w:rFonts w:hint="eastAsia" w:ascii="宋体" w:hAnsi="宋体" w:cs="宋体"/>
                <w:b/>
                <w:bCs/>
                <w:color w:val="auto"/>
                <w:highlight w:val="none"/>
                <w:lang w:bidi="ar"/>
              </w:rPr>
              <w:suppressLineNumbers w:val="0"/>
            </w:pPr>
            <w:r>
              <w:rPr>
                <w:rFonts w:hint="eastAsia" w:asciiTheme="minorEastAsia" w:hAnsiTheme="minorEastAsia" w:eastAsiaTheme="minorEastAsia" w:cstheme="minorEastAsia"/>
                <w:i w:val="0"/>
                <w:iCs w:val="0"/>
                <w:color w:val="auto"/>
                <w:sz w:val="21"/>
                <w:szCs w:val="21"/>
                <w:highlight w:val="none"/>
                <w:u w:val="none"/>
              </w:rPr>
              <w:t xml:space="preserve">★1. 端口配置：提供 ≥24 个 10/100/1000M 自适应以太网电口（RJ45），全部支持</w:t>
            </w:r>
            <w:r>
              <w:rPr>
                <w:rFonts w:hint="eastAsia" w:asciiTheme="minorEastAsia" w:hAnsiTheme="minorEastAsia" w:eastAsiaTheme="minorEastAsia" w:cstheme="minorEastAsia"/>
                <w:i w:val="0"/>
                <w:iCs w:val="0"/>
                <w:color w:val="auto"/>
                <w:sz w:val="21"/>
                <w:szCs w:val="21"/>
                <w:highlight w:val="none"/>
                <w:u w:val="none"/>
                <w:lang w:val="en-US" w:eastAsia="zh-CN"/>
              </w:rPr>
              <w:t xml:space="preserve">不低于</w:t>
            </w:r>
            <w:r>
              <w:rPr>
                <w:rFonts w:hint="eastAsia" w:asciiTheme="minorEastAsia" w:hAnsiTheme="minorEastAsia" w:eastAsiaTheme="minorEastAsia" w:cstheme="minorEastAsia"/>
                <w:i w:val="0"/>
                <w:iCs w:val="0"/>
                <w:color w:val="auto"/>
                <w:sz w:val="21"/>
                <w:szCs w:val="21"/>
                <w:highlight w:val="none"/>
                <w:u w:val="none"/>
              </w:rPr>
              <w:t xml:space="preserve"> IEEE 802.3at（PoE+）；提供 ≥4 个 千兆SFP光口。</w:t>
            </w:r>
            <w:r/>
          </w:p>
        </w:tc>
        <w:tc>
          <w:tcPr>
            <w:tcW w:w="3123" w:type="dxa"/>
            <w:vAlign w:val="center"/>
            <w:vMerge w:val="restart"/>
            <w:textDirection w:val="lrTb"/>
            <w:noWrap w:val="false"/>
          </w:tcPr>
          <w:p>
            <w:pPr>
              <w:jc w:val="left"/>
              <w:spacing w:line="320" w:lineRule="exact"/>
              <w:widowControl/>
              <w:rPr>
                <w:rFonts w:hint="eastAsia" w:ascii="宋体" w:hAnsi="宋体" w:cs="宋体"/>
                <w:b/>
                <w:bCs/>
                <w:color w:val="auto"/>
                <w:highlight w:val="none"/>
                <w:lang w:bidi="ar"/>
              </w:rPr>
            </w:pPr>
            <w:r>
              <w:rPr>
                <w:rFonts w:hint="eastAsia" w:asciiTheme="minorEastAsia" w:hAnsiTheme="minorEastAsia" w:eastAsiaTheme="minorEastAsia" w:cstheme="minorEastAsia"/>
                <w:b/>
                <w:bCs/>
                <w:color w:val="auto"/>
                <w:sz w:val="21"/>
                <w:szCs w:val="21"/>
                <w:highlight w:val="none"/>
                <w:lang w:val="en-US" w:eastAsia="zh-CN"/>
              </w:rPr>
              <w:t xml:space="preserve">提供原厂公开技术文档（白皮书、彩页、官网规格页截图及链接地址均可）</w:t>
            </w:r>
            <w:r/>
          </w:p>
        </w:tc>
      </w:tr>
      <w:tr>
        <w:trPr/>
        <w:tc>
          <w:tcPr>
            <w:shd w:val="clear" w:color="auto" w:fill="auto"/>
            <w:tcW w:w="586" w:type="dxa"/>
            <w:vAlign w:val="center"/>
            <w:vMerge w:val="continue"/>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r>
            <w:r/>
          </w:p>
        </w:tc>
        <w:tc>
          <w:tcPr>
            <w:shd w:val="clear" w:color="auto" w:fill="auto"/>
            <w:tcW w:w="1300" w:type="dxa"/>
            <w:vAlign w:val="center"/>
            <w:vMerge w:val="continue"/>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r>
            <w:r/>
          </w:p>
        </w:tc>
        <w:tc>
          <w:tcPr>
            <w:tcW w:w="3639" w:type="dxa"/>
            <w:vAlign w:val="center"/>
            <w:textDirection w:val="lrTb"/>
            <w:noWrap w:val="false"/>
          </w:tcPr>
          <w:p>
            <w:pPr>
              <w:ind w:left="0"/>
              <w:jc w:val="left"/>
              <w:keepLines w:val="0"/>
              <w:keepNext w:val="0"/>
              <w:pageBreakBefore w:val="0"/>
              <w:spacing w:line="36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t xml:space="preserve">★2. 交换性能：</w:t>
            </w:r>
            <w:r/>
          </w:p>
          <w:p>
            <w:pPr>
              <w:ind w:left="0"/>
              <w:jc w:val="left"/>
              <w:keepLines w:val="0"/>
              <w:keepNext w:val="0"/>
              <w:pageBreakBefore w:val="0"/>
              <w:spacing w:line="360" w:lineRule="exact"/>
              <w:widowControl/>
              <w:rPr>
                <w:rFonts w:hint="eastAsia" w:ascii="宋体" w:hAnsi="宋体" w:cs="宋体"/>
                <w:b/>
                <w:bCs/>
                <w:color w:val="auto"/>
                <w:highlight w:val="none"/>
                <w:lang w:bidi="ar"/>
              </w:rPr>
              <w:suppressLineNumbers w:val="0"/>
            </w:pPr>
            <w:r>
              <w:rPr>
                <w:rFonts w:hint="eastAsia" w:asciiTheme="minorEastAsia" w:hAnsiTheme="minorEastAsia" w:eastAsiaTheme="minorEastAsia" w:cstheme="minorEastAsia"/>
                <w:i w:val="0"/>
                <w:iCs w:val="0"/>
                <w:color w:val="auto"/>
                <w:sz w:val="21"/>
                <w:szCs w:val="21"/>
                <w:highlight w:val="none"/>
                <w:u w:val="none"/>
              </w:rPr>
              <w:t xml:space="preserve">整机交换容量 ≥</w:t>
            </w:r>
            <w:r>
              <w:rPr>
                <w:rFonts w:hint="eastAsia" w:asciiTheme="minorEastAsia" w:hAnsiTheme="minorEastAsia" w:eastAsiaTheme="minorEastAsia" w:cstheme="minorEastAsia"/>
                <w:i w:val="0"/>
                <w:iCs w:val="0"/>
                <w:color w:val="auto"/>
                <w:sz w:val="21"/>
                <w:szCs w:val="21"/>
                <w:highlight w:val="none"/>
                <w:u w:val="none"/>
                <w:lang w:val="en-US" w:eastAsia="zh-CN"/>
              </w:rPr>
              <w:t xml:space="preserve">600</w:t>
            </w:r>
            <w:r>
              <w:rPr>
                <w:rFonts w:hint="eastAsia" w:asciiTheme="minorEastAsia" w:hAnsiTheme="minorEastAsia" w:eastAsiaTheme="minorEastAsia" w:cstheme="minorEastAsia"/>
                <w:i w:val="0"/>
                <w:iCs w:val="0"/>
                <w:color w:val="auto"/>
                <w:sz w:val="21"/>
                <w:szCs w:val="21"/>
                <w:highlight w:val="none"/>
                <w:u w:val="none"/>
              </w:rPr>
              <w:t xml:space="preserve"> Gbps；整机包转发率 ≥ </w:t>
            </w:r>
            <w:r>
              <w:rPr>
                <w:rFonts w:hint="eastAsia" w:asciiTheme="minorEastAsia" w:hAnsiTheme="minorEastAsia" w:eastAsiaTheme="minorEastAsia" w:cstheme="minorEastAsia"/>
                <w:i w:val="0"/>
                <w:iCs w:val="0"/>
                <w:color w:val="auto"/>
                <w:sz w:val="21"/>
                <w:szCs w:val="21"/>
                <w:highlight w:val="none"/>
                <w:u w:val="none"/>
                <w:lang w:val="en-US" w:eastAsia="zh-CN"/>
              </w:rPr>
              <w:t xml:space="preserve">120</w:t>
            </w:r>
            <w:r>
              <w:rPr>
                <w:rFonts w:hint="eastAsia" w:asciiTheme="minorEastAsia" w:hAnsiTheme="minorEastAsia" w:eastAsiaTheme="minorEastAsia" w:cstheme="minorEastAsia"/>
                <w:i w:val="0"/>
                <w:iCs w:val="0"/>
                <w:color w:val="auto"/>
                <w:sz w:val="21"/>
                <w:szCs w:val="21"/>
                <w:highlight w:val="none"/>
                <w:u w:val="none"/>
              </w:rPr>
              <w:t xml:space="preserve"> Mpps。</w:t>
            </w:r>
            <w:r/>
          </w:p>
        </w:tc>
        <w:tc>
          <w:tcPr>
            <w:tcW w:w="3123" w:type="dxa"/>
            <w:vAlign w:val="center"/>
            <w:vMerge w:val="continue"/>
            <w:textDirection w:val="lrTb"/>
            <w:noWrap w:val="false"/>
          </w:tcPr>
          <w:p>
            <w:pPr>
              <w:jc w:val="left"/>
              <w:spacing w:line="320" w:lineRule="exact"/>
              <w:widowControl/>
              <w:rPr>
                <w:rFonts w:hint="eastAsia" w:ascii="宋体" w:hAnsi="宋体" w:cs="宋体"/>
                <w:b/>
                <w:bCs/>
                <w:color w:val="auto"/>
                <w:highlight w:val="none"/>
                <w:lang w:bidi="ar"/>
              </w:rPr>
            </w:pPr>
            <w:r>
              <w:rPr>
                <w:rFonts w:hint="eastAsia" w:ascii="宋体" w:hAnsi="宋体" w:cs="宋体"/>
                <w:b/>
                <w:bCs/>
                <w:color w:val="auto"/>
                <w:highlight w:val="none"/>
                <w:lang w:bidi="ar"/>
              </w:rPr>
            </w:r>
            <w:r/>
          </w:p>
        </w:tc>
      </w:tr>
      <w:tr>
        <w:trPr/>
        <w:tc>
          <w:tcPr>
            <w:shd w:val="clear" w:color="auto" w:fill="auto"/>
            <w:tcW w:w="586" w:type="dxa"/>
            <w:vAlign w:val="center"/>
            <w:vMerge w:val="continue"/>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r>
            <w:r/>
          </w:p>
        </w:tc>
        <w:tc>
          <w:tcPr>
            <w:shd w:val="clear" w:color="auto" w:fill="auto"/>
            <w:tcW w:w="1300" w:type="dxa"/>
            <w:vAlign w:val="center"/>
            <w:vMerge w:val="continue"/>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r>
            <w:r/>
          </w:p>
        </w:tc>
        <w:tc>
          <w:tcPr>
            <w:tcW w:w="3639" w:type="dxa"/>
            <w:vAlign w:val="center"/>
            <w:textDirection w:val="lrTb"/>
            <w:noWrap w:val="false"/>
          </w:tcPr>
          <w:p>
            <w:pPr>
              <w:ind w:left="0"/>
              <w:jc w:val="left"/>
              <w:keepLines w:val="0"/>
              <w:keepNext w:val="0"/>
              <w:pageBreakBefore w:val="0"/>
              <w:spacing w:line="360" w:lineRule="exact"/>
              <w:widowControl/>
              <w:rPr>
                <w:rFonts w:hint="eastAsia" w:ascii="宋体" w:hAnsi="宋体" w:cs="宋体"/>
                <w:b/>
                <w:bCs/>
                <w:color w:val="auto"/>
                <w:highlight w:val="none"/>
                <w:lang w:bidi="ar"/>
              </w:rPr>
              <w:suppressLineNumbers w:val="0"/>
            </w:pPr>
            <w:r>
              <w:rPr>
                <w:rFonts w:hint="eastAsia" w:asciiTheme="minorEastAsia" w:hAnsiTheme="minorEastAsia" w:eastAsiaTheme="minorEastAsia" w:cstheme="minorEastAsia"/>
                <w:i w:val="0"/>
                <w:iCs w:val="0"/>
                <w:color w:val="auto"/>
                <w:sz w:val="21"/>
                <w:szCs w:val="21"/>
                <w:highlight w:val="none"/>
                <w:u w:val="none"/>
              </w:rPr>
              <w:t xml:space="preserve">★3. PoE标准与功率：</w:t>
            </w:r>
            <w:r>
              <w:rPr>
                <w:rFonts w:hint="eastAsia" w:asciiTheme="minorEastAsia" w:hAnsiTheme="minorEastAsia" w:eastAsiaTheme="minorEastAsia" w:cstheme="minorEastAsia"/>
                <w:i w:val="0"/>
                <w:iCs w:val="0"/>
                <w:color w:val="auto"/>
                <w:sz w:val="21"/>
                <w:szCs w:val="21"/>
                <w:highlight w:val="none"/>
                <w:u w:val="none"/>
                <w:lang w:val="en-US" w:eastAsia="zh-CN"/>
              </w:rPr>
              <w:t xml:space="preserve">至少</w:t>
            </w:r>
            <w:r>
              <w:rPr>
                <w:rFonts w:hint="eastAsia" w:asciiTheme="minorEastAsia" w:hAnsiTheme="minorEastAsia" w:eastAsiaTheme="minorEastAsia" w:cstheme="minorEastAsia"/>
                <w:i w:val="0"/>
                <w:iCs w:val="0"/>
                <w:color w:val="auto"/>
                <w:sz w:val="21"/>
                <w:szCs w:val="21"/>
                <w:highlight w:val="none"/>
                <w:u w:val="none"/>
              </w:rPr>
              <w:t xml:space="preserve">支持 IEEE 802.3at（PoE+），</w:t>
            </w:r>
            <w:r>
              <w:rPr>
                <w:rFonts w:hint="eastAsia" w:asciiTheme="minorEastAsia" w:hAnsiTheme="minorEastAsia" w:eastAsiaTheme="minorEastAsia" w:cstheme="minorEastAsia"/>
                <w:color w:val="auto"/>
                <w:sz w:val="21"/>
                <w:szCs w:val="21"/>
                <w:highlight w:val="none"/>
              </w:rPr>
              <w:t xml:space="preserve">同时可POE供电端口≥24个</w:t>
            </w:r>
            <w:r>
              <w:rPr>
                <w:rFonts w:hint="eastAsia" w:asciiTheme="minorEastAsia" w:hAnsiTheme="minorEastAsia" w:eastAsiaTheme="minorEastAsia" w:cstheme="minorEastAsia"/>
                <w:i w:val="0"/>
                <w:iCs w:val="0"/>
                <w:color w:val="auto"/>
                <w:sz w:val="21"/>
                <w:szCs w:val="21"/>
                <w:highlight w:val="none"/>
                <w:u w:val="none"/>
              </w:rPr>
              <w:t xml:space="preserve">；</w:t>
            </w:r>
            <w:r>
              <w:rPr>
                <w:rFonts w:hint="eastAsia" w:asciiTheme="minorEastAsia" w:hAnsiTheme="minorEastAsia" w:eastAsiaTheme="minorEastAsia" w:cstheme="minorEastAsia"/>
                <w:i w:val="0"/>
                <w:iCs w:val="0"/>
                <w:color w:val="ff0000"/>
                <w:sz w:val="21"/>
                <w:szCs w:val="21"/>
                <w:highlight w:val="none"/>
                <w:u w:val="none"/>
              </w:rPr>
              <w:t xml:space="preserve">整机可用PoE功率 ≥ </w:t>
            </w:r>
            <w:r>
              <w:rPr>
                <w:rFonts w:hint="eastAsia" w:asciiTheme="minorEastAsia" w:hAnsiTheme="minorEastAsia" w:eastAsiaTheme="minorEastAsia" w:cstheme="minorEastAsia"/>
                <w:i w:val="0"/>
                <w:iCs w:val="0"/>
                <w:color w:val="ff0000"/>
                <w:sz w:val="21"/>
                <w:szCs w:val="21"/>
                <w:highlight w:val="none"/>
                <w:u w:val="none"/>
                <w:lang w:val="en-US" w:eastAsia="zh-CN"/>
              </w:rPr>
              <w:t xml:space="preserve">370</w:t>
            </w:r>
            <w:r>
              <w:rPr>
                <w:rFonts w:hint="eastAsia" w:asciiTheme="minorEastAsia" w:hAnsiTheme="minorEastAsia" w:eastAsiaTheme="minorEastAsia" w:cstheme="minorEastAsia"/>
                <w:i w:val="0"/>
                <w:iCs w:val="0"/>
                <w:color w:val="ff0000"/>
                <w:sz w:val="21"/>
                <w:szCs w:val="21"/>
                <w:highlight w:val="none"/>
                <w:u w:val="none"/>
              </w:rPr>
              <w:t xml:space="preserve">W。</w:t>
            </w:r>
            <w:r>
              <w:rPr>
                <w:rFonts w:hint="eastAsia" w:asciiTheme="minorEastAsia" w:hAnsiTheme="minorEastAsia" w:eastAsiaTheme="minorEastAsia" w:cstheme="minorEastAsia"/>
                <w:b/>
                <w:bCs/>
                <w:i w:val="0"/>
                <w:iCs w:val="0"/>
                <w:color w:val="ff0000"/>
                <w:sz w:val="21"/>
                <w:szCs w:val="21"/>
                <w:highlight w:val="none"/>
                <w:u w:val="none"/>
              </w:rPr>
              <w:t xml:space="preserve">（实际供电需满足学校使用需求）。</w:t>
            </w:r>
            <w:r/>
          </w:p>
        </w:tc>
        <w:tc>
          <w:tcPr>
            <w:tcW w:w="3123" w:type="dxa"/>
            <w:vAlign w:val="center"/>
            <w:vMerge w:val="continue"/>
            <w:textDirection w:val="lrTb"/>
            <w:noWrap w:val="false"/>
          </w:tcPr>
          <w:p>
            <w:pPr>
              <w:jc w:val="left"/>
              <w:spacing w:line="320" w:lineRule="exact"/>
              <w:widowControl/>
              <w:rPr>
                <w:rFonts w:hint="eastAsia" w:ascii="宋体" w:hAnsi="宋体" w:cs="宋体"/>
                <w:b/>
                <w:bCs/>
                <w:color w:val="auto"/>
                <w:highlight w:val="none"/>
                <w:lang w:bidi="ar"/>
              </w:rPr>
            </w:pPr>
            <w:r>
              <w:rPr>
                <w:rFonts w:hint="eastAsia" w:ascii="宋体" w:hAnsi="宋体" w:cs="宋体"/>
                <w:b/>
                <w:bCs/>
                <w:color w:val="auto"/>
                <w:highlight w:val="none"/>
                <w:lang w:bidi="ar"/>
              </w:rPr>
            </w:r>
            <w:r/>
          </w:p>
        </w:tc>
      </w:tr>
      <w:tr>
        <w:trPr/>
        <w:tc>
          <w:tcPr>
            <w:shd w:val="clear" w:color="auto" w:fill="auto"/>
            <w:tcW w:w="586" w:type="dxa"/>
            <w:vAlign w:val="center"/>
            <w:vMerge w:val="continue"/>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r>
            <w:r/>
          </w:p>
        </w:tc>
        <w:tc>
          <w:tcPr>
            <w:shd w:val="clear" w:color="auto" w:fill="auto"/>
            <w:tcW w:w="1300" w:type="dxa"/>
            <w:vAlign w:val="center"/>
            <w:vMerge w:val="continue"/>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r>
            <w:r/>
          </w:p>
        </w:tc>
        <w:tc>
          <w:tcPr>
            <w:tcW w:w="3639" w:type="dxa"/>
            <w:vAlign w:val="center"/>
            <w:textDirection w:val="lrTb"/>
            <w:noWrap w:val="false"/>
          </w:tcPr>
          <w:p>
            <w:pPr>
              <w:jc w:val="left"/>
              <w:keepLines w:val="0"/>
              <w:keepNext w:val="0"/>
              <w:pageBreakBefore w:val="0"/>
              <w:spacing w:line="360" w:lineRule="exact"/>
              <w:rPr>
                <w:rFonts w:hint="eastAsia" w:ascii="宋体" w:hAnsi="宋体" w:cs="宋体"/>
                <w:b/>
                <w:bCs/>
                <w:color w:val="auto"/>
                <w:highlight w:val="none"/>
                <w:lang w:bidi="ar"/>
              </w:rPr>
            </w:pPr>
            <w:r>
              <w:rPr>
                <w:rFonts w:hint="eastAsia" w:asciiTheme="minorEastAsia" w:hAnsiTheme="minorEastAsia" w:eastAsiaTheme="minorEastAsia" w:cstheme="minorEastAsia"/>
                <w:i w:val="0"/>
                <w:iCs w:val="0"/>
                <w:color w:val="auto"/>
                <w:sz w:val="21"/>
                <w:szCs w:val="21"/>
                <w:highlight w:val="none"/>
                <w:u w:val="none"/>
              </w:rPr>
              <w:t xml:space="preserve">★1</w:t>
            </w:r>
            <w:r>
              <w:rPr>
                <w:rFonts w:hint="eastAsia" w:asciiTheme="minorEastAsia" w:hAnsiTheme="minorEastAsia" w:eastAsiaTheme="minorEastAsia" w:cstheme="minorEastAsia"/>
                <w:i w:val="0"/>
                <w:iCs w:val="0"/>
                <w:color w:val="auto"/>
                <w:sz w:val="21"/>
                <w:szCs w:val="21"/>
                <w:highlight w:val="none"/>
                <w:u w:val="none"/>
                <w:lang w:val="en-US" w:eastAsia="zh-CN"/>
              </w:rPr>
              <w:t xml:space="preserve">3</w:t>
            </w:r>
            <w:r>
              <w:rPr>
                <w:rFonts w:hint="eastAsia" w:asciiTheme="minorEastAsia" w:hAnsiTheme="minorEastAsia" w:eastAsiaTheme="minorEastAsia" w:cstheme="minorEastAsia"/>
                <w:i w:val="0"/>
                <w:iCs w:val="0"/>
                <w:color w:val="auto"/>
                <w:sz w:val="21"/>
                <w:szCs w:val="21"/>
                <w:highlight w:val="none"/>
                <w:u w:val="none"/>
              </w:rPr>
              <w:t xml:space="preserve">. 电信设备进网许可（CTA）：所投产品必须具备工业和信息化部核发的有效《电信设备进网许可证》。</w:t>
            </w:r>
            <w:r/>
          </w:p>
        </w:tc>
        <w:tc>
          <w:tcPr>
            <w:tcW w:w="3123" w:type="dxa"/>
            <w:vAlign w:val="center"/>
            <w:textDirection w:val="lrTb"/>
            <w:noWrap w:val="false"/>
          </w:tcPr>
          <w:p>
            <w:pPr>
              <w:jc w:val="left"/>
              <w:spacing w:line="320" w:lineRule="exact"/>
              <w:widowControl/>
              <w:rPr>
                <w:rFonts w:hint="eastAsia" w:ascii="宋体" w:hAnsi="宋体" w:cs="宋体"/>
                <w:b/>
                <w:bCs/>
                <w:color w:val="auto"/>
                <w:highlight w:val="none"/>
                <w:lang w:bidi="ar"/>
              </w:rPr>
            </w:pPr>
            <w:r>
              <w:rPr>
                <w:rFonts w:hint="eastAsia" w:asciiTheme="minorEastAsia" w:hAnsiTheme="minorEastAsia" w:eastAsiaTheme="minorEastAsia" w:cstheme="minorEastAsia"/>
                <w:i w:val="0"/>
                <w:iCs w:val="0"/>
                <w:color w:val="auto"/>
                <w:sz w:val="21"/>
                <w:szCs w:val="21"/>
                <w:highlight w:val="none"/>
                <w:u w:val="none"/>
              </w:rPr>
              <w:t xml:space="preserve">投标时须提供：进网许可证清晰扫描件；工信部官网查询结果截图，显示设备型号、生产企业、许可证编号及状态为“有效”。</w:t>
            </w:r>
            <w:r/>
          </w:p>
        </w:tc>
      </w:tr>
      <w:tr>
        <w:trPr/>
        <w:tc>
          <w:tcPr>
            <w:shd w:val="clear" w:color="auto" w:fill="auto"/>
            <w:tcW w:w="586" w:type="dxa"/>
            <w:vAlign w:val="center"/>
            <w:vMerge w:val="continue"/>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r>
            <w:r/>
          </w:p>
        </w:tc>
        <w:tc>
          <w:tcPr>
            <w:shd w:val="clear" w:color="auto" w:fill="auto"/>
            <w:tcW w:w="1300" w:type="dxa"/>
            <w:vAlign w:val="center"/>
            <w:vMerge w:val="continue"/>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r>
            <w:r/>
          </w:p>
        </w:tc>
        <w:tc>
          <w:tcPr>
            <w:tcW w:w="3639" w:type="dxa"/>
            <w:vAlign w:val="center"/>
            <w:textDirection w:val="lrTb"/>
            <w:noWrap w:val="false"/>
          </w:tcPr>
          <w:p>
            <w:pPr>
              <w:jc w:val="left"/>
              <w:spacing w:line="320" w:lineRule="exact"/>
              <w:widowControl/>
              <w:rPr>
                <w:rFonts w:hint="eastAsia" w:ascii="宋体" w:hAnsi="宋体" w:cs="宋体"/>
                <w:b/>
                <w:bCs/>
                <w:color w:val="auto"/>
                <w:highlight w:val="none"/>
                <w:lang w:bidi="ar"/>
              </w:rPr>
            </w:pPr>
            <w:r>
              <w:rPr>
                <w:rFonts w:hint="eastAsia" w:asciiTheme="minorEastAsia" w:hAnsiTheme="minorEastAsia" w:eastAsiaTheme="minorEastAsia" w:cstheme="minorEastAsia"/>
                <w:i w:val="0"/>
                <w:iCs w:val="0"/>
                <w:color w:val="auto"/>
                <w:sz w:val="21"/>
                <w:szCs w:val="21"/>
                <w:highlight w:val="none"/>
                <w:u w:val="none"/>
              </w:rPr>
              <w:t xml:space="preserve">★</w:t>
            </w:r>
            <w:r>
              <w:rPr>
                <w:rFonts w:hint="eastAsia" w:asciiTheme="minorEastAsia" w:hAnsiTheme="minorEastAsia" w:eastAsiaTheme="minorEastAsia" w:cstheme="minorEastAsia"/>
                <w:i w:val="0"/>
                <w:iCs w:val="0"/>
                <w:color w:val="auto"/>
                <w:sz w:val="21"/>
                <w:szCs w:val="21"/>
                <w:highlight w:val="none"/>
                <w:u w:val="none"/>
                <w:lang w:val="en-US" w:eastAsia="zh-CN"/>
              </w:rPr>
              <w:t xml:space="preserve">14、与学校原有网络设备要兼容。</w:t>
            </w:r>
            <w:r/>
          </w:p>
        </w:tc>
        <w:tc>
          <w:tcPr>
            <w:tcW w:w="3123" w:type="dxa"/>
            <w:vAlign w:val="center"/>
            <w:textDirection w:val="lrTb"/>
            <w:noWrap w:val="false"/>
          </w:tcPr>
          <w:p>
            <w:pPr>
              <w:jc w:val="left"/>
              <w:spacing w:line="320" w:lineRule="exact"/>
              <w:widowControl/>
              <w:rPr>
                <w:rFonts w:hint="eastAsia" w:ascii="宋体" w:hAnsi="宋体" w:cs="宋体"/>
                <w:b/>
                <w:bCs/>
                <w:color w:val="auto"/>
                <w:highlight w:val="none"/>
                <w:lang w:bidi="ar"/>
              </w:rPr>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提供承诺函。</w:t>
            </w:r>
            <w:r/>
          </w:p>
        </w:tc>
      </w:tr>
      <w:tr>
        <w:trPr/>
        <w:tc>
          <w:tcPr>
            <w:shd w:val="clear" w:color="auto" w:fill="auto"/>
            <w:tcW w:w="586" w:type="dxa"/>
            <w:vAlign w:val="center"/>
            <w:vMerge w:val="restart"/>
            <w:textDirection w:val="lrTb"/>
            <w:noWrap w:val="false"/>
          </w:tcPr>
          <w:p>
            <w:pPr>
              <w:jc w:val="center"/>
              <w:spacing w:line="400" w:lineRule="exact"/>
              <w:widowControl/>
              <w:rPr>
                <w:rFonts w:hint="default"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7</w:t>
            </w:r>
            <w:r/>
          </w:p>
        </w:tc>
        <w:tc>
          <w:tcPr>
            <w:shd w:val="clear" w:color="auto" w:fill="auto"/>
            <w:tcW w:w="1300" w:type="dxa"/>
            <w:vAlign w:val="center"/>
            <w:vMerge w:val="restart"/>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48电口千兆POE交换机</w:t>
            </w:r>
            <w:r/>
          </w:p>
        </w:tc>
        <w:tc>
          <w:tcPr>
            <w:tcW w:w="3639" w:type="dxa"/>
            <w:vAlign w:val="center"/>
            <w:textDirection w:val="lrTb"/>
            <w:noWrap w:val="false"/>
          </w:tcPr>
          <w:p>
            <w:pPr>
              <w:ind w:left="0"/>
              <w:jc w:val="left"/>
              <w:keepLines w:val="0"/>
              <w:keepNext w:val="0"/>
              <w:pageBreakBefore w:val="0"/>
              <w:spacing w:line="360" w:lineRule="exact"/>
              <w:widowControl/>
              <w:rPr>
                <w:rFonts w:hint="eastAsia" w:ascii="宋体" w:hAnsi="宋体" w:cs="宋体"/>
                <w:b/>
                <w:bCs/>
                <w:color w:val="auto"/>
                <w:highlight w:val="none"/>
                <w:lang w:bidi="ar"/>
              </w:rPr>
              <w:suppressLineNumbers w:val="0"/>
            </w:pPr>
            <w:r>
              <w:rPr>
                <w:rFonts w:hint="eastAsia" w:asciiTheme="minorEastAsia" w:hAnsiTheme="minorEastAsia" w:eastAsiaTheme="minorEastAsia" w:cstheme="minorEastAsia"/>
                <w:i w:val="0"/>
                <w:iCs w:val="0"/>
                <w:color w:val="auto"/>
                <w:sz w:val="21"/>
                <w:szCs w:val="21"/>
                <w:highlight w:val="none"/>
                <w:u w:val="none"/>
              </w:rPr>
              <w:t xml:space="preserve">★1. 端口配置：提供 ≥</w:t>
            </w:r>
            <w:r>
              <w:rPr>
                <w:rFonts w:hint="eastAsia" w:asciiTheme="minorEastAsia" w:hAnsiTheme="minorEastAsia" w:eastAsiaTheme="minorEastAsia" w:cstheme="minorEastAsia"/>
                <w:i w:val="0"/>
                <w:iCs w:val="0"/>
                <w:color w:val="auto"/>
                <w:sz w:val="21"/>
                <w:szCs w:val="21"/>
                <w:highlight w:val="none"/>
                <w:u w:val="none"/>
                <w:lang w:val="en-US" w:eastAsia="zh-CN"/>
              </w:rPr>
              <w:t xml:space="preserve">48</w:t>
            </w:r>
            <w:r>
              <w:rPr>
                <w:rFonts w:hint="eastAsia" w:asciiTheme="minorEastAsia" w:hAnsiTheme="minorEastAsia" w:eastAsiaTheme="minorEastAsia" w:cstheme="minorEastAsia"/>
                <w:i w:val="0"/>
                <w:iCs w:val="0"/>
                <w:color w:val="auto"/>
                <w:sz w:val="21"/>
                <w:szCs w:val="21"/>
                <w:highlight w:val="none"/>
                <w:u w:val="none"/>
              </w:rPr>
              <w:t xml:space="preserve"> 个 10/100/1000M 自适应以太网电口（RJ45），全部支持</w:t>
            </w:r>
            <w:r>
              <w:rPr>
                <w:rFonts w:hint="eastAsia" w:asciiTheme="minorEastAsia" w:hAnsiTheme="minorEastAsia" w:eastAsiaTheme="minorEastAsia" w:cstheme="minorEastAsia"/>
                <w:i w:val="0"/>
                <w:iCs w:val="0"/>
                <w:color w:val="auto"/>
                <w:sz w:val="21"/>
                <w:szCs w:val="21"/>
                <w:highlight w:val="none"/>
                <w:u w:val="none"/>
                <w:lang w:val="en-US" w:eastAsia="zh-CN"/>
              </w:rPr>
              <w:t xml:space="preserve">不低于</w:t>
            </w:r>
            <w:r>
              <w:rPr>
                <w:rFonts w:hint="eastAsia" w:asciiTheme="minorEastAsia" w:hAnsiTheme="minorEastAsia" w:eastAsiaTheme="minorEastAsia" w:cstheme="minorEastAsia"/>
                <w:i w:val="0"/>
                <w:iCs w:val="0"/>
                <w:color w:val="auto"/>
                <w:sz w:val="21"/>
                <w:szCs w:val="21"/>
                <w:highlight w:val="none"/>
                <w:u w:val="none"/>
              </w:rPr>
              <w:t xml:space="preserve"> IEEE 802.3at（PoE+）；提供 ≥4 个 千兆SFP光口。</w:t>
            </w:r>
            <w:r/>
          </w:p>
        </w:tc>
        <w:tc>
          <w:tcPr>
            <w:tcW w:w="3123" w:type="dxa"/>
            <w:vAlign w:val="center"/>
            <w:vMerge w:val="restart"/>
            <w:textDirection w:val="lrTb"/>
            <w:noWrap w:val="false"/>
          </w:tcPr>
          <w:p>
            <w:pPr>
              <w:jc w:val="left"/>
              <w:spacing w:line="320" w:lineRule="exact"/>
              <w:widowControl/>
              <w:rPr>
                <w:rFonts w:hint="eastAsia" w:ascii="宋体" w:hAnsi="宋体" w:cs="宋体"/>
                <w:b/>
                <w:bCs/>
                <w:color w:val="auto"/>
                <w:highlight w:val="none"/>
                <w:lang w:bidi="ar"/>
              </w:rPr>
            </w:pPr>
            <w:r>
              <w:rPr>
                <w:rFonts w:hint="eastAsia" w:asciiTheme="minorEastAsia" w:hAnsiTheme="minorEastAsia" w:eastAsiaTheme="minorEastAsia" w:cstheme="minorEastAsia"/>
                <w:b/>
                <w:bCs/>
                <w:color w:val="auto"/>
                <w:sz w:val="21"/>
                <w:szCs w:val="21"/>
                <w:highlight w:val="none"/>
                <w:lang w:val="en-US" w:eastAsia="zh-CN"/>
              </w:rPr>
              <w:t xml:space="preserve">提供原厂公开技术文档（白皮书、彩页、官网规格页截图及链接地址均可）</w:t>
            </w:r>
            <w:r/>
          </w:p>
        </w:tc>
      </w:tr>
      <w:tr>
        <w:trPr/>
        <w:tc>
          <w:tcPr>
            <w:shd w:val="clear" w:color="auto" w:fill="auto"/>
            <w:tcW w:w="586" w:type="dxa"/>
            <w:vAlign w:val="center"/>
            <w:vMerge w:val="continue"/>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r>
            <w:r/>
          </w:p>
        </w:tc>
        <w:tc>
          <w:tcPr>
            <w:shd w:val="clear" w:color="auto" w:fill="auto"/>
            <w:tcW w:w="1300" w:type="dxa"/>
            <w:vAlign w:val="center"/>
            <w:vMerge w:val="continue"/>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r>
            <w:r/>
          </w:p>
        </w:tc>
        <w:tc>
          <w:tcPr>
            <w:tcW w:w="3639" w:type="dxa"/>
            <w:vAlign w:val="center"/>
            <w:textDirection w:val="lrTb"/>
            <w:noWrap w:val="false"/>
          </w:tcPr>
          <w:p>
            <w:pPr>
              <w:ind w:left="0"/>
              <w:jc w:val="left"/>
              <w:keepLines w:val="0"/>
              <w:keepNext w:val="0"/>
              <w:pageBreakBefore w:val="0"/>
              <w:spacing w:line="36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t xml:space="preserve">★2. 交换性能：</w:t>
            </w:r>
            <w:r/>
          </w:p>
          <w:p>
            <w:pPr>
              <w:ind w:left="0"/>
              <w:jc w:val="left"/>
              <w:keepLines w:val="0"/>
              <w:keepNext w:val="0"/>
              <w:pageBreakBefore w:val="0"/>
              <w:spacing w:line="360" w:lineRule="exact"/>
              <w:widowControl/>
              <w:rPr>
                <w:rFonts w:hint="eastAsia" w:ascii="宋体" w:hAnsi="宋体" w:cs="宋体"/>
                <w:b/>
                <w:bCs/>
                <w:color w:val="auto"/>
                <w:highlight w:val="none"/>
                <w:lang w:bidi="ar"/>
              </w:rPr>
              <w:suppressLineNumbers w:val="0"/>
            </w:pPr>
            <w:r>
              <w:rPr>
                <w:rFonts w:hint="eastAsia" w:asciiTheme="minorEastAsia" w:hAnsiTheme="minorEastAsia" w:eastAsiaTheme="minorEastAsia" w:cstheme="minorEastAsia"/>
                <w:i w:val="0"/>
                <w:iCs w:val="0"/>
                <w:color w:val="auto"/>
                <w:sz w:val="21"/>
                <w:szCs w:val="21"/>
                <w:highlight w:val="none"/>
                <w:u w:val="none"/>
              </w:rPr>
              <w:t xml:space="preserve">整机交换容量 ≥</w:t>
            </w:r>
            <w:r>
              <w:rPr>
                <w:rFonts w:hint="eastAsia" w:asciiTheme="minorEastAsia" w:hAnsiTheme="minorEastAsia" w:eastAsiaTheme="minorEastAsia" w:cstheme="minorEastAsia"/>
                <w:i w:val="0"/>
                <w:iCs w:val="0"/>
                <w:color w:val="auto"/>
                <w:sz w:val="21"/>
                <w:szCs w:val="21"/>
                <w:highlight w:val="none"/>
                <w:u w:val="none"/>
                <w:lang w:val="en-US" w:eastAsia="zh-CN"/>
              </w:rPr>
              <w:t xml:space="preserve">600</w:t>
            </w:r>
            <w:r>
              <w:rPr>
                <w:rFonts w:hint="eastAsia" w:asciiTheme="minorEastAsia" w:hAnsiTheme="minorEastAsia" w:eastAsiaTheme="minorEastAsia" w:cstheme="minorEastAsia"/>
                <w:i w:val="0"/>
                <w:iCs w:val="0"/>
                <w:color w:val="auto"/>
                <w:sz w:val="21"/>
                <w:szCs w:val="21"/>
                <w:highlight w:val="none"/>
                <w:u w:val="none"/>
              </w:rPr>
              <w:t xml:space="preserve"> Gbps；整机包转发率 ≥ </w:t>
            </w:r>
            <w:r>
              <w:rPr>
                <w:rFonts w:hint="eastAsia" w:asciiTheme="minorEastAsia" w:hAnsiTheme="minorEastAsia" w:eastAsiaTheme="minorEastAsia" w:cstheme="minorEastAsia"/>
                <w:i w:val="0"/>
                <w:iCs w:val="0"/>
                <w:color w:val="auto"/>
                <w:sz w:val="21"/>
                <w:szCs w:val="21"/>
                <w:highlight w:val="none"/>
                <w:u w:val="none"/>
                <w:lang w:val="en-US" w:eastAsia="zh-CN"/>
              </w:rPr>
              <w:t xml:space="preserve">120</w:t>
            </w:r>
            <w:r>
              <w:rPr>
                <w:rFonts w:hint="eastAsia" w:asciiTheme="minorEastAsia" w:hAnsiTheme="minorEastAsia" w:eastAsiaTheme="minorEastAsia" w:cstheme="minorEastAsia"/>
                <w:i w:val="0"/>
                <w:iCs w:val="0"/>
                <w:color w:val="auto"/>
                <w:sz w:val="21"/>
                <w:szCs w:val="21"/>
                <w:highlight w:val="none"/>
                <w:u w:val="none"/>
              </w:rPr>
              <w:t xml:space="preserve"> Mpps。</w:t>
            </w:r>
            <w:r/>
          </w:p>
        </w:tc>
        <w:tc>
          <w:tcPr>
            <w:tcW w:w="3123" w:type="dxa"/>
            <w:vAlign w:val="center"/>
            <w:vMerge w:val="continue"/>
            <w:textDirection w:val="lrTb"/>
            <w:noWrap w:val="false"/>
          </w:tcPr>
          <w:p>
            <w:pPr>
              <w:jc w:val="left"/>
              <w:spacing w:line="320" w:lineRule="exact"/>
              <w:widowControl/>
              <w:rPr>
                <w:rFonts w:hint="eastAsia" w:ascii="宋体" w:hAnsi="宋体" w:cs="宋体"/>
                <w:b/>
                <w:bCs/>
                <w:color w:val="auto"/>
                <w:highlight w:val="none"/>
                <w:lang w:bidi="ar"/>
              </w:rPr>
            </w:pPr>
            <w:r>
              <w:rPr>
                <w:rFonts w:hint="eastAsia" w:ascii="宋体" w:hAnsi="宋体" w:cs="宋体"/>
                <w:b/>
                <w:bCs/>
                <w:color w:val="auto"/>
                <w:highlight w:val="none"/>
                <w:lang w:bidi="ar"/>
              </w:rPr>
            </w:r>
            <w:r/>
          </w:p>
        </w:tc>
      </w:tr>
      <w:tr>
        <w:trPr/>
        <w:tc>
          <w:tcPr>
            <w:shd w:val="clear" w:color="auto" w:fill="auto"/>
            <w:tcW w:w="586" w:type="dxa"/>
            <w:vAlign w:val="center"/>
            <w:vMerge w:val="continue"/>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r>
            <w:r/>
          </w:p>
        </w:tc>
        <w:tc>
          <w:tcPr>
            <w:shd w:val="clear" w:color="auto" w:fill="auto"/>
            <w:tcW w:w="1300" w:type="dxa"/>
            <w:vAlign w:val="center"/>
            <w:vMerge w:val="continue"/>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r>
            <w:r/>
          </w:p>
        </w:tc>
        <w:tc>
          <w:tcPr>
            <w:tcW w:w="3639" w:type="dxa"/>
            <w:vAlign w:val="center"/>
            <w:textDirection w:val="lrTb"/>
            <w:noWrap w:val="false"/>
          </w:tcPr>
          <w:p>
            <w:pPr>
              <w:ind w:left="0"/>
              <w:jc w:val="left"/>
              <w:keepLines w:val="0"/>
              <w:keepNext w:val="0"/>
              <w:pageBreakBefore w:val="0"/>
              <w:spacing w:line="360" w:lineRule="exact"/>
              <w:widowControl/>
              <w:rPr>
                <w:rFonts w:hint="eastAsia" w:ascii="宋体" w:hAnsi="宋体" w:cs="宋体"/>
                <w:b/>
                <w:bCs/>
                <w:color w:val="auto"/>
                <w:highlight w:val="none"/>
                <w:lang w:bidi="ar"/>
              </w:rPr>
              <w:suppressLineNumbers w:val="0"/>
            </w:pPr>
            <w:r>
              <w:rPr>
                <w:rFonts w:hint="eastAsia" w:asciiTheme="minorEastAsia" w:hAnsiTheme="minorEastAsia" w:eastAsiaTheme="minorEastAsia" w:cstheme="minorEastAsia"/>
                <w:i w:val="0"/>
                <w:iCs w:val="0"/>
                <w:color w:val="auto"/>
                <w:sz w:val="21"/>
                <w:szCs w:val="21"/>
                <w:highlight w:val="none"/>
                <w:u w:val="none"/>
              </w:rPr>
              <w:t xml:space="preserve">★3. PoE标准与功率：</w:t>
            </w:r>
            <w:r>
              <w:rPr>
                <w:rFonts w:hint="eastAsia" w:asciiTheme="minorEastAsia" w:hAnsiTheme="minorEastAsia" w:eastAsiaTheme="minorEastAsia" w:cstheme="minorEastAsia"/>
                <w:i w:val="0"/>
                <w:iCs w:val="0"/>
                <w:color w:val="auto"/>
                <w:sz w:val="21"/>
                <w:szCs w:val="21"/>
                <w:highlight w:val="none"/>
                <w:u w:val="none"/>
                <w:lang w:val="en-US" w:eastAsia="zh-CN"/>
              </w:rPr>
              <w:t xml:space="preserve">至少</w:t>
            </w:r>
            <w:r>
              <w:rPr>
                <w:rFonts w:hint="eastAsia" w:asciiTheme="minorEastAsia" w:hAnsiTheme="minorEastAsia" w:eastAsiaTheme="minorEastAsia" w:cstheme="minorEastAsia"/>
                <w:i w:val="0"/>
                <w:iCs w:val="0"/>
                <w:color w:val="auto"/>
                <w:sz w:val="21"/>
                <w:szCs w:val="21"/>
                <w:highlight w:val="none"/>
                <w:u w:val="none"/>
              </w:rPr>
              <w:t xml:space="preserve">支持 IEEE 802.3at（PoE+），</w:t>
            </w:r>
            <w:r>
              <w:rPr>
                <w:rFonts w:hint="eastAsia" w:asciiTheme="minorEastAsia" w:hAnsiTheme="minorEastAsia" w:eastAsiaTheme="minorEastAsia" w:cstheme="minorEastAsia"/>
                <w:color w:val="ff0000"/>
                <w:sz w:val="21"/>
                <w:szCs w:val="21"/>
                <w:highlight w:val="none"/>
              </w:rPr>
              <w:t xml:space="preserve">同时可POE供电端口≥</w:t>
            </w:r>
            <w:r>
              <w:rPr>
                <w:rFonts w:hint="eastAsia" w:asciiTheme="minorEastAsia" w:hAnsiTheme="minorEastAsia" w:eastAsiaTheme="minorEastAsia" w:cstheme="minorEastAsia"/>
                <w:color w:val="ff0000"/>
                <w:sz w:val="21"/>
                <w:szCs w:val="21"/>
                <w:highlight w:val="none"/>
                <w:lang w:val="en-US" w:eastAsia="zh-CN"/>
              </w:rPr>
              <w:t xml:space="preserve">48</w:t>
            </w:r>
            <w:r>
              <w:rPr>
                <w:rFonts w:hint="eastAsia" w:asciiTheme="minorEastAsia" w:hAnsiTheme="minorEastAsia" w:eastAsiaTheme="minorEastAsia" w:cstheme="minorEastAsia"/>
                <w:color w:val="ff0000"/>
                <w:sz w:val="21"/>
                <w:szCs w:val="21"/>
                <w:highlight w:val="none"/>
              </w:rPr>
              <w:t xml:space="preserve">个</w:t>
            </w:r>
            <w:r>
              <w:rPr>
                <w:rFonts w:hint="eastAsia" w:asciiTheme="minorEastAsia" w:hAnsiTheme="minorEastAsia" w:eastAsiaTheme="minorEastAsia" w:cstheme="minorEastAsia"/>
                <w:i w:val="0"/>
                <w:iCs w:val="0"/>
                <w:color w:val="ff0000"/>
                <w:sz w:val="21"/>
                <w:szCs w:val="21"/>
                <w:highlight w:val="none"/>
                <w:u w:val="none"/>
              </w:rPr>
              <w:t xml:space="preserve">；整机可用PoE功率 ≥ </w:t>
            </w:r>
            <w:r>
              <w:rPr>
                <w:rFonts w:hint="eastAsia" w:asciiTheme="minorEastAsia" w:hAnsiTheme="minorEastAsia" w:eastAsiaTheme="minorEastAsia" w:cstheme="minorEastAsia"/>
                <w:i w:val="0"/>
                <w:iCs w:val="0"/>
                <w:color w:val="ff0000"/>
                <w:sz w:val="21"/>
                <w:szCs w:val="21"/>
                <w:highlight w:val="none"/>
                <w:u w:val="none"/>
                <w:lang w:val="en-US" w:eastAsia="zh-CN"/>
              </w:rPr>
              <w:t xml:space="preserve">720</w:t>
            </w:r>
            <w:r>
              <w:rPr>
                <w:rFonts w:hint="eastAsia" w:asciiTheme="minorEastAsia" w:hAnsiTheme="minorEastAsia" w:eastAsiaTheme="minorEastAsia" w:cstheme="minorEastAsia"/>
                <w:i w:val="0"/>
                <w:iCs w:val="0"/>
                <w:color w:val="ff0000"/>
                <w:sz w:val="21"/>
                <w:szCs w:val="21"/>
                <w:highlight w:val="none"/>
                <w:u w:val="none"/>
              </w:rPr>
              <w:t xml:space="preserve">W。</w:t>
            </w:r>
            <w:r>
              <w:rPr>
                <w:rFonts w:hint="eastAsia" w:asciiTheme="minorEastAsia" w:hAnsiTheme="minorEastAsia" w:eastAsiaTheme="minorEastAsia" w:cstheme="minorEastAsia"/>
                <w:b/>
                <w:bCs/>
                <w:i w:val="0"/>
                <w:iCs w:val="0"/>
                <w:color w:val="ff0000"/>
                <w:sz w:val="21"/>
                <w:szCs w:val="21"/>
                <w:highlight w:val="none"/>
                <w:u w:val="none"/>
              </w:rPr>
              <w:t xml:space="preserve">（实际供电需满足学校使用需求）。</w:t>
            </w:r>
            <w:r/>
          </w:p>
        </w:tc>
        <w:tc>
          <w:tcPr>
            <w:tcW w:w="3123" w:type="dxa"/>
            <w:vAlign w:val="center"/>
            <w:vMerge w:val="continue"/>
            <w:textDirection w:val="lrTb"/>
            <w:noWrap w:val="false"/>
          </w:tcPr>
          <w:p>
            <w:pPr>
              <w:jc w:val="left"/>
              <w:spacing w:line="320" w:lineRule="exact"/>
              <w:widowControl/>
              <w:rPr>
                <w:rFonts w:hint="eastAsia" w:ascii="宋体" w:hAnsi="宋体" w:cs="宋体"/>
                <w:b/>
                <w:bCs/>
                <w:color w:val="auto"/>
                <w:highlight w:val="none"/>
                <w:lang w:bidi="ar"/>
              </w:rPr>
            </w:pPr>
            <w:r>
              <w:rPr>
                <w:rFonts w:hint="eastAsia" w:ascii="宋体" w:hAnsi="宋体" w:cs="宋体"/>
                <w:b/>
                <w:bCs/>
                <w:color w:val="auto"/>
                <w:highlight w:val="none"/>
                <w:lang w:bidi="ar"/>
              </w:rPr>
            </w:r>
            <w:r/>
          </w:p>
        </w:tc>
      </w:tr>
      <w:tr>
        <w:trPr/>
        <w:tc>
          <w:tcPr>
            <w:shd w:val="clear" w:color="auto" w:fill="auto"/>
            <w:tcW w:w="586" w:type="dxa"/>
            <w:vAlign w:val="center"/>
            <w:vMerge w:val="continue"/>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r>
            <w:r/>
          </w:p>
        </w:tc>
        <w:tc>
          <w:tcPr>
            <w:shd w:val="clear" w:color="auto" w:fill="auto"/>
            <w:tcW w:w="1300" w:type="dxa"/>
            <w:vAlign w:val="center"/>
            <w:vMerge w:val="continue"/>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r>
            <w:r/>
          </w:p>
        </w:tc>
        <w:tc>
          <w:tcPr>
            <w:tcW w:w="3639" w:type="dxa"/>
            <w:vAlign w:val="center"/>
            <w:textDirection w:val="lrTb"/>
            <w:noWrap w:val="false"/>
          </w:tcPr>
          <w:p>
            <w:pPr>
              <w:jc w:val="left"/>
              <w:keepLines w:val="0"/>
              <w:keepNext w:val="0"/>
              <w:pageBreakBefore w:val="0"/>
              <w:spacing w:line="360" w:lineRule="exact"/>
              <w:rPr>
                <w:rFonts w:hint="eastAsia" w:ascii="宋体" w:hAnsi="宋体" w:cs="宋体"/>
                <w:b/>
                <w:bCs/>
                <w:color w:val="auto"/>
                <w:highlight w:val="none"/>
                <w:lang w:bidi="ar"/>
              </w:rPr>
            </w:pPr>
            <w:r>
              <w:rPr>
                <w:rFonts w:hint="eastAsia" w:asciiTheme="minorEastAsia" w:hAnsiTheme="minorEastAsia" w:eastAsiaTheme="minorEastAsia" w:cstheme="minorEastAsia"/>
                <w:i w:val="0"/>
                <w:iCs w:val="0"/>
                <w:color w:val="auto"/>
                <w:sz w:val="21"/>
                <w:szCs w:val="21"/>
                <w:highlight w:val="none"/>
                <w:u w:val="none"/>
              </w:rPr>
              <w:t xml:space="preserve">★1</w:t>
            </w:r>
            <w:r>
              <w:rPr>
                <w:rFonts w:hint="eastAsia" w:asciiTheme="minorEastAsia" w:hAnsiTheme="minorEastAsia" w:eastAsiaTheme="minorEastAsia" w:cstheme="minorEastAsia"/>
                <w:i w:val="0"/>
                <w:iCs w:val="0"/>
                <w:color w:val="auto"/>
                <w:sz w:val="21"/>
                <w:szCs w:val="21"/>
                <w:highlight w:val="none"/>
                <w:u w:val="none"/>
                <w:lang w:val="en-US" w:eastAsia="zh-CN"/>
              </w:rPr>
              <w:t xml:space="preserve">3</w:t>
            </w:r>
            <w:r>
              <w:rPr>
                <w:rFonts w:hint="eastAsia" w:asciiTheme="minorEastAsia" w:hAnsiTheme="minorEastAsia" w:eastAsiaTheme="minorEastAsia" w:cstheme="minorEastAsia"/>
                <w:i w:val="0"/>
                <w:iCs w:val="0"/>
                <w:color w:val="auto"/>
                <w:sz w:val="21"/>
                <w:szCs w:val="21"/>
                <w:highlight w:val="none"/>
                <w:u w:val="none"/>
              </w:rPr>
              <w:t xml:space="preserve">. 电信设备进网许可（CTA）：所投产品必须具备工业和信息化部核发的有效《电信设备进网许可证》。</w:t>
            </w:r>
            <w:r/>
          </w:p>
        </w:tc>
        <w:tc>
          <w:tcPr>
            <w:tcW w:w="3123" w:type="dxa"/>
            <w:vAlign w:val="center"/>
            <w:textDirection w:val="lrTb"/>
            <w:noWrap w:val="false"/>
          </w:tcPr>
          <w:p>
            <w:pPr>
              <w:jc w:val="left"/>
              <w:spacing w:line="320" w:lineRule="exact"/>
              <w:widowControl/>
              <w:rPr>
                <w:rFonts w:hint="eastAsia" w:ascii="宋体" w:hAnsi="宋体" w:cs="宋体"/>
                <w:b/>
                <w:bCs/>
                <w:color w:val="auto"/>
                <w:highlight w:val="none"/>
                <w:lang w:bidi="ar"/>
              </w:rPr>
            </w:pPr>
            <w:r>
              <w:rPr>
                <w:rFonts w:hint="eastAsia" w:asciiTheme="minorEastAsia" w:hAnsiTheme="minorEastAsia" w:eastAsiaTheme="minorEastAsia" w:cstheme="minorEastAsia"/>
                <w:i w:val="0"/>
                <w:iCs w:val="0"/>
                <w:color w:val="auto"/>
                <w:sz w:val="21"/>
                <w:szCs w:val="21"/>
                <w:highlight w:val="none"/>
                <w:u w:val="none"/>
              </w:rPr>
              <w:t xml:space="preserve">投标时须提供：进网许可证清晰扫描件；工信部官网查询结果截图，显示设备型号、生产企业、许可证编号及状态为“有效”。</w:t>
            </w:r>
            <w:r/>
          </w:p>
        </w:tc>
      </w:tr>
      <w:tr>
        <w:trPr/>
        <w:tc>
          <w:tcPr>
            <w:shd w:val="clear" w:color="auto" w:fill="auto"/>
            <w:tcW w:w="586" w:type="dxa"/>
            <w:vAlign w:val="center"/>
            <w:vMerge w:val="continue"/>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r>
            <w:r/>
          </w:p>
        </w:tc>
        <w:tc>
          <w:tcPr>
            <w:shd w:val="clear" w:color="auto" w:fill="auto"/>
            <w:tcW w:w="1300" w:type="dxa"/>
            <w:vAlign w:val="center"/>
            <w:vMerge w:val="continue"/>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r>
            <w:r/>
          </w:p>
        </w:tc>
        <w:tc>
          <w:tcPr>
            <w:tcW w:w="3639" w:type="dxa"/>
            <w:vAlign w:val="center"/>
            <w:textDirection w:val="lrTb"/>
            <w:noWrap w:val="false"/>
          </w:tcPr>
          <w:p>
            <w:pPr>
              <w:jc w:val="left"/>
              <w:spacing w:line="320" w:lineRule="exact"/>
              <w:widowControl/>
              <w:rPr>
                <w:rFonts w:hint="eastAsia" w:ascii="宋体" w:hAnsi="宋体" w:cs="宋体"/>
                <w:b/>
                <w:bCs/>
                <w:color w:val="auto"/>
                <w:highlight w:val="none"/>
                <w:lang w:bidi="ar"/>
              </w:rPr>
            </w:pPr>
            <w:r>
              <w:rPr>
                <w:rFonts w:hint="eastAsia" w:asciiTheme="minorEastAsia" w:hAnsiTheme="minorEastAsia" w:eastAsiaTheme="minorEastAsia" w:cstheme="minorEastAsia"/>
                <w:i w:val="0"/>
                <w:iCs w:val="0"/>
                <w:color w:val="auto"/>
                <w:sz w:val="21"/>
                <w:szCs w:val="21"/>
                <w:highlight w:val="none"/>
                <w:u w:val="none"/>
              </w:rPr>
              <w:t xml:space="preserve">★</w:t>
            </w:r>
            <w:r>
              <w:rPr>
                <w:rFonts w:hint="eastAsia" w:asciiTheme="minorEastAsia" w:hAnsiTheme="minorEastAsia" w:eastAsiaTheme="minorEastAsia" w:cstheme="minorEastAsia"/>
                <w:i w:val="0"/>
                <w:iCs w:val="0"/>
                <w:color w:val="auto"/>
                <w:sz w:val="21"/>
                <w:szCs w:val="21"/>
                <w:highlight w:val="none"/>
                <w:u w:val="none"/>
                <w:lang w:val="en-US" w:eastAsia="zh-CN"/>
              </w:rPr>
              <w:t xml:space="preserve">14、与学校原有网络设备要兼容。</w:t>
            </w:r>
            <w:r/>
          </w:p>
        </w:tc>
        <w:tc>
          <w:tcPr>
            <w:tcW w:w="3123" w:type="dxa"/>
            <w:vAlign w:val="center"/>
            <w:textDirection w:val="lrTb"/>
            <w:noWrap w:val="false"/>
          </w:tcPr>
          <w:p>
            <w:pPr>
              <w:jc w:val="left"/>
              <w:spacing w:line="320" w:lineRule="exact"/>
              <w:widowControl/>
              <w:rPr>
                <w:rFonts w:hint="eastAsia" w:ascii="宋体" w:hAnsi="宋体" w:cs="宋体"/>
                <w:b/>
                <w:bCs/>
                <w:color w:val="auto"/>
                <w:highlight w:val="none"/>
                <w:lang w:bidi="ar"/>
              </w:rPr>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提供承诺函。</w:t>
            </w:r>
            <w:r/>
          </w:p>
        </w:tc>
      </w:tr>
      <w:tr>
        <w:trPr/>
        <w:tc>
          <w:tcPr>
            <w:shd w:val="clear" w:color="auto" w:fill="auto"/>
            <w:tcW w:w="586" w:type="dxa"/>
            <w:vAlign w:val="center"/>
            <w:vMerge w:val="restart"/>
            <w:textDirection w:val="lrTb"/>
            <w:noWrap w:val="false"/>
          </w:tcPr>
          <w:p>
            <w:pPr>
              <w:jc w:val="center"/>
              <w:spacing w:line="400" w:lineRule="exact"/>
              <w:widowControl/>
              <w:rPr>
                <w:rFonts w:hint="default"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8</w:t>
            </w:r>
            <w:r/>
          </w:p>
        </w:tc>
        <w:tc>
          <w:tcPr>
            <w:shd w:val="clear" w:color="auto" w:fill="auto"/>
            <w:tcW w:w="1300" w:type="dxa"/>
            <w:vAlign w:val="center"/>
            <w:vMerge w:val="restart"/>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8电口千兆POE交换机</w:t>
            </w:r>
            <w:r/>
          </w:p>
        </w:tc>
        <w:tc>
          <w:tcPr>
            <w:tcW w:w="3639" w:type="dxa"/>
            <w:vAlign w:val="center"/>
            <w:textDirection w:val="lrTb"/>
            <w:noWrap w:val="false"/>
          </w:tcPr>
          <w:p>
            <w:pPr>
              <w:ind w:left="0"/>
              <w:jc w:val="left"/>
              <w:keepLines w:val="0"/>
              <w:keepNext w:val="0"/>
              <w:pageBreakBefore w:val="0"/>
              <w:spacing w:line="360" w:lineRule="exact"/>
              <w:widowControl/>
              <w:rPr>
                <w:rFonts w:hint="eastAsia" w:ascii="宋体" w:hAnsi="宋体" w:cs="宋体"/>
                <w:b/>
                <w:bCs/>
                <w:color w:val="auto"/>
                <w:highlight w:val="none"/>
                <w:lang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★1.交换能力≥256Gbps ，包转发速率≥25Mpps，≥8个千兆电口，≥1个1G SPF千兆光口。</w:t>
            </w:r>
            <w:r/>
          </w:p>
        </w:tc>
        <w:tc>
          <w:tcPr>
            <w:tcW w:w="3123" w:type="dxa"/>
            <w:vAlign w:val="center"/>
            <w:textDirection w:val="lrTb"/>
            <w:noWrap w:val="false"/>
          </w:tcPr>
          <w:p>
            <w:pPr>
              <w:ind w:left="0"/>
              <w:jc w:val="left"/>
              <w:keepLines w:val="0"/>
              <w:keepNext w:val="0"/>
              <w:pageBreakBefore w:val="0"/>
              <w:spacing w:line="360" w:lineRule="exact"/>
              <w:widowControl/>
              <w:rPr>
                <w:rFonts w:hint="eastAsia" w:ascii="宋体" w:hAnsi="宋体" w:cs="宋体"/>
                <w:b/>
                <w:bCs/>
                <w:color w:val="auto"/>
                <w:highlight w:val="none"/>
                <w:lang w:bidi="ar"/>
              </w:rPr>
              <w:suppressLineNumbers w:val="0"/>
            </w:pPr>
            <w:r>
              <w:rPr>
                <w:rFonts w:hint="eastAsia" w:asciiTheme="minorEastAsia" w:hAnsiTheme="minorEastAsia" w:eastAsiaTheme="minorEastAsia" w:cstheme="minorEastAsia"/>
                <w:b/>
                <w:bCs/>
                <w:color w:val="auto"/>
                <w:sz w:val="21"/>
                <w:szCs w:val="21"/>
                <w:highlight w:val="none"/>
                <w:lang w:val="en-US" w:eastAsia="zh-CN"/>
              </w:rPr>
              <w:t xml:space="preserve">提供原厂公开技术文档（白皮书、彩页、官网规格页截图及链接地址均可）</w:t>
            </w:r>
            <w:r/>
          </w:p>
        </w:tc>
      </w:tr>
      <w:tr>
        <w:trPr/>
        <w:tc>
          <w:tcPr>
            <w:shd w:val="clear" w:color="auto" w:fill="auto"/>
            <w:tcW w:w="586" w:type="dxa"/>
            <w:vAlign w:val="center"/>
            <w:vMerge w:val="continue"/>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r>
            <w:r/>
          </w:p>
        </w:tc>
        <w:tc>
          <w:tcPr>
            <w:shd w:val="clear" w:color="auto" w:fill="auto"/>
            <w:tcW w:w="1300" w:type="dxa"/>
            <w:vAlign w:val="center"/>
            <w:vMerge w:val="continue"/>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r>
            <w:r/>
          </w:p>
        </w:tc>
        <w:tc>
          <w:tcPr>
            <w:tcW w:w="3639" w:type="dxa"/>
            <w:vAlign w:val="center"/>
            <w:textDirection w:val="lrTb"/>
            <w:noWrap w:val="false"/>
          </w:tcPr>
          <w:p>
            <w:pPr>
              <w:ind w:left="0"/>
              <w:jc w:val="left"/>
              <w:keepLines w:val="0"/>
              <w:keepNext w:val="0"/>
              <w:pageBreakBefore w:val="0"/>
              <w:spacing w:line="360" w:lineRule="exact"/>
              <w:widowControl/>
              <w:rPr>
                <w:rFonts w:hint="eastAsia" w:ascii="宋体" w:hAnsi="宋体" w:cs="宋体"/>
                <w:b/>
                <w:bCs/>
                <w:color w:val="auto"/>
                <w:highlight w:val="none"/>
                <w:lang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★2.支持802.3at POE+功能 ；POE功率≥120W。实际供电需满足学校使用需求。</w:t>
            </w:r>
            <w:r/>
          </w:p>
        </w:tc>
        <w:tc>
          <w:tcPr>
            <w:tcW w:w="3123" w:type="dxa"/>
            <w:vAlign w:val="center"/>
            <w:textDirection w:val="lrTb"/>
            <w:noWrap w:val="false"/>
          </w:tcPr>
          <w:p>
            <w:pPr>
              <w:jc w:val="left"/>
              <w:spacing w:line="320" w:lineRule="exact"/>
              <w:widowControl/>
              <w:rPr>
                <w:rFonts w:hint="eastAsia" w:ascii="宋体" w:hAnsi="宋体" w:cs="宋体"/>
                <w:b/>
                <w:bCs/>
                <w:color w:val="auto"/>
                <w:highlight w:val="none"/>
                <w:lang w:bidi="ar"/>
              </w:rPr>
            </w:pPr>
            <w:r>
              <w:rPr>
                <w:rFonts w:hint="eastAsia" w:asciiTheme="minorEastAsia" w:hAnsiTheme="minorEastAsia" w:eastAsiaTheme="minorEastAsia" w:cstheme="minorEastAsia"/>
                <w:b/>
                <w:bCs/>
                <w:color w:val="auto"/>
                <w:sz w:val="21"/>
                <w:szCs w:val="21"/>
                <w:highlight w:val="none"/>
                <w:lang w:val="en-US" w:eastAsia="zh-CN"/>
              </w:rPr>
              <w:t xml:space="preserve">提供原厂公开技术文档（白皮书、彩页、官网规格页截图及链接地址均可）</w:t>
            </w:r>
            <w:r/>
          </w:p>
        </w:tc>
      </w:tr>
      <w:tr>
        <w:trPr/>
        <w:tc>
          <w:tcPr>
            <w:shd w:val="clear" w:color="auto" w:fill="auto"/>
            <w:tcW w:w="586" w:type="dxa"/>
            <w:vAlign w:val="center"/>
            <w:vMerge w:val="continue"/>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r>
            <w:r/>
          </w:p>
        </w:tc>
        <w:tc>
          <w:tcPr>
            <w:shd w:val="clear" w:color="auto" w:fill="auto"/>
            <w:tcW w:w="1300" w:type="dxa"/>
            <w:vAlign w:val="center"/>
            <w:vMerge w:val="continue"/>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r>
            <w:r/>
          </w:p>
        </w:tc>
        <w:tc>
          <w:tcPr>
            <w:tcW w:w="3639" w:type="dxa"/>
            <w:vAlign w:val="center"/>
            <w:textDirection w:val="lrTb"/>
            <w:noWrap w:val="false"/>
          </w:tcPr>
          <w:p>
            <w:pPr>
              <w:jc w:val="left"/>
              <w:keepLines w:val="0"/>
              <w:keepNext w:val="0"/>
              <w:pageBreakBefore w:val="0"/>
              <w:spacing w:line="360" w:lineRule="exact"/>
              <w:rPr>
                <w:rFonts w:hint="eastAsia" w:ascii="宋体" w:hAnsi="宋体" w:cs="宋体"/>
                <w:b/>
                <w:bCs/>
                <w:color w:val="auto"/>
                <w:highlight w:val="none"/>
                <w:lang w:bidi="ar"/>
              </w:rPr>
            </w:pPr>
            <w:r>
              <w:rPr>
                <w:rFonts w:hint="eastAsia" w:asciiTheme="minorEastAsia" w:hAnsiTheme="minorEastAsia" w:eastAsiaTheme="minorEastAsia" w:cstheme="minorEastAsia"/>
                <w:i w:val="0"/>
                <w:iCs w:val="0"/>
                <w:color w:val="auto"/>
                <w:sz w:val="21"/>
                <w:szCs w:val="21"/>
                <w:highlight w:val="none"/>
                <w:u w:val="none"/>
              </w:rPr>
              <w:t xml:space="preserve">★1</w:t>
            </w:r>
            <w:r>
              <w:rPr>
                <w:rFonts w:hint="eastAsia" w:asciiTheme="minorEastAsia" w:hAnsiTheme="minorEastAsia" w:eastAsiaTheme="minorEastAsia" w:cstheme="minorEastAsia"/>
                <w:i w:val="0"/>
                <w:iCs w:val="0"/>
                <w:color w:val="auto"/>
                <w:sz w:val="21"/>
                <w:szCs w:val="21"/>
                <w:highlight w:val="none"/>
                <w:u w:val="none"/>
                <w:lang w:val="en-US" w:eastAsia="zh-CN"/>
              </w:rPr>
              <w:t xml:space="preserve">1</w:t>
            </w:r>
            <w:r>
              <w:rPr>
                <w:rFonts w:hint="eastAsia" w:asciiTheme="minorEastAsia" w:hAnsiTheme="minorEastAsia" w:eastAsiaTheme="minorEastAsia" w:cstheme="minorEastAsia"/>
                <w:i w:val="0"/>
                <w:iCs w:val="0"/>
                <w:color w:val="auto"/>
                <w:sz w:val="21"/>
                <w:szCs w:val="21"/>
                <w:highlight w:val="none"/>
                <w:u w:val="none"/>
              </w:rPr>
              <w:t xml:space="preserve">. 电信设备进网许可（CTA）：所投产品必须具备工业和信息化部核发的有效《电信设备进网许可证》。</w:t>
            </w:r>
            <w:r/>
          </w:p>
        </w:tc>
        <w:tc>
          <w:tcPr>
            <w:tcW w:w="3123" w:type="dxa"/>
            <w:vAlign w:val="center"/>
            <w:textDirection w:val="lrTb"/>
            <w:noWrap w:val="false"/>
          </w:tcPr>
          <w:p>
            <w:pPr>
              <w:jc w:val="left"/>
              <w:spacing w:line="320" w:lineRule="exact"/>
              <w:widowControl/>
              <w:rPr>
                <w:rFonts w:hint="eastAsia" w:ascii="宋体" w:hAnsi="宋体" w:cs="宋体"/>
                <w:b/>
                <w:bCs/>
                <w:color w:val="auto"/>
                <w:highlight w:val="none"/>
                <w:lang w:bidi="ar"/>
              </w:rPr>
            </w:pPr>
            <w:r>
              <w:rPr>
                <w:rFonts w:hint="eastAsia" w:asciiTheme="minorEastAsia" w:hAnsiTheme="minorEastAsia" w:eastAsiaTheme="minorEastAsia" w:cstheme="minorEastAsia"/>
                <w:i w:val="0"/>
                <w:iCs w:val="0"/>
                <w:color w:val="auto"/>
                <w:sz w:val="21"/>
                <w:szCs w:val="21"/>
                <w:highlight w:val="none"/>
                <w:u w:val="none"/>
              </w:rPr>
              <w:t xml:space="preserve">投标时须提供：进网许可证清晰扫描件；工信部官网查询结果截图，显示设备型号、生产企业、许可证编号及状态为“有效”。</w:t>
            </w:r>
            <w:r/>
          </w:p>
        </w:tc>
      </w:tr>
      <w:tr>
        <w:trPr/>
        <w:tc>
          <w:tcPr>
            <w:shd w:val="clear" w:color="auto" w:fill="auto"/>
            <w:tcW w:w="586" w:type="dxa"/>
            <w:vAlign w:val="center"/>
            <w:vMerge w:val="continue"/>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r>
            <w:r/>
          </w:p>
        </w:tc>
        <w:tc>
          <w:tcPr>
            <w:shd w:val="clear" w:color="auto" w:fill="auto"/>
            <w:tcW w:w="1300" w:type="dxa"/>
            <w:vAlign w:val="center"/>
            <w:vMerge w:val="continue"/>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r>
            <w:r/>
          </w:p>
        </w:tc>
        <w:tc>
          <w:tcPr>
            <w:tcW w:w="3639" w:type="dxa"/>
            <w:vAlign w:val="center"/>
            <w:textDirection w:val="lrTb"/>
            <w:noWrap w:val="false"/>
          </w:tcPr>
          <w:p>
            <w:pPr>
              <w:jc w:val="left"/>
              <w:spacing w:line="320" w:lineRule="exact"/>
              <w:widowControl/>
              <w:rPr>
                <w:rFonts w:hint="eastAsia" w:ascii="宋体" w:hAnsi="宋体" w:cs="宋体"/>
                <w:b/>
                <w:bCs/>
                <w:color w:val="auto"/>
                <w:highlight w:val="none"/>
                <w:lang w:bidi="ar"/>
              </w:rPr>
            </w:pPr>
            <w:r>
              <w:rPr>
                <w:rFonts w:hint="eastAsia" w:asciiTheme="minorEastAsia" w:hAnsiTheme="minorEastAsia" w:eastAsiaTheme="minorEastAsia" w:cstheme="minorEastAsia"/>
                <w:i w:val="0"/>
                <w:iCs w:val="0"/>
                <w:color w:val="auto"/>
                <w:sz w:val="21"/>
                <w:szCs w:val="21"/>
                <w:highlight w:val="none"/>
                <w:u w:val="none"/>
              </w:rPr>
              <w:t xml:space="preserve">★</w:t>
            </w:r>
            <w:r>
              <w:rPr>
                <w:rFonts w:hint="eastAsia" w:asciiTheme="minorEastAsia" w:hAnsiTheme="minorEastAsia" w:eastAsiaTheme="minorEastAsia" w:cstheme="minorEastAsia"/>
                <w:i w:val="0"/>
                <w:iCs w:val="0"/>
                <w:color w:val="auto"/>
                <w:sz w:val="21"/>
                <w:szCs w:val="21"/>
                <w:highlight w:val="none"/>
                <w:u w:val="none"/>
                <w:lang w:val="en-US" w:eastAsia="zh-CN"/>
              </w:rPr>
              <w:t xml:space="preserve">12、与学校原有网络设备要兼容。</w:t>
            </w:r>
            <w:r/>
          </w:p>
        </w:tc>
        <w:tc>
          <w:tcPr>
            <w:tcW w:w="3123" w:type="dxa"/>
            <w:vAlign w:val="center"/>
            <w:textDirection w:val="lrTb"/>
            <w:noWrap w:val="false"/>
          </w:tcPr>
          <w:p>
            <w:pPr>
              <w:jc w:val="left"/>
              <w:spacing w:line="320" w:lineRule="exact"/>
              <w:widowControl/>
              <w:rPr>
                <w:rFonts w:hint="eastAsia" w:ascii="宋体" w:hAnsi="宋体" w:cs="宋体"/>
                <w:b/>
                <w:bCs/>
                <w:color w:val="auto"/>
                <w:highlight w:val="none"/>
                <w:lang w:bidi="ar"/>
              </w:rPr>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提供承诺函。</w:t>
            </w:r>
            <w:r/>
          </w:p>
        </w:tc>
      </w:tr>
      <w:tr>
        <w:trPr/>
        <w:tc>
          <w:tcPr>
            <w:shd w:val="clear" w:color="auto" w:fill="auto"/>
            <w:tcW w:w="586" w:type="dxa"/>
            <w:vAlign w:val="center"/>
            <w:vMerge w:val="restart"/>
            <w:textDirection w:val="lrTb"/>
            <w:noWrap w:val="false"/>
          </w:tcPr>
          <w:p>
            <w:pPr>
              <w:jc w:val="center"/>
              <w:keepLines w:val="0"/>
              <w:keepNext w:val="0"/>
              <w:pageBreakBefore w:val="0"/>
              <w:spacing w:line="360" w:lineRule="exact"/>
              <w:widowControl/>
              <w:rPr>
                <w:rFonts w:hint="eastAsia" w:asciiTheme="minorEastAsia" w:hAnsiTheme="minorEastAsia" w:eastAsiaTheme="minorEastAsia" w:cstheme="minorEastAsia"/>
                <w:color w:val="auto"/>
                <w:sz w:val="21"/>
                <w:szCs w:val="21"/>
                <w:highlight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12</w:t>
            </w:r>
            <w:r/>
          </w:p>
        </w:tc>
        <w:tc>
          <w:tcPr>
            <w:shd w:val="clear" w:color="auto" w:fill="auto"/>
            <w:tcW w:w="1300" w:type="dxa"/>
            <w:vAlign w:val="center"/>
            <w:vMerge w:val="restart"/>
            <w:textDirection w:val="lrTb"/>
            <w:noWrap w:val="false"/>
          </w:tcPr>
          <w:p>
            <w:pPr>
              <w:jc w:val="center"/>
              <w:keepLines w:val="0"/>
              <w:keepNext w:val="0"/>
              <w:pageBreakBefore w:val="0"/>
              <w:spacing w:line="360" w:lineRule="exact"/>
              <w:widowControl/>
              <w:rPr>
                <w:rFonts w:hint="eastAsia" w:asciiTheme="minorEastAsia" w:hAnsiTheme="minorEastAsia" w:eastAsiaTheme="minorEastAsia" w:cstheme="minorEastAsia"/>
                <w:color w:val="auto"/>
                <w:sz w:val="21"/>
                <w:szCs w:val="21"/>
                <w:highlight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六类4对非屏蔽双绞线</w:t>
            </w:r>
            <w:r/>
          </w:p>
        </w:tc>
        <w:tc>
          <w:tcPr>
            <w:tcW w:w="3639" w:type="dxa"/>
            <w:vAlign w:val="center"/>
            <w:textDirection w:val="lrTb"/>
            <w:noWrap w:val="false"/>
          </w:tcPr>
          <w:p>
            <w:pPr>
              <w:jc w:val="left"/>
              <w:keepLines w:val="0"/>
              <w:keepNext w:val="0"/>
              <w:pageBreakBefore w:val="0"/>
              <w:spacing w:line="360" w:lineRule="exact"/>
              <w:widowControl/>
              <w:rPr>
                <w:rFonts w:hint="eastAsia" w:ascii="宋体" w:hAnsi="宋体" w:cs="宋体"/>
                <w:b/>
                <w:bCs/>
                <w:color w:val="auto"/>
                <w:highlight w:val="none"/>
                <w:lang w:bidi="ar"/>
              </w:rPr>
              <w:suppressLineNumbers w:val="0"/>
            </w:pP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★1.线规：6类电缆（250 MHz），23AWG、导体材料为纯度不低于99.9%实心无氧铜（OFC），线芯：带十字芯骨架。</w:t>
            </w:r>
            <w:r/>
          </w:p>
        </w:tc>
        <w:tc>
          <w:tcPr>
            <w:tcW w:w="3123" w:type="dxa"/>
            <w:vAlign w:val="center"/>
            <w:textDirection w:val="lrTb"/>
            <w:noWrap w:val="false"/>
          </w:tcPr>
          <w:p>
            <w:pPr>
              <w:jc w:val="left"/>
              <w:spacing w:line="320" w:lineRule="exact"/>
              <w:widowControl/>
              <w:rPr>
                <w:rFonts w:hint="eastAsia" w:ascii="宋体" w:hAnsi="宋体" w:cs="宋体"/>
                <w:b/>
                <w:bCs/>
                <w:color w:val="auto"/>
                <w:highlight w:val="none"/>
                <w:lang w:bidi="ar"/>
              </w:rPr>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提供承诺函或</w:t>
            </w:r>
            <w:r>
              <w:rPr>
                <w:rFonts w:hint="eastAsia" w:asciiTheme="minorEastAsia" w:hAnsiTheme="minorEastAsia" w:eastAsiaTheme="minorEastAsia" w:cstheme="minorEastAsia"/>
                <w:b/>
                <w:bCs/>
                <w:color w:val="auto"/>
                <w:sz w:val="21"/>
                <w:szCs w:val="21"/>
                <w:highlight w:val="none"/>
                <w:lang w:val="en-US" w:eastAsia="zh-CN"/>
              </w:rPr>
              <w:t xml:space="preserve">提供原厂公开技术文档（白皮书、彩页、官网规格页截图及链接地址均可）。</w:t>
            </w:r>
            <w:r/>
          </w:p>
        </w:tc>
      </w:tr>
      <w:tr>
        <w:trPr/>
        <w:tc>
          <w:tcPr>
            <w:shd w:val="clear" w:color="auto" w:fill="auto"/>
            <w:tcW w:w="586" w:type="dxa"/>
            <w:vAlign w:val="center"/>
            <w:vMerge w:val="continue"/>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r>
            <w:r/>
          </w:p>
        </w:tc>
        <w:tc>
          <w:tcPr>
            <w:shd w:val="clear" w:color="auto" w:fill="auto"/>
            <w:tcW w:w="1300" w:type="dxa"/>
            <w:vAlign w:val="center"/>
            <w:vMerge w:val="continue"/>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r>
            <w:r/>
          </w:p>
        </w:tc>
        <w:tc>
          <w:tcPr>
            <w:tcW w:w="3639" w:type="dxa"/>
            <w:vAlign w:val="center"/>
            <w:textDirection w:val="lrTb"/>
            <w:noWrap w:val="false"/>
          </w:tcPr>
          <w:p>
            <w:pPr>
              <w:jc w:val="left"/>
              <w:spacing w:line="320" w:lineRule="exact"/>
              <w:widowControl/>
              <w:rPr>
                <w:rFonts w:hint="eastAsia" w:ascii="宋体" w:hAnsi="宋体" w:cs="宋体"/>
                <w:b/>
                <w:bCs/>
                <w:color w:val="auto"/>
                <w:highlight w:val="none"/>
                <w:lang w:bidi="ar"/>
              </w:rPr>
            </w:pP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★6.承诺所投产品符合YD/T 1019-2023等现行国家或行业标准针对双绞多芯对称电缆的要求。</w:t>
            </w:r>
            <w:r/>
          </w:p>
        </w:tc>
        <w:tc>
          <w:tcPr>
            <w:tcW w:w="3123" w:type="dxa"/>
            <w:vAlign w:val="center"/>
            <w:textDirection w:val="lrTb"/>
            <w:noWrap w:val="false"/>
          </w:tcPr>
          <w:p>
            <w:pPr>
              <w:jc w:val="left"/>
              <w:spacing w:line="320" w:lineRule="exact"/>
              <w:widowControl/>
              <w:rPr>
                <w:rFonts w:hint="eastAsia" w:ascii="宋体" w:hAnsi="宋体" w:cs="宋体"/>
                <w:b/>
                <w:bCs/>
                <w:color w:val="auto"/>
                <w:highlight w:val="none"/>
                <w:lang w:bidi="ar"/>
              </w:rPr>
            </w:pP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提供承诺函（格式自拟）。</w:t>
            </w:r>
            <w:r/>
          </w:p>
        </w:tc>
      </w:tr>
      <w:tr>
        <w:trPr/>
        <w:tc>
          <w:tcPr>
            <w:shd w:val="clear" w:color="auto" w:fill="auto"/>
            <w:tcW w:w="586" w:type="dxa"/>
            <w:vAlign w:val="center"/>
            <w:textDirection w:val="lrTb"/>
            <w:noWrap w:val="false"/>
          </w:tcPr>
          <w:p>
            <w:pPr>
              <w:jc w:val="center"/>
              <w:keepLines w:val="0"/>
              <w:keepNext w:val="0"/>
              <w:pageBreakBefore w:val="0"/>
              <w:spacing w:line="360" w:lineRule="exact"/>
              <w:widowControl/>
              <w:rPr>
                <w:rFonts w:hint="eastAsia" w:asciiTheme="minorEastAsia" w:hAnsiTheme="minorEastAsia" w:eastAsiaTheme="minorEastAsia" w:cstheme="minorEastAsia"/>
                <w:color w:val="auto"/>
                <w:sz w:val="21"/>
                <w:szCs w:val="21"/>
                <w:highlight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14</w:t>
            </w:r>
            <w:r/>
          </w:p>
        </w:tc>
        <w:tc>
          <w:tcPr>
            <w:shd w:val="clear" w:color="auto" w:fill="auto"/>
            <w:tcW w:w="1300" w:type="dxa"/>
            <w:vAlign w:val="center"/>
            <w:textDirection w:val="lrTb"/>
            <w:noWrap w:val="false"/>
          </w:tcPr>
          <w:p>
            <w:pPr>
              <w:jc w:val="center"/>
              <w:keepLines w:val="0"/>
              <w:keepNext w:val="0"/>
              <w:pageBreakBefore w:val="0"/>
              <w:spacing w:line="360" w:lineRule="exact"/>
              <w:widowControl/>
              <w:rPr>
                <w:rFonts w:hint="eastAsia" w:asciiTheme="minorEastAsia" w:hAnsiTheme="minorEastAsia" w:eastAsiaTheme="minorEastAsia" w:cstheme="minorEastAsia"/>
                <w:color w:val="auto"/>
                <w:sz w:val="21"/>
                <w:szCs w:val="21"/>
                <w:highlight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4芯室外单模光缆</w:t>
            </w:r>
            <w:r/>
          </w:p>
        </w:tc>
        <w:tc>
          <w:tcPr>
            <w:tcW w:w="3639" w:type="dxa"/>
            <w:vAlign w:val="center"/>
            <w:vMerge w:val="restart"/>
            <w:textDirection w:val="lrTb"/>
            <w:noWrap w:val="false"/>
          </w:tcPr>
          <w:p>
            <w:pPr>
              <w:jc w:val="left"/>
              <w:spacing w:line="320" w:lineRule="exact"/>
              <w:widowControl/>
              <w:rPr>
                <w:rFonts w:hint="eastAsia" w:ascii="宋体" w:hAnsi="宋体" w:cs="宋体"/>
                <w:b/>
                <w:bCs/>
                <w:color w:val="auto"/>
                <w:highlight w:val="none"/>
                <w:lang w:bidi="ar"/>
              </w:rPr>
            </w:pP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★7.承诺所投产品符合YD/T 901-2018等现行国家或行业标准针对室外光纤的要求。</w:t>
            </w:r>
            <w:r/>
          </w:p>
        </w:tc>
        <w:tc>
          <w:tcPr>
            <w:tcW w:w="3123" w:type="dxa"/>
            <w:vAlign w:val="center"/>
            <w:vMerge w:val="restart"/>
            <w:textDirection w:val="lrTb"/>
            <w:noWrap w:val="false"/>
          </w:tcPr>
          <w:p>
            <w:pPr>
              <w:jc w:val="left"/>
              <w:spacing w:line="320" w:lineRule="exact"/>
              <w:widowControl/>
              <w:rPr>
                <w:rFonts w:hint="eastAsia" w:ascii="宋体" w:hAnsi="宋体" w:cs="宋体"/>
                <w:b/>
                <w:bCs/>
                <w:color w:val="auto"/>
                <w:highlight w:val="none"/>
                <w:lang w:bidi="ar"/>
              </w:rPr>
            </w:pP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提供承诺函（格式自拟）。</w:t>
            </w:r>
            <w:r/>
          </w:p>
        </w:tc>
      </w:tr>
      <w:tr>
        <w:trPr/>
        <w:tc>
          <w:tcPr>
            <w:shd w:val="clear" w:color="auto" w:fill="auto"/>
            <w:tcW w:w="586" w:type="dxa"/>
            <w:vAlign w:val="center"/>
            <w:textDirection w:val="lrTb"/>
            <w:noWrap w:val="false"/>
          </w:tcPr>
          <w:p>
            <w:pPr>
              <w:jc w:val="center"/>
              <w:keepLines w:val="0"/>
              <w:keepNext w:val="0"/>
              <w:pageBreakBefore w:val="0"/>
              <w:spacing w:line="360" w:lineRule="exact"/>
              <w:widowControl/>
              <w:rPr>
                <w:rFonts w:hint="eastAsia" w:asciiTheme="minorEastAsia" w:hAnsiTheme="minorEastAsia" w:eastAsiaTheme="minorEastAsia" w:cstheme="minorEastAsia"/>
                <w:color w:val="auto"/>
                <w:sz w:val="21"/>
                <w:szCs w:val="21"/>
                <w:highlight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15</w:t>
            </w:r>
            <w:r/>
          </w:p>
        </w:tc>
        <w:tc>
          <w:tcPr>
            <w:shd w:val="clear" w:color="auto" w:fill="auto"/>
            <w:tcW w:w="1300" w:type="dxa"/>
            <w:vAlign w:val="center"/>
            <w:textDirection w:val="lrTb"/>
            <w:noWrap w:val="false"/>
          </w:tcPr>
          <w:p>
            <w:pPr>
              <w:jc w:val="center"/>
              <w:keepLines w:val="0"/>
              <w:keepNext w:val="0"/>
              <w:pageBreakBefore w:val="0"/>
              <w:spacing w:line="360" w:lineRule="exact"/>
              <w:widowControl/>
              <w:rPr>
                <w:rFonts w:hint="eastAsia" w:asciiTheme="minorEastAsia" w:hAnsiTheme="minorEastAsia" w:eastAsiaTheme="minorEastAsia" w:cstheme="minorEastAsia"/>
                <w:color w:val="auto"/>
                <w:sz w:val="21"/>
                <w:szCs w:val="21"/>
                <w:highlight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6芯室外单模光缆</w:t>
            </w:r>
            <w:r/>
          </w:p>
        </w:tc>
        <w:tc>
          <w:tcPr>
            <w:tcW w:w="3639" w:type="dxa"/>
            <w:vAlign w:val="center"/>
            <w:vMerge w:val="continue"/>
            <w:textDirection w:val="lrTb"/>
            <w:noWrap w:val="false"/>
          </w:tcPr>
          <w:p>
            <w:pPr>
              <w:jc w:val="left"/>
              <w:spacing w:line="320" w:lineRule="exact"/>
              <w:widowControl/>
              <w:rPr>
                <w:rFonts w:hint="eastAsia" w:ascii="宋体" w:hAnsi="宋体" w:cs="宋体"/>
                <w:b/>
                <w:bCs/>
                <w:color w:val="auto"/>
                <w:highlight w:val="none"/>
                <w:lang w:bidi="ar"/>
              </w:rPr>
            </w:pPr>
            <w:r>
              <w:rPr>
                <w:rFonts w:hint="eastAsia" w:ascii="宋体" w:hAnsi="宋体" w:cs="宋体"/>
                <w:b/>
                <w:bCs/>
                <w:color w:val="auto"/>
                <w:highlight w:val="none"/>
                <w:lang w:bidi="ar"/>
              </w:rPr>
            </w:r>
            <w:r/>
          </w:p>
        </w:tc>
        <w:tc>
          <w:tcPr>
            <w:tcW w:w="3123" w:type="dxa"/>
            <w:vAlign w:val="center"/>
            <w:vMerge w:val="continue"/>
            <w:textDirection w:val="lrTb"/>
            <w:noWrap w:val="false"/>
          </w:tcPr>
          <w:p>
            <w:pPr>
              <w:jc w:val="left"/>
              <w:spacing w:line="320" w:lineRule="exact"/>
              <w:widowControl/>
              <w:rPr>
                <w:rFonts w:hint="eastAsia" w:ascii="宋体" w:hAnsi="宋体" w:cs="宋体"/>
                <w:b/>
                <w:bCs/>
                <w:color w:val="auto"/>
                <w:highlight w:val="none"/>
                <w:lang w:bidi="ar"/>
              </w:rPr>
            </w:pPr>
            <w:r>
              <w:rPr>
                <w:rFonts w:hint="eastAsia" w:ascii="宋体" w:hAnsi="宋体" w:cs="宋体"/>
                <w:b/>
                <w:bCs/>
                <w:color w:val="auto"/>
                <w:highlight w:val="none"/>
                <w:lang w:bidi="ar"/>
              </w:rPr>
            </w:r>
            <w:r/>
          </w:p>
        </w:tc>
      </w:tr>
      <w:tr>
        <w:trPr/>
        <w:tc>
          <w:tcPr>
            <w:shd w:val="clear" w:color="auto" w:fill="auto"/>
            <w:tcW w:w="586" w:type="dxa"/>
            <w:vAlign w:val="center"/>
            <w:textDirection w:val="lrTb"/>
            <w:noWrap w:val="false"/>
          </w:tcPr>
          <w:p>
            <w:pPr>
              <w:jc w:val="center"/>
              <w:keepLines w:val="0"/>
              <w:keepNext w:val="0"/>
              <w:pageBreakBefore w:val="0"/>
              <w:spacing w:line="360" w:lineRule="exact"/>
              <w:widowControl/>
              <w:rPr>
                <w:rFonts w:hint="eastAsia" w:asciiTheme="minorEastAsia" w:hAnsiTheme="minorEastAsia" w:eastAsiaTheme="minorEastAsia" w:cstheme="minorEastAsia"/>
                <w:color w:val="auto"/>
                <w:sz w:val="21"/>
                <w:szCs w:val="21"/>
                <w:highlight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16</w:t>
            </w:r>
            <w:r/>
          </w:p>
        </w:tc>
        <w:tc>
          <w:tcPr>
            <w:shd w:val="clear" w:color="auto" w:fill="auto"/>
            <w:tcW w:w="1300" w:type="dxa"/>
            <w:vAlign w:val="center"/>
            <w:textDirection w:val="lrTb"/>
            <w:noWrap w:val="false"/>
          </w:tcPr>
          <w:p>
            <w:pPr>
              <w:jc w:val="center"/>
              <w:keepLines w:val="0"/>
              <w:keepNext w:val="0"/>
              <w:pageBreakBefore w:val="0"/>
              <w:spacing w:line="360" w:lineRule="exact"/>
              <w:widowControl/>
              <w:rPr>
                <w:rFonts w:hint="eastAsia" w:asciiTheme="minorEastAsia" w:hAnsiTheme="minorEastAsia" w:eastAsiaTheme="minorEastAsia" w:cstheme="minorEastAsia"/>
                <w:color w:val="auto"/>
                <w:sz w:val="21"/>
                <w:szCs w:val="21"/>
                <w:highlight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8芯室内单模光缆</w:t>
            </w:r>
            <w:r/>
          </w:p>
        </w:tc>
        <w:tc>
          <w:tcPr>
            <w:tcW w:w="3639" w:type="dxa"/>
            <w:vAlign w:val="center"/>
            <w:textDirection w:val="lrTb"/>
            <w:noWrap w:val="false"/>
          </w:tcPr>
          <w:p>
            <w:pPr>
              <w:jc w:val="left"/>
              <w:spacing w:line="320" w:lineRule="exact"/>
              <w:widowControl/>
              <w:rPr>
                <w:rFonts w:hint="eastAsia" w:ascii="宋体" w:hAnsi="宋体" w:cs="宋体"/>
                <w:b/>
                <w:bCs/>
                <w:color w:val="auto"/>
                <w:highlight w:val="none"/>
                <w:lang w:bidi="ar"/>
              </w:rPr>
            </w:pPr>
            <w:r>
              <w:rPr>
                <w:rFonts w:hint="eastAsia" w:asciiTheme="minorEastAsia" w:hAnsiTheme="minorEastAsia" w:eastAsiaTheme="minorEastAsia" w:cstheme="minorEastAsia"/>
                <w:b w:val="0"/>
                <w:bCs w:val="0"/>
                <w:color w:val="auto"/>
                <w:sz w:val="21"/>
                <w:szCs w:val="21"/>
                <w:highlight w:val="none"/>
              </w:rPr>
              <w:t xml:space="preserve">★</w:t>
            </w:r>
            <w:r>
              <w:rPr>
                <w:rFonts w:hint="eastAsia" w:asciiTheme="minorEastAsia" w:hAnsiTheme="minorEastAsia" w:eastAsiaTheme="minorEastAsia" w:cstheme="minorEastAsia"/>
                <w:b w:val="0"/>
                <w:bCs w:val="0"/>
                <w:color w:val="auto"/>
                <w:sz w:val="21"/>
                <w:szCs w:val="21"/>
                <w:highlight w:val="none"/>
                <w:lang w:val="en-US" w:eastAsia="zh-CN"/>
              </w:rPr>
              <w:t xml:space="preserve">7</w:t>
            </w:r>
            <w:r>
              <w:rPr>
                <w:rFonts w:hint="eastAsia" w:asciiTheme="minorEastAsia" w:hAnsiTheme="minorEastAsia" w:eastAsiaTheme="minorEastAsia" w:cstheme="minorEastAsia"/>
                <w:b w:val="0"/>
                <w:bCs w:val="0"/>
                <w:color w:val="auto"/>
                <w:sz w:val="21"/>
                <w:szCs w:val="21"/>
                <w:highlight w:val="none"/>
              </w:rPr>
              <w:t xml:space="preserve">.承诺所投产品符合GB/T 9771.3-2020或YD/T1258.4-2019</w:t>
            </w:r>
            <w:r>
              <w:rPr>
                <w:rFonts w:hint="eastAsia" w:asciiTheme="minorEastAsia" w:hAnsiTheme="minorEastAsia" w:eastAsiaTheme="minorEastAsia" w:cstheme="minorEastAsia"/>
                <w:b w:val="0"/>
                <w:bCs w:val="0"/>
                <w:color w:val="auto"/>
                <w:sz w:val="21"/>
                <w:szCs w:val="21"/>
                <w:highlight w:val="none"/>
                <w:lang w:val="en-US" w:eastAsia="zh-CN"/>
              </w:rPr>
              <w:t xml:space="preserve">或（</w:t>
            </w:r>
            <w:r>
              <w:rPr>
                <w:rFonts w:hint="eastAsia" w:asciiTheme="minorEastAsia" w:hAnsiTheme="minorEastAsia" w:eastAsiaTheme="minorEastAsia" w:cstheme="minorEastAsia"/>
                <w:b w:val="0"/>
                <w:bCs w:val="0"/>
                <w:color w:val="auto"/>
                <w:sz w:val="21"/>
                <w:szCs w:val="21"/>
                <w:highlight w:val="none"/>
              </w:rPr>
              <w:t xml:space="preserve">ANSI/TIA-568-3.D-2016、ANSI/TIA-568-C.3-2008</w:t>
            </w:r>
            <w:r>
              <w:rPr>
                <w:rFonts w:hint="eastAsia" w:asciiTheme="minorEastAsia" w:hAnsiTheme="minorEastAsia" w:eastAsiaTheme="minorEastAsia" w:cstheme="minorEastAsia"/>
                <w:b w:val="0"/>
                <w:bCs w:val="0"/>
                <w:color w:val="auto"/>
                <w:sz w:val="21"/>
                <w:szCs w:val="21"/>
                <w:highlight w:val="none"/>
                <w:lang w:eastAsia="zh-CN"/>
              </w:rPr>
              <w:t xml:space="preserve">）</w:t>
            </w:r>
            <w:r>
              <w:rPr>
                <w:rFonts w:hint="eastAsia" w:asciiTheme="minorEastAsia" w:hAnsiTheme="minorEastAsia" w:eastAsiaTheme="minorEastAsia" w:cstheme="minorEastAsia"/>
                <w:b w:val="0"/>
                <w:bCs w:val="0"/>
                <w:color w:val="auto"/>
                <w:sz w:val="21"/>
                <w:szCs w:val="21"/>
                <w:highlight w:val="none"/>
              </w:rPr>
              <w:t xml:space="preserve">等现行国家或行业标准针对室内光纤的要求</w:t>
            </w:r>
            <w:r>
              <w:rPr>
                <w:rFonts w:hint="eastAsia" w:asciiTheme="minorEastAsia" w:hAnsiTheme="minorEastAsia" w:eastAsiaTheme="minorEastAsia" w:cstheme="minorEastAsia"/>
                <w:b w:val="0"/>
                <w:bCs w:val="0"/>
                <w:color w:val="auto"/>
                <w:sz w:val="21"/>
                <w:szCs w:val="21"/>
                <w:highlight w:val="none"/>
                <w:lang w:eastAsia="zh-CN"/>
              </w:rPr>
              <w:t xml:space="preserve">。</w:t>
            </w:r>
            <w:r/>
          </w:p>
        </w:tc>
        <w:tc>
          <w:tcPr>
            <w:tcW w:w="3123" w:type="dxa"/>
            <w:vAlign w:val="center"/>
            <w:textDirection w:val="lrTb"/>
            <w:noWrap w:val="false"/>
          </w:tcPr>
          <w:p>
            <w:pPr>
              <w:jc w:val="left"/>
              <w:spacing w:line="320" w:lineRule="exact"/>
              <w:widowControl/>
              <w:rPr>
                <w:rFonts w:hint="eastAsia" w:ascii="宋体" w:hAnsi="宋体" w:cs="宋体"/>
                <w:b/>
                <w:bCs/>
                <w:color w:val="auto"/>
                <w:highlight w:val="none"/>
                <w:lang w:bidi="ar"/>
              </w:rPr>
            </w:pPr>
            <w:r>
              <w:rPr>
                <w:rFonts w:hint="eastAsia" w:asciiTheme="minorEastAsia" w:hAnsiTheme="minorEastAsia" w:eastAsiaTheme="minorEastAsia" w:cstheme="minorEastAsia"/>
                <w:b w:val="0"/>
                <w:bCs w:val="0"/>
                <w:color w:val="auto"/>
                <w:sz w:val="21"/>
                <w:szCs w:val="21"/>
                <w:highlight w:val="none"/>
              </w:rPr>
              <w:t xml:space="preserve">提供承诺函</w:t>
            </w:r>
            <w:r>
              <w:rPr>
                <w:rFonts w:hint="eastAsia" w:asciiTheme="minorEastAsia" w:hAnsiTheme="minorEastAsia" w:eastAsiaTheme="minorEastAsia" w:cstheme="minorEastAsia"/>
                <w:b w:val="0"/>
                <w:bCs w:val="0"/>
                <w:color w:val="auto"/>
                <w:sz w:val="21"/>
                <w:szCs w:val="21"/>
                <w:highlight w:val="none"/>
                <w:lang w:eastAsia="zh-CN"/>
              </w:rPr>
              <w:t xml:space="preserve">（</w:t>
            </w:r>
            <w:r>
              <w:rPr>
                <w:rFonts w:hint="eastAsia" w:asciiTheme="minorEastAsia" w:hAnsiTheme="minorEastAsia" w:eastAsiaTheme="minorEastAsia" w:cstheme="minorEastAsia"/>
                <w:b w:val="0"/>
                <w:bCs w:val="0"/>
                <w:color w:val="auto"/>
                <w:sz w:val="21"/>
                <w:szCs w:val="21"/>
                <w:highlight w:val="none"/>
              </w:rPr>
              <w:t xml:space="preserve">格式自拟</w:t>
            </w:r>
            <w:r>
              <w:rPr>
                <w:rFonts w:hint="eastAsia" w:asciiTheme="minorEastAsia" w:hAnsiTheme="minorEastAsia" w:eastAsiaTheme="minorEastAsia" w:cstheme="minorEastAsia"/>
                <w:b w:val="0"/>
                <w:bCs w:val="0"/>
                <w:color w:val="auto"/>
                <w:sz w:val="21"/>
                <w:szCs w:val="21"/>
                <w:highlight w:val="none"/>
                <w:lang w:eastAsia="zh-CN"/>
              </w:rPr>
              <w:t xml:space="preserve">）</w:t>
            </w:r>
            <w:r>
              <w:rPr>
                <w:rFonts w:hint="eastAsia" w:asciiTheme="minorEastAsia" w:hAnsiTheme="minorEastAsia" w:eastAsiaTheme="minorEastAsia" w:cstheme="minorEastAsia"/>
                <w:b w:val="0"/>
                <w:bCs w:val="0"/>
                <w:color w:val="auto"/>
                <w:sz w:val="21"/>
                <w:szCs w:val="21"/>
                <w:highlight w:val="none"/>
              </w:rPr>
              <w:t xml:space="preserve">。</w:t>
            </w:r>
            <w:r/>
          </w:p>
        </w:tc>
      </w:tr>
      <w:tr>
        <w:trPr>
          <w:trHeight w:val="995"/>
        </w:trPr>
        <w:tc>
          <w:tcPr>
            <w:shd w:val="clear" w:color="auto" w:fill="auto"/>
            <w:tcW w:w="586" w:type="dxa"/>
            <w:vAlign w:val="center"/>
            <w:textDirection w:val="lrTb"/>
            <w:noWrap w:val="false"/>
          </w:tcPr>
          <w:p>
            <w:pPr>
              <w:jc w:val="center"/>
              <w:keepLines w:val="0"/>
              <w:keepNext w:val="0"/>
              <w:pageBreakBefore w:val="0"/>
              <w:spacing w:line="360" w:lineRule="exact"/>
              <w:widowControl/>
              <w:rPr>
                <w:rFonts w:hint="eastAsia" w:asciiTheme="minorEastAsia" w:hAnsiTheme="minorEastAsia" w:eastAsiaTheme="minorEastAsia" w:cstheme="minorEastAsia"/>
                <w:color w:val="auto"/>
                <w:sz w:val="21"/>
                <w:szCs w:val="21"/>
                <w:highlight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19</w:t>
            </w:r>
            <w:r/>
          </w:p>
        </w:tc>
        <w:tc>
          <w:tcPr>
            <w:shd w:val="clear" w:color="auto" w:fill="auto"/>
            <w:tcW w:w="1300" w:type="dxa"/>
            <w:vAlign w:val="center"/>
            <w:textDirection w:val="lrTb"/>
            <w:noWrap w:val="false"/>
          </w:tcPr>
          <w:p>
            <w:pPr>
              <w:jc w:val="center"/>
              <w:keepLines w:val="0"/>
              <w:keepNext w:val="0"/>
              <w:pageBreakBefore w:val="0"/>
              <w:spacing w:line="360" w:lineRule="exact"/>
              <w:widowControl/>
              <w:rPr>
                <w:rFonts w:hint="eastAsia" w:asciiTheme="minorEastAsia" w:hAnsiTheme="minorEastAsia" w:eastAsiaTheme="minorEastAsia" w:cstheme="minorEastAsia"/>
                <w:color w:val="auto"/>
                <w:sz w:val="21"/>
                <w:szCs w:val="21"/>
                <w:highlight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电源线（2*1.5）</w:t>
            </w:r>
            <w:r/>
          </w:p>
        </w:tc>
        <w:tc>
          <w:tcPr>
            <w:tcW w:w="3639" w:type="dxa"/>
            <w:vAlign w:val="center"/>
            <w:vMerge w:val="restart"/>
            <w:textDirection w:val="lrTb"/>
            <w:noWrap w:val="false"/>
          </w:tcPr>
          <w:p>
            <w:pPr>
              <w:jc w:val="left"/>
              <w:spacing w:line="320" w:lineRule="exact"/>
              <w:widowControl/>
              <w:rPr>
                <w:rFonts w:hint="eastAsia" w:ascii="宋体" w:hAnsi="宋体" w:cs="宋体"/>
                <w:b/>
                <w:bCs/>
                <w:color w:val="auto"/>
                <w:highlight w:val="none"/>
                <w:lang w:bidi="ar"/>
              </w:rPr>
            </w:pPr>
            <w:r>
              <w:rPr>
                <w:rFonts w:hint="eastAsia" w:asciiTheme="minorEastAsia" w:hAnsiTheme="minorEastAsia" w:eastAsiaTheme="minorEastAsia" w:cstheme="minorEastAsia"/>
                <w:b w:val="0"/>
                <w:bCs w:val="0"/>
                <w:color w:val="auto"/>
                <w:sz w:val="21"/>
                <w:szCs w:val="21"/>
                <w:highlight w:val="none"/>
              </w:rPr>
              <w:t xml:space="preserve">★</w:t>
            </w:r>
            <w:r>
              <w:rPr>
                <w:rFonts w:hint="eastAsia" w:asciiTheme="minorEastAsia" w:hAnsiTheme="minorEastAsia" w:eastAsiaTheme="minorEastAsia" w:cstheme="minorEastAsia"/>
                <w:b w:val="0"/>
                <w:bCs w:val="0"/>
                <w:color w:val="auto"/>
                <w:sz w:val="21"/>
                <w:szCs w:val="21"/>
                <w:highlight w:val="none"/>
                <w:lang w:val="en-US" w:eastAsia="zh-CN"/>
              </w:rPr>
              <w:t xml:space="preserve">2、</w:t>
            </w:r>
            <w:r>
              <w:rPr>
                <w:rFonts w:hint="eastAsia" w:asciiTheme="minorEastAsia" w:hAnsiTheme="minorEastAsia" w:eastAsiaTheme="minorEastAsia" w:cstheme="minorEastAsia"/>
                <w:color w:val="auto"/>
                <w:sz w:val="21"/>
                <w:szCs w:val="21"/>
                <w:highlight w:val="none"/>
                <w:lang w:val="en-US" w:eastAsia="zh-CN"/>
              </w:rPr>
              <w:t xml:space="preserve">提供所投产品的CCC认证证书扫描件。</w:t>
            </w:r>
            <w:r/>
          </w:p>
        </w:tc>
        <w:tc>
          <w:tcPr>
            <w:tcW w:w="3123" w:type="dxa"/>
            <w:vAlign w:val="center"/>
            <w:vMerge w:val="restart"/>
            <w:textDirection w:val="lrTb"/>
            <w:noWrap w:val="false"/>
          </w:tcPr>
          <w:p>
            <w:pPr>
              <w:jc w:val="left"/>
              <w:spacing w:line="320" w:lineRule="exact"/>
              <w:widowControl/>
              <w:rPr>
                <w:rFonts w:hint="eastAsia" w:ascii="宋体" w:hAnsi="宋体" w:cs="宋体"/>
                <w:b/>
                <w:bCs/>
                <w:color w:val="auto"/>
                <w:highlight w:val="none"/>
                <w:lang w:bidi="ar"/>
              </w:rPr>
            </w:pPr>
            <w:r>
              <w:rPr>
                <w:rFonts w:hint="eastAsia" w:asciiTheme="minorEastAsia" w:hAnsiTheme="minorEastAsia" w:eastAsiaTheme="minorEastAsia" w:cstheme="minorEastAsia"/>
                <w:color w:val="auto"/>
                <w:sz w:val="21"/>
                <w:szCs w:val="21"/>
                <w:highlight w:val="none"/>
                <w:lang w:val="en-US" w:eastAsia="zh-CN"/>
              </w:rPr>
              <w:t xml:space="preserve">提供所投产品的CCC认证证书扫描件。</w:t>
            </w:r>
            <w:r/>
          </w:p>
        </w:tc>
      </w:tr>
      <w:tr>
        <w:trPr/>
        <w:tc>
          <w:tcPr>
            <w:shd w:val="clear" w:color="auto" w:fill="auto"/>
            <w:tcW w:w="586" w:type="dxa"/>
            <w:vAlign w:val="center"/>
            <w:textDirection w:val="lrTb"/>
            <w:noWrap w:val="false"/>
          </w:tcPr>
          <w:p>
            <w:pPr>
              <w:jc w:val="center"/>
              <w:keepLines w:val="0"/>
              <w:keepNext w:val="0"/>
              <w:pageBreakBefore w:val="0"/>
              <w:spacing w:line="360" w:lineRule="exact"/>
              <w:widowControl/>
              <w:rPr>
                <w:rFonts w:hint="eastAsia" w:asciiTheme="minorEastAsia" w:hAnsiTheme="minorEastAsia" w:eastAsiaTheme="minorEastAsia" w:cstheme="minorEastAsia"/>
                <w:color w:val="auto"/>
                <w:sz w:val="21"/>
                <w:szCs w:val="21"/>
                <w:highlight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w:t>
            </w:r>
            <w:r/>
          </w:p>
        </w:tc>
        <w:tc>
          <w:tcPr>
            <w:shd w:val="clear" w:color="auto" w:fill="auto"/>
            <w:tcW w:w="1300" w:type="dxa"/>
            <w:vAlign w:val="center"/>
            <w:textDirection w:val="lrTb"/>
            <w:noWrap w:val="false"/>
          </w:tcPr>
          <w:p>
            <w:pPr>
              <w:jc w:val="center"/>
              <w:keepLines w:val="0"/>
              <w:keepNext w:val="0"/>
              <w:pageBreakBefore w:val="0"/>
              <w:spacing w:line="360" w:lineRule="exact"/>
              <w:widowControl/>
              <w:rPr>
                <w:rFonts w:hint="eastAsia" w:asciiTheme="minorEastAsia" w:hAnsiTheme="minorEastAsia" w:eastAsiaTheme="minorEastAsia" w:cstheme="minorEastAsia"/>
                <w:color w:val="auto"/>
                <w:sz w:val="21"/>
                <w:szCs w:val="21"/>
                <w:highlight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电源线（3*1.5）</w:t>
            </w:r>
            <w:r/>
          </w:p>
        </w:tc>
        <w:tc>
          <w:tcPr>
            <w:tcW w:w="3639" w:type="dxa"/>
            <w:vAlign w:val="center"/>
            <w:vMerge w:val="continue"/>
            <w:textDirection w:val="lrTb"/>
            <w:noWrap w:val="false"/>
          </w:tcPr>
          <w:p>
            <w:pPr>
              <w:jc w:val="left"/>
              <w:spacing w:line="320" w:lineRule="exact"/>
              <w:widowControl/>
              <w:rPr>
                <w:rFonts w:hint="eastAsia" w:ascii="宋体" w:hAnsi="宋体" w:cs="宋体"/>
                <w:b/>
                <w:bCs/>
                <w:color w:val="auto"/>
                <w:highlight w:val="none"/>
                <w:lang w:bidi="ar"/>
              </w:rPr>
            </w:pPr>
            <w:r>
              <w:rPr>
                <w:rFonts w:hint="eastAsia" w:ascii="宋体" w:hAnsi="宋体" w:cs="宋体"/>
                <w:b/>
                <w:bCs/>
                <w:color w:val="auto"/>
                <w:highlight w:val="none"/>
                <w:lang w:bidi="ar"/>
              </w:rPr>
            </w:r>
            <w:r/>
          </w:p>
        </w:tc>
        <w:tc>
          <w:tcPr>
            <w:tcW w:w="3123" w:type="dxa"/>
            <w:vAlign w:val="center"/>
            <w:vMerge w:val="continue"/>
            <w:textDirection w:val="lrTb"/>
            <w:noWrap w:val="false"/>
          </w:tcPr>
          <w:p>
            <w:pPr>
              <w:jc w:val="center"/>
              <w:spacing w:line="320" w:lineRule="exact"/>
              <w:widowControl/>
              <w:rPr>
                <w:rFonts w:hint="eastAsia" w:ascii="宋体" w:hAnsi="宋体" w:cs="宋体"/>
                <w:b/>
                <w:bCs/>
                <w:color w:val="auto"/>
                <w:highlight w:val="none"/>
                <w:lang w:bidi="ar"/>
              </w:rPr>
            </w:pPr>
            <w:r>
              <w:rPr>
                <w:rFonts w:hint="eastAsia" w:ascii="宋体" w:hAnsi="宋体" w:cs="宋体"/>
                <w:b/>
                <w:bCs/>
                <w:color w:val="auto"/>
                <w:highlight w:val="none"/>
                <w:lang w:bidi="ar"/>
              </w:rPr>
            </w:r>
            <w:r/>
          </w:p>
        </w:tc>
      </w:tr>
    </w:tbl>
    <w:p>
      <w:r/>
      <w:r/>
    </w:p>
    <w:p>
      <w:pPr>
        <w:spacing w:line="276"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numPr>
          <w:ilvl w:val="0"/>
          <w:numId w:val="15"/>
        </w:numPr>
        <w:spacing w:line="276"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样品及演示要求：</w:t>
      </w:r>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无</w:t>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numPr>
          <w:ilvl w:val="0"/>
          <w:numId w:val="15"/>
        </w:numPr>
        <w:spacing w:line="276" w:lineRule="auto"/>
        <w:rPr>
          <w:rFonts w:hint="eastAsia" w:asciiTheme="minorEastAsia" w:hAnsiTheme="minorEastAsia" w:eastAsiaTheme="minorEastAsia" w:cstheme="minorEastAsia"/>
          <w:b/>
          <w:bCs/>
          <w:sz w:val="24"/>
        </w:rPr>
      </w:pPr>
      <w:r/>
      <w:bookmarkStart w:id="197" w:name="_Toc7880"/>
      <w:r>
        <w:rPr>
          <w:rFonts w:hint="eastAsia" w:asciiTheme="minorEastAsia" w:hAnsiTheme="minorEastAsia" w:eastAsiaTheme="minorEastAsia" w:cstheme="minorEastAsia"/>
          <w:b/>
          <w:bCs/>
          <w:sz w:val="24"/>
        </w:rPr>
        <w:t xml:space="preserve">采购标的对应的中小企业划分标准所属行业一览表</w:t>
      </w:r>
      <w:r/>
    </w:p>
    <w:tbl>
      <w:tblPr>
        <w:tblStyle w:val="806"/>
        <w:tblW w:w="8333" w:type="dxa"/>
        <w:tblInd w:w="93" w:type="dxa"/>
        <w:tblLayout w:type="fixed"/>
        <w:tblCellMar>
          <w:left w:w="108" w:type="dxa"/>
          <w:top w:w="0" w:type="dxa"/>
          <w:right w:w="108" w:type="dxa"/>
          <w:bottom w:w="0" w:type="dxa"/>
        </w:tblCellMar>
        <w:tblLook w:val="04A0" w:firstRow="1" w:lastRow="0" w:firstColumn="1" w:lastColumn="0" w:noHBand="0" w:noVBand="1"/>
      </w:tblPr>
      <w:tblGrid>
        <w:gridCol w:w="883"/>
        <w:gridCol w:w="5033"/>
        <w:gridCol w:w="2417"/>
      </w:tblGrid>
      <w:tr>
        <w:trPr>
          <w:trHeight w:val="400"/>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Theme="minorEastAsia" w:hAnsiTheme="minorEastAsia" w:eastAsiaTheme="minorEastAsia" w:cstheme="minorEastAsia"/>
                <w:b/>
                <w:bCs/>
                <w:color w:val="auto"/>
              </w:rPr>
            </w:pPr>
            <w:r>
              <w:rPr>
                <w:rFonts w:hint="eastAsia" w:asciiTheme="minorEastAsia" w:hAnsiTheme="minorEastAsia" w:eastAsiaTheme="minorEastAsia" w:cstheme="minorEastAsia"/>
                <w:b/>
                <w:bCs/>
                <w:color w:val="auto"/>
                <w:lang w:bidi="ar"/>
              </w:rPr>
              <w:t xml:space="preserve">序号</w:t>
            </w:r>
            <w:r/>
          </w:p>
        </w:tc>
        <w:tc>
          <w:tcPr>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center"/>
              <w:widowControl/>
              <w:rPr>
                <w:rFonts w:hint="eastAsia" w:asciiTheme="minorEastAsia" w:hAnsiTheme="minorEastAsia" w:eastAsiaTheme="minorEastAsia" w:cstheme="minorEastAsia"/>
                <w:b/>
                <w:bCs/>
                <w:color w:val="auto"/>
              </w:rPr>
            </w:pPr>
            <w:r>
              <w:rPr>
                <w:rFonts w:hint="eastAsia" w:asciiTheme="minorEastAsia" w:hAnsiTheme="minorEastAsia" w:eastAsiaTheme="minorEastAsia" w:cstheme="minorEastAsia"/>
                <w:b/>
                <w:bCs/>
                <w:color w:val="auto"/>
                <w:lang w:bidi="ar"/>
              </w:rPr>
              <w:t xml:space="preserve">标的名称</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widowControl/>
              <w:rPr>
                <w:rFonts w:hint="eastAsia" w:asciiTheme="minorEastAsia" w:hAnsiTheme="minorEastAsia" w:eastAsiaTheme="minorEastAsia" w:cstheme="minorEastAsia"/>
                <w:b/>
                <w:bCs/>
                <w:color w:val="auto"/>
              </w:rPr>
            </w:pPr>
            <w:r>
              <w:rPr>
                <w:rFonts w:hint="eastAsia" w:asciiTheme="minorEastAsia" w:hAnsiTheme="minorEastAsia" w:eastAsiaTheme="minorEastAsia" w:cstheme="minorEastAsia"/>
                <w:b/>
                <w:bCs/>
                <w:color w:val="auto"/>
                <w:lang w:bidi="ar"/>
              </w:rPr>
              <w:t xml:space="preserve">对应中小企业划分标准所属行业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智能网关</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rPr>
                <w:rFonts w:hint="eastAsia" w:asciiTheme="minorEastAsia" w:hAnsiTheme="minorEastAsia" w:eastAsiaTheme="minorEastAsia" w:cstheme="minorEastAsia"/>
                <w:color w:val="auto"/>
                <w:lang w:val="en-US" w:eastAsia="zh-CN"/>
              </w:rPr>
            </w:pPr>
            <w:r>
              <w:rPr>
                <w:rFonts w:hint="eastAsia" w:asciiTheme="minorEastAsia" w:hAnsiTheme="minorEastAsia" w:eastAsiaTheme="minorEastAsia" w:cstheme="minorEastAsia"/>
                <w:color w:val="auto"/>
                <w:lang w:val="en-US" w:eastAsia="zh-CN"/>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多波段紫红外火焰探测器</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val="en-US" w:eastAsia="zh-CN"/>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热成像双目枪式摄像机(含拾音器)</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val="en-US" w:eastAsia="zh-CN"/>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防欺凌预警终端（拾音器）</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val="en-US" w:eastAsia="zh-CN"/>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电源控制箱</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val="en-US" w:eastAsia="zh-CN"/>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24电口千兆POE交换机</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val="en-US" w:eastAsia="zh-CN"/>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033"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48电口千兆POE交换机</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val="en-US" w:eastAsia="zh-CN"/>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8电口千兆POE交换机</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val="en-US" w:eastAsia="zh-CN"/>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8口POE GPON</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val="en-US" w:eastAsia="zh-CN"/>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分光器</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val="en-US" w:eastAsia="zh-CN"/>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千兆光模块</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val="en-US" w:eastAsia="zh-CN"/>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六类4对非屏蔽双绞线</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val="en-US" w:eastAsia="zh-CN"/>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2米六类4对非屏蔽跳线</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val="en-US" w:eastAsia="zh-CN"/>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4芯室外单模光缆</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val="en-US" w:eastAsia="zh-CN"/>
              </w:rPr>
              <w:t xml:space="preserve">工业</w:t>
            </w:r>
            <w:r/>
          </w:p>
        </w:tc>
      </w:tr>
      <w:tr>
        <w:trPr>
          <w:trHeight w:val="400"/>
        </w:trPr>
        <w:tc>
          <w:tcPr>
            <w:shd w:val="clear" w:color="auto" w:fill="auto"/>
            <w:tcBorders>
              <w:top w:val="single" w:color="000000" w:sz="4" w:space="0"/>
              <w:left w:val="single" w:color="000000" w:sz="4" w:space="0"/>
              <w:bottom w:val="none" w:color="000000" w:sz="4" w:space="0"/>
              <w:right w:val="single" w:color="000000" w:sz="4" w:space="0"/>
            </w:tcBorders>
            <w:tcW w:w="88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none" w:color="000000" w:sz="4" w:space="0"/>
              <w:right w:val="single" w:color="000000" w:sz="4" w:space="0"/>
            </w:tcBorders>
            <w:tcW w:w="5033"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6芯室外单模光缆</w:t>
            </w:r>
            <w:r/>
          </w:p>
        </w:tc>
        <w:tc>
          <w:tcPr>
            <w:tcBorders>
              <w:top w:val="single" w:color="000000" w:sz="4" w:space="0"/>
              <w:left w:val="single" w:color="000000" w:sz="4" w:space="0"/>
              <w:bottom w:val="none" w:color="000000" w:sz="4" w:space="0"/>
              <w:right w:val="single" w:color="000000" w:sz="4" w:space="0"/>
            </w:tcBorders>
            <w:tcW w:w="2417" w:type="dxa"/>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val="en-US" w:eastAsia="zh-CN"/>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8芯室内单模光缆</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val="en-US" w:eastAsia="zh-CN"/>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强电电缆</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val="en-US" w:eastAsia="zh-CN"/>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信号线（4*1.5）</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val="en-US" w:eastAsia="zh-CN"/>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电源线（2*1.5）</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val="en-US" w:eastAsia="zh-CN"/>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电源线（3*1.5）</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val="en-US" w:eastAsia="zh-CN"/>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室外安防箱</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val="en-US" w:eastAsia="zh-CN"/>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摄像机支架</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val="en-US" w:eastAsia="zh-CN"/>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42U机柜</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val="en-US" w:eastAsia="zh-CN"/>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9U壁挂机柜</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val="en-US" w:eastAsia="zh-CN"/>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24芯光纤配线架</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val="en-US" w:eastAsia="zh-CN"/>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5033"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24口六类非屏蔽配线架</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val="en-US" w:eastAsia="zh-CN"/>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理线器</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val="en-US" w:eastAsia="zh-CN"/>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1.5米单模单芯光纤尾纤</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val="en-US" w:eastAsia="zh-CN"/>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3米单模双芯光纤跳线</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val="en-US" w:eastAsia="zh-CN"/>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4芯光纤终端盒（含耦合器)）</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val="en-US" w:eastAsia="zh-CN"/>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8口光纤终端盒(含耦合器)</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val="en-US" w:eastAsia="zh-CN"/>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光纤收发器</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val="en-US" w:eastAsia="zh-CN"/>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光纤熔接</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宋体" w:hAnsi="宋体" w:eastAsia="宋体" w:cs="宋体"/>
                <w:color w:val="auto"/>
                <w:sz w:val="21"/>
                <w:szCs w:val="21"/>
                <w:highlight w:val="none"/>
                <w:lang w:val="en-US" w:eastAsia="zh-CN" w:bidi="ar-SA"/>
              </w:rPr>
              <w:t xml:space="preserve">其他未列明行业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护线管</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val="en-US" w:eastAsia="zh-CN"/>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金属软管</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val="en-US" w:eastAsia="zh-CN"/>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拖线板</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val="en-US" w:eastAsia="zh-CN"/>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Style w:val="1122"/>
                <w:rFonts w:hint="eastAsia" w:asciiTheme="minorEastAsia" w:hAnsiTheme="minorEastAsia" w:eastAsiaTheme="minorEastAsia" w:cstheme="minorEastAsia"/>
                <w:sz w:val="21"/>
                <w:szCs w:val="21"/>
                <w:lang w:val="en-US" w:eastAsia="zh-CN" w:bidi="ar"/>
              </w:rPr>
              <w:t xml:space="preserve">辅材</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val="en-US" w:eastAsia="zh-CN"/>
              </w:rPr>
              <w:t xml:space="preserve">工业</w:t>
            </w:r>
            <w:r/>
          </w:p>
        </w:tc>
      </w:tr>
    </w:tbl>
    <w:p>
      <w:pPr>
        <w:pStyle w:val="998"/>
        <w:rPr>
          <w:rFonts w:hint="eastAsia" w:asciiTheme="minorEastAsia" w:hAnsiTheme="minorEastAsia" w:eastAsiaTheme="minorEastAsia" w:cstheme="minorEastAsia"/>
          <w:bCs/>
          <w:sz w:val="44"/>
        </w:rPr>
      </w:pPr>
      <w:r>
        <w:rPr>
          <w:rFonts w:hint="eastAsia" w:asciiTheme="minorEastAsia" w:hAnsiTheme="minorEastAsia" w:eastAsiaTheme="minorEastAsia" w:cstheme="minorEastAsia"/>
          <w:bCs/>
          <w:sz w:val="44"/>
        </w:rPr>
      </w:r>
      <w:r/>
    </w:p>
    <w:p>
      <w:pPr>
        <w:pStyle w:val="998"/>
        <w:rPr>
          <w:rFonts w:hint="eastAsia" w:asciiTheme="minorEastAsia" w:hAnsiTheme="minorEastAsia" w:eastAsiaTheme="minorEastAsia" w:cstheme="minorEastAsia"/>
          <w:bCs/>
          <w:sz w:val="44"/>
        </w:rPr>
      </w:pPr>
      <w:r>
        <w:rPr>
          <w:rFonts w:hint="eastAsia" w:asciiTheme="minorEastAsia" w:hAnsiTheme="minorEastAsia" w:eastAsiaTheme="minorEastAsia" w:cstheme="minorEastAsia"/>
          <w:bCs/>
          <w:sz w:val="44"/>
        </w:rPr>
      </w:r>
      <w:r/>
    </w:p>
    <w:p>
      <w:pPr>
        <w:pStyle w:val="998"/>
        <w:rPr>
          <w:rFonts w:hint="eastAsia" w:asciiTheme="minorEastAsia" w:hAnsiTheme="minorEastAsia" w:eastAsiaTheme="minorEastAsia" w:cstheme="minorEastAsia"/>
          <w:bCs/>
          <w:sz w:val="44"/>
        </w:rPr>
      </w:pPr>
      <w:r>
        <w:rPr>
          <w:rFonts w:hint="eastAsia" w:asciiTheme="minorEastAsia" w:hAnsiTheme="minorEastAsia" w:eastAsiaTheme="minorEastAsia" w:cstheme="minorEastAsia"/>
          <w:bCs/>
          <w:sz w:val="44"/>
        </w:rPr>
      </w:r>
      <w:r/>
    </w:p>
    <w:p>
      <w:pPr>
        <w:pStyle w:val="998"/>
        <w:jc w:val="center"/>
        <w:rPr>
          <w:rFonts w:hint="eastAsia" w:asciiTheme="minorEastAsia" w:hAnsiTheme="minorEastAsia" w:eastAsiaTheme="minorEastAsia" w:cstheme="minorEastAsia"/>
          <w:bCs/>
          <w:sz w:val="44"/>
        </w:rPr>
      </w:pPr>
      <w:r>
        <w:rPr>
          <w:rFonts w:hint="eastAsia" w:asciiTheme="minorEastAsia" w:hAnsiTheme="minorEastAsia" w:eastAsiaTheme="minorEastAsia" w:cstheme="minorEastAsia"/>
          <w:bCs/>
          <w:sz w:val="44"/>
        </w:rPr>
        <w:t xml:space="preserve">第五章  </w:t>
      </w:r>
      <w:r>
        <w:rPr>
          <w:rFonts w:hint="eastAsia" w:asciiTheme="minorEastAsia" w:hAnsiTheme="minorEastAsia" w:eastAsiaTheme="minorEastAsia" w:cstheme="minorEastAsia"/>
          <w:b/>
          <w:bCs/>
          <w:sz w:val="44"/>
        </w:rPr>
        <w:t xml:space="preserve">评标方法与评标标准</w:t>
      </w:r>
      <w:bookmarkEnd w:id="197"/>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1083"/>
        <w:ind w:firstLine="439"/>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分包选取一名中标候选人。</w:t>
      </w:r>
      <w:r/>
    </w:p>
    <w:p>
      <w:pPr>
        <w:pStyle w:val="1083"/>
        <w:ind w:firstLine="441"/>
        <w:spacing w:line="400" w:lineRule="exact"/>
        <w:rPr>
          <w:rFonts w:hint="eastAsia" w:asciiTheme="minorEastAsia" w:hAnsiTheme="minorEastAsia" w:eastAsiaTheme="minorEastAsia" w:cstheme="minorEastAsia"/>
          <w:b/>
        </w:rPr>
      </w:pPr>
      <w:r>
        <w:rPr>
          <w:rFonts w:hint="eastAsia" w:asciiTheme="minorEastAsia" w:hAnsiTheme="minorEastAsia" w:eastAsiaTheme="minorEastAsia" w:cstheme="minorEastAsia"/>
          <w:b/>
        </w:rPr>
        <w:t xml:space="preserve">政府采购政策功能落实</w:t>
      </w:r>
      <w:r/>
    </w:p>
    <w:p>
      <w:pPr>
        <w:pStyle w:val="1083"/>
        <w:spacing w:line="400" w:lineRule="exact"/>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1、小微型企业价格扣除</w:t>
      </w:r>
      <w:r/>
    </w:p>
    <w:p>
      <w:pPr>
        <w:pStyle w:val="1083"/>
        <w:ind w:firstLine="360"/>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（1）本项目对全部采用小型和微型企业产品投标的给予</w:t>
      </w:r>
      <w:r>
        <w:rPr>
          <w:rFonts w:hint="eastAsia" w:asciiTheme="minorEastAsia" w:hAnsiTheme="minorEastAsia" w:eastAsiaTheme="minorEastAsia" w:cstheme="minorEastAsia"/>
          <w:u w:val="single"/>
        </w:rPr>
        <w:t xml:space="preserve">10%</w:t>
      </w:r>
      <w:r>
        <w:rPr>
          <w:rFonts w:hint="eastAsia" w:asciiTheme="minorEastAsia" w:hAnsiTheme="minorEastAsia" w:eastAsiaTheme="minorEastAsia" w:cstheme="minorEastAsia"/>
        </w:rPr>
        <w:t xml:space="preserve">的扣除价格，用扣除后的价格参与评审。如果供应商提供的货物既有小、微企业制造货物，也有大、中型企业制造货物的，不享受小微型企业价格扣除政策。</w:t>
      </w:r>
      <w:r/>
    </w:p>
    <w:p>
      <w:pPr>
        <w:pStyle w:val="1083"/>
        <w:ind w:firstLine="360"/>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（2）供应商需按照采购文件的要求提供相应的《小微企业声明函》。</w:t>
      </w:r>
      <w:r/>
    </w:p>
    <w:p>
      <w:pPr>
        <w:pStyle w:val="1083"/>
        <w:ind w:firstLine="360"/>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（3）企业标准请参照《关于印发中小企业划型标准规定的通知》（工信部联企业[2011]300号）文件规定自行填写。</w:t>
      </w:r>
      <w:r/>
    </w:p>
    <w:p>
      <w:pPr>
        <w:pStyle w:val="1083"/>
        <w:spacing w:line="400" w:lineRule="exact"/>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2、残疾人福利单位价格扣除</w:t>
      </w:r>
      <w:r/>
    </w:p>
    <w:p>
      <w:pPr>
        <w:pStyle w:val="1083"/>
        <w:ind w:firstLine="360"/>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（1）本项目对残疾人福利性单位视同小型、微型企业，给予</w:t>
      </w:r>
      <w:r>
        <w:rPr>
          <w:rFonts w:hint="eastAsia" w:asciiTheme="minorEastAsia" w:hAnsiTheme="minorEastAsia" w:eastAsiaTheme="minorEastAsia" w:cstheme="minorEastAsia"/>
          <w:u w:val="single"/>
        </w:rPr>
        <w:t xml:space="preserve">10%</w:t>
      </w:r>
      <w:r>
        <w:rPr>
          <w:rFonts w:hint="eastAsia" w:asciiTheme="minorEastAsia" w:hAnsiTheme="minorEastAsia" w:eastAsiaTheme="minorEastAsia" w:cstheme="minorEastAsia"/>
        </w:rPr>
        <w:t xml:space="preserve">的价格扣除，用扣除后的价格参与评审。</w:t>
      </w:r>
      <w:r/>
    </w:p>
    <w:p>
      <w:pPr>
        <w:pStyle w:val="1083"/>
        <w:ind w:firstLine="360"/>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（2）残疾人福利单位需按照采购文件的要求提供《残疾人福利性单位声明函》。</w:t>
      </w:r>
      <w:r/>
    </w:p>
    <w:p>
      <w:pPr>
        <w:pStyle w:val="1083"/>
        <w:ind w:firstLine="360"/>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（3）残疾人福利单位标准请参照《关于促进残疾人就业政府采购政策的通知》（财库〔2017〕141号）。</w:t>
      </w:r>
      <w:r/>
    </w:p>
    <w:p>
      <w:pPr>
        <w:pStyle w:val="1083"/>
        <w:spacing w:line="400" w:lineRule="exact"/>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3、监狱和戒毒企业价格扣除</w:t>
      </w:r>
      <w:r/>
    </w:p>
    <w:p>
      <w:pPr>
        <w:pStyle w:val="1083"/>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（1）本项目对监狱和戒毒企业（简称监狱企业）视同小型、微型企业，给予</w:t>
      </w:r>
      <w:r>
        <w:rPr>
          <w:rFonts w:hint="eastAsia" w:asciiTheme="minorEastAsia" w:hAnsiTheme="minorEastAsia" w:eastAsiaTheme="minorEastAsia" w:cstheme="minorEastAsia"/>
          <w:u w:val="single"/>
        </w:rPr>
        <w:t xml:space="preserve">10%</w:t>
      </w:r>
      <w:r>
        <w:rPr>
          <w:rFonts w:hint="eastAsia" w:asciiTheme="minorEastAsia" w:hAnsiTheme="minorEastAsia" w:eastAsiaTheme="minorEastAsia" w:cstheme="minorEastAsia"/>
        </w:rPr>
        <w:t xml:space="preserve">的价格扣除，用扣除后的价格参与评审。</w:t>
      </w:r>
      <w:r/>
    </w:p>
    <w:p>
      <w:pPr>
        <w:pStyle w:val="1083"/>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083"/>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（3）监狱企业标准请参照《关于政府采购支持监狱企业发展有关问题的通知》（财库[2014]68号）。</w:t>
      </w:r>
      <w:r/>
    </w:p>
    <w:p>
      <w:pPr>
        <w:pStyle w:val="1083"/>
        <w:spacing w:line="400" w:lineRule="exact"/>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4、残疾人福利单位、监狱企业属于小型、微型企业的，不重复享受政策。</w:t>
      </w:r>
      <w:r/>
    </w:p>
    <w:p>
      <w:pPr>
        <w:pStyle w:val="1083"/>
        <w:spacing w:line="400" w:lineRule="exact"/>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5、采购本国产品的支持政策</w:t>
      </w:r>
      <w:r/>
    </w:p>
    <w:p>
      <w:pPr>
        <w:pStyle w:val="1083"/>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5.1 本项目政府采购活动中既有本国产品又有非本国产品参与竞争的，依法对本国产品给予价格评审优惠，对本国产品的报价给予 20%的价格扣除，用扣除后的价格参与评审。</w:t>
      </w:r>
      <w:r/>
    </w:p>
    <w:p>
      <w:pPr>
        <w:pStyle w:val="1083"/>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5.2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083"/>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5.3 供应商需按照招标文件的要求提供《关于符合本国产品标准的声明函》（以下简称《声明函》），如不提供将不享受本国产品价格评审优惠。</w:t>
      </w:r>
      <w:r/>
    </w:p>
    <w:p>
      <w:pPr>
        <w:pStyle w:val="1083"/>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5.4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083"/>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5.5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bookmarkStart w:id="198" w:name="OLE_LINK1"/>
      <w:r/>
      <w:bookmarkStart w:id="199" w:name="OLE_LINK2"/>
      <w:r/>
      <w:bookmarkEnd w:id="198"/>
      <w:r/>
      <w:bookmarkEnd w:id="199"/>
      <w:r/>
      <w:r/>
    </w:p>
    <w:p>
      <w:pPr>
        <w:pStyle w:val="1083"/>
        <w:spacing w:line="0" w:lineRule="atLeas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 xml:space="preserve">评标方法与评标标准</w:t>
      </w:r>
      <w:bookmarkStart w:id="200" w:name="_Toc3874"/>
      <w:r/>
      <w:r/>
    </w:p>
    <w:tbl>
      <w:tblPr>
        <w:tblStyle w:val="806"/>
        <w:tblW w:w="4994" w:type="pct"/>
        <w:tblInd w:w="6" w:type="dxa"/>
        <w:tblLayout w:type="fixed"/>
        <w:tblCellMar>
          <w:left w:w="108" w:type="dxa"/>
          <w:top w:w="0" w:type="dxa"/>
          <w:right w:w="108" w:type="dxa"/>
          <w:bottom w:w="0" w:type="dxa"/>
        </w:tblCellMar>
        <w:tblLook w:val="04A0" w:firstRow="1" w:lastRow="0" w:firstColumn="1" w:lastColumn="0" w:noHBand="0" w:noVBand="1"/>
      </w:tblPr>
      <w:tblGrid>
        <w:gridCol w:w="691"/>
        <w:gridCol w:w="1300"/>
        <w:gridCol w:w="3708"/>
        <w:gridCol w:w="753"/>
        <w:gridCol w:w="666"/>
        <w:gridCol w:w="704"/>
        <w:gridCol w:w="690"/>
      </w:tblGrid>
      <w:tr>
        <w:trPr>
          <w:trHeight w:val="420"/>
        </w:trPr>
        <w:tc>
          <w:tcPr>
            <w:tcBorders>
              <w:top w:val="single" w:color="000000" w:sz="8" w:space="0"/>
              <w:left w:val="single" w:color="000000" w:sz="8" w:space="0"/>
              <w:bottom w:val="single" w:color="000000" w:sz="8" w:space="0"/>
              <w:right w:val="single" w:color="000000" w:sz="8" w:space="0"/>
            </w:tcBorders>
            <w:tcW w:w="691"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b/>
                <w:bCs/>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jc w:val="center"/>
              <w:keepLines w:val="0"/>
              <w:keepNext w:val="0"/>
              <w:pageBreakBefore w:val="0"/>
              <w:spacing w:line="360" w:lineRule="exact"/>
              <w:widowControl/>
              <w:rPr>
                <w:rFonts w:hint="eastAsia" w:ascii="宋体" w:hAnsi="宋体" w:cs="宋体"/>
              </w:rPr>
            </w:pPr>
            <w:r>
              <w:rPr>
                <w:rFonts w:hint="eastAsia" w:ascii="宋体" w:hAnsi="宋体" w:cs="宋体"/>
                <w:b/>
                <w:bCs/>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08" w:type="dxa"/>
            <w:vAlign w:val="center"/>
            <w:textDirection w:val="lrTb"/>
            <w:noWrap w:val="false"/>
          </w:tcPr>
          <w:p>
            <w:pPr>
              <w:jc w:val="center"/>
              <w:keepLines w:val="0"/>
              <w:keepNext w:val="0"/>
              <w:pageBreakBefore w:val="0"/>
              <w:spacing w:line="360" w:lineRule="exact"/>
              <w:widowControl/>
              <w:rPr>
                <w:rFonts w:hint="eastAsia" w:ascii="宋体" w:hAnsi="宋体" w:cs="宋体"/>
              </w:rPr>
            </w:pPr>
            <w:r>
              <w:rPr>
                <w:rFonts w:hint="eastAsia" w:ascii="宋体" w:hAnsi="宋体" w:cs="宋体"/>
                <w:b/>
              </w:rPr>
              <w:t xml:space="preserve">评分标准和评审材料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jc w:val="center"/>
              <w:keepLines w:val="0"/>
              <w:keepNext w:val="0"/>
              <w:pageBreakBefore w:val="0"/>
              <w:spacing w:line="360" w:lineRule="exact"/>
              <w:rPr>
                <w:rFonts w:hint="eastAsia" w:ascii="宋体" w:hAnsi="宋体" w:cs="宋体"/>
                <w:b/>
              </w:rPr>
            </w:pPr>
            <w:r>
              <w:rPr>
                <w:rFonts w:hint="eastAsia" w:ascii="宋体" w:hAnsi="宋体" w:cs="宋体"/>
                <w:b/>
              </w:rPr>
              <w:t xml:space="preserve">最低分值</w:t>
            </w:r>
            <w:r/>
          </w:p>
        </w:tc>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jc w:val="center"/>
              <w:keepLines w:val="0"/>
              <w:keepNext w:val="0"/>
              <w:pageBreakBefore w:val="0"/>
              <w:spacing w:line="360" w:lineRule="exact"/>
              <w:rPr>
                <w:rFonts w:hint="eastAsia" w:ascii="宋体" w:hAnsi="宋体" w:cs="宋体"/>
                <w:b/>
              </w:rPr>
            </w:pPr>
            <w:r>
              <w:rPr>
                <w:rFonts w:hint="eastAsia" w:ascii="宋体" w:hAnsi="宋体" w:cs="宋体"/>
                <w:b/>
              </w:rPr>
              <w:t xml:space="preserve">最高分值</w:t>
            </w:r>
            <w:r/>
          </w:p>
        </w:tc>
        <w:tc>
          <w:tcPr>
            <w:tcBorders>
              <w:top w:val="single" w:color="000000" w:sz="8" w:space="0"/>
              <w:left w:val="single" w:color="000000" w:sz="8" w:space="0"/>
              <w:bottom w:val="single" w:color="000000" w:sz="8" w:space="0"/>
              <w:right w:val="single" w:color="000000" w:sz="8" w:space="0"/>
            </w:tcBorders>
            <w:tcW w:w="704" w:type="dxa"/>
            <w:vAlign w:val="center"/>
            <w:textDirection w:val="lrTb"/>
            <w:noWrap w:val="false"/>
          </w:tcPr>
          <w:p>
            <w:pPr>
              <w:jc w:val="center"/>
              <w:keepLines w:val="0"/>
              <w:keepNext w:val="0"/>
              <w:pageBreakBefore w:val="0"/>
              <w:spacing w:line="360" w:lineRule="exact"/>
              <w:rPr>
                <w:rFonts w:hint="eastAsia" w:ascii="宋体" w:hAnsi="宋体" w:cs="宋体"/>
                <w:b/>
              </w:rPr>
            </w:pPr>
            <w:r>
              <w:rPr>
                <w:rFonts w:hint="eastAsia" w:ascii="宋体" w:hAnsi="宋体" w:cs="宋体"/>
                <w:b/>
              </w:rPr>
            </w:r>
            <w:r/>
          </w:p>
        </w:tc>
        <w:tc>
          <w:tcPr>
            <w:tcBorders>
              <w:top w:val="single" w:color="000000" w:sz="8" w:space="0"/>
              <w:left w:val="single" w:color="000000" w:sz="8" w:space="0"/>
              <w:bottom w:val="single" w:color="000000" w:sz="8" w:space="0"/>
              <w:right w:val="single" w:color="000000" w:sz="8" w:space="0"/>
            </w:tcBorders>
            <w:tcW w:w="690" w:type="dxa"/>
            <w:vAlign w:val="center"/>
            <w:textDirection w:val="lrTb"/>
            <w:noWrap w:val="false"/>
          </w:tcPr>
          <w:p>
            <w:pPr>
              <w:jc w:val="center"/>
              <w:keepLines w:val="0"/>
              <w:keepNext w:val="0"/>
              <w:pageBreakBefore w:val="0"/>
              <w:spacing w:line="360" w:lineRule="exact"/>
              <w:rPr>
                <w:rFonts w:hint="eastAsia" w:ascii="宋体" w:hAnsi="宋体" w:cs="宋体"/>
                <w:b/>
              </w:rPr>
            </w:pPr>
            <w:r>
              <w:rPr>
                <w:rFonts w:hint="eastAsia" w:ascii="宋体" w:hAnsi="宋体" w:cs="宋体"/>
                <w:b/>
              </w:rPr>
            </w:r>
            <w:r/>
          </w:p>
        </w:tc>
      </w:tr>
      <w:tr>
        <w:trPr>
          <w:trHeight w:val="420"/>
        </w:trPr>
        <w:tc>
          <w:tcPr>
            <w:tcBorders>
              <w:top w:val="single" w:color="000000" w:sz="8" w:space="0"/>
              <w:left w:val="single" w:color="000000" w:sz="8" w:space="0"/>
              <w:bottom w:val="single" w:color="000000" w:sz="8" w:space="0"/>
              <w:right w:val="single" w:color="000000" w:sz="8" w:space="0"/>
            </w:tcBorders>
            <w:tcW w:w="691"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b/>
                <w:bCs/>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b/>
                <w:bCs/>
              </w:rPr>
              <w:t xml:space="preserve">价格分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08"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lang w:bidi="ar"/>
              </w:rPr>
              <w:t xml:space="preserve">采用低价优先法计算，即满足招标文件要求且投标价格最低的投标报价为评标基准价，其价格分为满分。其他投标人的价格分统一按照下列公式计算：投标报价得分=(评标基准价／投标报价)×价格权值×100。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jc w:val="center"/>
              <w:keepLines w:val="0"/>
              <w:keepNext w:val="0"/>
              <w:pageBreakBefore w:val="0"/>
              <w:spacing w:line="360" w:lineRule="exact"/>
              <w:widowControl/>
              <w:rPr>
                <w:rFonts w:hint="eastAsia" w:ascii="宋体" w:hAnsi="宋体" w:cs="宋体"/>
                <w:b/>
                <w:bCs/>
                <w:color w:val="auto"/>
              </w:rPr>
            </w:pPr>
            <w:r>
              <w:rPr>
                <w:rFonts w:hint="eastAsia" w:ascii="宋体" w:hAnsi="宋体" w:cs="宋体"/>
                <w:b/>
                <w:bCs/>
                <w:color w:val="auto"/>
              </w:rPr>
              <w:t xml:space="preserve">0</w:t>
            </w:r>
            <w:r/>
          </w:p>
        </w:tc>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jc w:val="center"/>
              <w:keepLines w:val="0"/>
              <w:keepNext w:val="0"/>
              <w:pageBreakBefore w:val="0"/>
              <w:spacing w:line="360" w:lineRule="exact"/>
              <w:widowControl/>
              <w:rPr>
                <w:rFonts w:hint="default" w:ascii="宋体" w:hAnsi="宋体" w:eastAsia="宋体" w:cs="宋体"/>
                <w:b/>
                <w:bCs/>
                <w:color w:val="auto"/>
                <w:lang w:val="en-US" w:eastAsia="zh-CN"/>
              </w:rPr>
            </w:pPr>
            <w:r>
              <w:rPr>
                <w:rFonts w:hint="eastAsia" w:ascii="宋体" w:hAnsi="宋体" w:cs="宋体"/>
                <w:b/>
                <w:bCs/>
                <w:color w:val="auto"/>
                <w:lang w:val="en-US" w:eastAsia="zh-CN"/>
              </w:rPr>
              <w:t xml:space="preserve">30</w:t>
            </w:r>
            <w:r/>
          </w:p>
        </w:tc>
        <w:tc>
          <w:tcPr>
            <w:tcBorders>
              <w:top w:val="single" w:color="000000" w:sz="8" w:space="0"/>
              <w:left w:val="single" w:color="000000" w:sz="8" w:space="0"/>
              <w:bottom w:val="single" w:color="000000" w:sz="8" w:space="0"/>
              <w:right w:val="single" w:color="000000" w:sz="8" w:space="0"/>
            </w:tcBorders>
            <w:tcW w:w="704" w:type="dxa"/>
            <w:vAlign w:val="center"/>
            <w:textDirection w:val="lrTb"/>
            <w:noWrap w:val="false"/>
          </w:tcPr>
          <w:p>
            <w:pPr>
              <w:jc w:val="center"/>
              <w:keepLines w:val="0"/>
              <w:keepNext w:val="0"/>
              <w:pageBreakBefore w:val="0"/>
              <w:spacing w:line="360" w:lineRule="exact"/>
              <w:widowControl/>
              <w:rPr>
                <w:rFonts w:hint="eastAsia" w:ascii="宋体" w:hAnsi="宋体" w:cs="宋体"/>
                <w:b/>
                <w:bCs/>
                <w:color w:val="auto"/>
              </w:rPr>
            </w:pPr>
            <w:r>
              <w:rPr>
                <w:rFonts w:hint="eastAsia" w:ascii="宋体" w:hAnsi="宋体" w:cs="宋体"/>
                <w:b/>
                <w:bCs/>
                <w:color w:val="auto"/>
              </w:rPr>
            </w:r>
            <w:r/>
          </w:p>
        </w:tc>
        <w:tc>
          <w:tcPr>
            <w:tcBorders>
              <w:top w:val="single" w:color="000000" w:sz="8" w:space="0"/>
              <w:left w:val="single" w:color="000000" w:sz="8" w:space="0"/>
              <w:bottom w:val="single" w:color="000000" w:sz="8" w:space="0"/>
              <w:right w:val="single" w:color="000000" w:sz="8" w:space="0"/>
            </w:tcBorders>
            <w:tcW w:w="690"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b/>
                <w:bCs/>
              </w:rPr>
            </w:r>
            <w:r/>
          </w:p>
        </w:tc>
      </w:tr>
      <w:tr>
        <w:trPr>
          <w:trHeight w:val="420"/>
        </w:trPr>
        <w:tc>
          <w:tcPr>
            <w:tcBorders>
              <w:top w:val="single" w:color="000000" w:sz="8" w:space="0"/>
              <w:left w:val="single" w:color="000000" w:sz="8" w:space="0"/>
              <w:bottom w:val="single" w:color="000000" w:sz="8" w:space="0"/>
              <w:right w:val="single" w:color="000000" w:sz="8" w:space="0"/>
            </w:tcBorders>
            <w:tcW w:w="691"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b/>
                <w:bCs/>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jc w:val="center"/>
              <w:keepLines w:val="0"/>
              <w:keepNext w:val="0"/>
              <w:pageBreakBefore w:val="0"/>
              <w:spacing w:line="360" w:lineRule="exact"/>
              <w:widowControl/>
              <w:rPr>
                <w:rFonts w:hint="eastAsia" w:ascii="宋体" w:hAnsi="宋体" w:cs="宋体"/>
              </w:rPr>
            </w:pPr>
            <w:r>
              <w:rPr>
                <w:rFonts w:hint="eastAsia" w:ascii="宋体" w:hAnsi="宋体" w:cs="宋体"/>
                <w:b/>
                <w:bCs/>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08" w:type="dxa"/>
            <w:vAlign w:val="center"/>
            <w:textDirection w:val="lrTb"/>
            <w:noWrap w:val="false"/>
          </w:tcPr>
          <w:p>
            <w:pPr>
              <w:jc w:val="center"/>
              <w:keepLines w:val="0"/>
              <w:keepNext w:val="0"/>
              <w:pageBreakBefore w:val="0"/>
              <w:spacing w:line="360" w:lineRule="exact"/>
              <w:widowControl/>
              <w:rPr>
                <w:rFonts w:hint="eastAsia" w:ascii="宋体" w:hAnsi="宋体" w:cs="宋体"/>
              </w:rPr>
            </w:pPr>
            <w:r>
              <w:rPr>
                <w:rFonts w:hint="eastAsia" w:ascii="宋体" w:hAnsi="宋体" w:cs="宋体"/>
                <w:b/>
              </w:rPr>
              <w:t xml:space="preserve">评分标准和评审材料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jc w:val="center"/>
              <w:keepLines w:val="0"/>
              <w:keepNext w:val="0"/>
              <w:pageBreakBefore w:val="0"/>
              <w:spacing w:line="360" w:lineRule="exact"/>
              <w:rPr>
                <w:rFonts w:hint="eastAsia" w:ascii="宋体" w:hAnsi="宋体" w:cs="宋体"/>
                <w:b/>
              </w:rPr>
            </w:pPr>
            <w:r>
              <w:rPr>
                <w:rFonts w:hint="eastAsia" w:ascii="宋体" w:hAnsi="宋体" w:cs="宋体"/>
                <w:b/>
              </w:rPr>
              <w:t xml:space="preserve">最低分值</w:t>
            </w:r>
            <w:r/>
          </w:p>
        </w:tc>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jc w:val="center"/>
              <w:keepLines w:val="0"/>
              <w:keepNext w:val="0"/>
              <w:pageBreakBefore w:val="0"/>
              <w:spacing w:line="360" w:lineRule="exact"/>
              <w:rPr>
                <w:rFonts w:hint="eastAsia" w:ascii="宋体" w:hAnsi="宋体" w:cs="宋体"/>
                <w:b/>
              </w:rPr>
            </w:pPr>
            <w:r>
              <w:rPr>
                <w:rFonts w:hint="eastAsia" w:ascii="宋体" w:hAnsi="宋体" w:cs="宋体"/>
                <w:b/>
              </w:rPr>
              <w:t xml:space="preserve">最高分值</w:t>
            </w:r>
            <w:r/>
          </w:p>
        </w:tc>
        <w:tc>
          <w:tcPr>
            <w:tcBorders>
              <w:top w:val="single" w:color="000000" w:sz="8" w:space="0"/>
              <w:left w:val="single" w:color="000000" w:sz="8" w:space="0"/>
              <w:bottom w:val="single" w:color="000000" w:sz="8" w:space="0"/>
              <w:right w:val="single" w:color="000000" w:sz="8" w:space="0"/>
            </w:tcBorders>
            <w:tcW w:w="704" w:type="dxa"/>
            <w:vAlign w:val="center"/>
            <w:textDirection w:val="lrTb"/>
            <w:noWrap w:val="false"/>
          </w:tcPr>
          <w:p>
            <w:pPr>
              <w:jc w:val="center"/>
              <w:keepLines w:val="0"/>
              <w:keepNext w:val="0"/>
              <w:pageBreakBefore w:val="0"/>
              <w:spacing w:line="360" w:lineRule="exact"/>
              <w:rPr>
                <w:rFonts w:hint="eastAsia" w:ascii="宋体" w:hAnsi="宋体" w:cs="宋体"/>
                <w:b/>
              </w:rPr>
            </w:pPr>
            <w:r>
              <w:rPr>
                <w:rFonts w:hint="eastAsia" w:ascii="宋体" w:hAnsi="宋体" w:cs="宋体"/>
                <w:b/>
              </w:rPr>
              <w:t xml:space="preserve">是否暗标评审</w:t>
            </w:r>
            <w:r/>
          </w:p>
        </w:tc>
        <w:tc>
          <w:tcPr>
            <w:tcBorders>
              <w:top w:val="single" w:color="000000" w:sz="8" w:space="0"/>
              <w:left w:val="single" w:color="000000" w:sz="8" w:space="0"/>
              <w:bottom w:val="single" w:color="000000" w:sz="8" w:space="0"/>
              <w:right w:val="single" w:color="000000" w:sz="8" w:space="0"/>
            </w:tcBorders>
            <w:tcW w:w="690" w:type="dxa"/>
            <w:vAlign w:val="center"/>
            <w:textDirection w:val="lrTb"/>
            <w:noWrap w:val="false"/>
          </w:tcPr>
          <w:p>
            <w:pPr>
              <w:jc w:val="center"/>
              <w:keepLines w:val="0"/>
              <w:keepNext w:val="0"/>
              <w:pageBreakBefore w:val="0"/>
              <w:spacing w:line="360" w:lineRule="exact"/>
              <w:rPr>
                <w:rFonts w:hint="eastAsia" w:ascii="宋体" w:hAnsi="宋体" w:cs="宋体"/>
                <w:b/>
              </w:rPr>
            </w:pPr>
            <w:r>
              <w:rPr>
                <w:rFonts w:hint="eastAsia" w:ascii="宋体" w:hAnsi="宋体" w:cs="宋体"/>
                <w:b/>
              </w:rPr>
              <w:t xml:space="preserve">是否客观分</w:t>
            </w:r>
            <w:r/>
          </w:p>
        </w:tc>
      </w:tr>
      <w:tr>
        <w:trPr>
          <w:trHeight w:val="420"/>
        </w:trPr>
        <w:tc>
          <w:tcPr>
            <w:tcBorders>
              <w:top w:val="single" w:color="000000" w:sz="8" w:space="0"/>
              <w:left w:val="single" w:color="000000" w:sz="8" w:space="0"/>
              <w:bottom w:val="single" w:color="000000" w:sz="8" w:space="0"/>
              <w:right w:val="single" w:color="000000" w:sz="8" w:space="0"/>
            </w:tcBorders>
            <w:tcW w:w="691"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b/>
                <w:bCs/>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b/>
                <w:bCs/>
              </w:rPr>
              <w:t xml:space="preserve">技术分</w:t>
            </w:r>
            <w:r/>
          </w:p>
          <w:p>
            <w:pPr>
              <w:jc w:val="center"/>
              <w:keepLines w:val="0"/>
              <w:keepNext w:val="0"/>
              <w:pageBreakBefore w:val="0"/>
              <w:spacing w:line="360" w:lineRule="exact"/>
              <w:widowControl/>
              <w:rPr>
                <w:rFonts w:hint="eastAsia" w:ascii="宋体" w:hAnsi="宋体" w:cs="宋体"/>
                <w:b/>
                <w:bCs/>
              </w:rPr>
            </w:pPr>
            <w:r>
              <w:rPr>
                <w:rFonts w:hint="eastAsia" w:ascii="宋体" w:hAnsi="宋体" w:cs="宋体"/>
                <w:b/>
                <w:bCs/>
              </w:rPr>
              <w:t xml:space="preserve">（主观分）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08" w:type="dxa"/>
            <w:vAlign w:val="center"/>
            <w:textDirection w:val="lrTb"/>
            <w:noWrap w:val="false"/>
          </w:tcPr>
          <w:p>
            <w:pPr>
              <w:jc w:val="left"/>
              <w:keepLines w:val="0"/>
              <w:keepNext w:val="0"/>
              <w:pageBreakBefore w:val="0"/>
              <w:spacing w:line="360" w:lineRule="exact"/>
              <w:widowControl/>
              <w:rPr>
                <w:rFonts w:hint="eastAsia" w:ascii="宋体" w:hAnsi="宋体" w:cs="宋体"/>
                <w:b/>
                <w:bCs/>
              </w:rPr>
            </w:pPr>
            <w:r>
              <w:rPr>
                <w:rFonts w:hint="eastAsia" w:ascii="宋体" w:hAnsi="宋体" w:cs="宋体"/>
                <w:b/>
                <w:bCs/>
              </w:rPr>
              <w:t xml:space="preserve">下列（2.1，2.2，2.3）评分项属于暗标评审项。各投标人（供应商）提供评审材料（含样品）中不能出现投标人（供应商）的名称、标志、标记以及其它能够体现投标人（供应商）的信息，否则所有暗标评审项目均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b/>
                <w:bCs/>
              </w:rPr>
              <w:t xml:space="preserve">0</w:t>
            </w:r>
            <w:r/>
          </w:p>
        </w:tc>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810"/>
              <w:jc w:val="center"/>
              <w:keepLines w:val="0"/>
              <w:keepNext w:val="0"/>
              <w:pageBreakBefore w:val="0"/>
              <w:spacing w:line="360" w:lineRule="exact"/>
              <w:rPr>
                <w:rFonts w:hint="default" w:eastAsia="宋体"/>
                <w:lang w:val="en-US" w:eastAsia="zh-CN"/>
              </w:rPr>
            </w:pPr>
            <w:r>
              <w:rPr>
                <w:rFonts w:hint="eastAsia" w:ascii="宋体" w:hAnsi="宋体" w:cs="宋体"/>
                <w:b/>
                <w:bCs/>
                <w:strike/>
                <w:lang w:val="en-US" w:eastAsia="zh-CN"/>
              </w:rPr>
              <w:t xml:space="preserve">1</w:t>
            </w:r>
            <w:r>
              <w:rPr>
                <w:rFonts w:hint="eastAsia" w:asciiTheme="minorEastAsia" w:hAnsiTheme="minorEastAsia" w:eastAsiaTheme="minorEastAsia" w:cstheme="minorEastAsia"/>
                <w:b/>
                <w:bCs/>
                <w:sz w:val="21"/>
                <w:szCs w:val="21"/>
                <w:lang w:val="en-US" w:eastAsia="zh-CN"/>
              </w:rPr>
              <w:t xml:space="preserve">18</w:t>
            </w:r>
            <w:r/>
          </w:p>
          <w:p>
            <w:pPr>
              <w:pStyle w:val="810"/>
              <w:keepLines w:val="0"/>
              <w:keepNext w:val="0"/>
              <w:pageBreakBefore w:val="0"/>
              <w:spacing w:line="360" w:lineRule="exact"/>
              <w:rPr>
                <w:rFonts w:hint="eastAsia"/>
              </w:rPr>
            </w:pPr>
            <w:r>
              <w:rPr>
                <w:rFonts w:hint="eastAsia"/>
              </w:rPr>
              <w:t xml:space="preserve">1</w:t>
            </w:r>
            <w:r/>
          </w:p>
        </w:tc>
        <w:tc>
          <w:tcPr>
            <w:tcBorders>
              <w:top w:val="single" w:color="000000" w:sz="8" w:space="0"/>
              <w:left w:val="single" w:color="000000" w:sz="8" w:space="0"/>
              <w:bottom w:val="single" w:color="000000" w:sz="8" w:space="0"/>
              <w:right w:val="single" w:color="000000" w:sz="8" w:space="0"/>
            </w:tcBorders>
            <w:tcW w:w="704"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b/>
                <w:bCs/>
              </w:rPr>
              <w:t xml:space="preserve">是</w:t>
            </w:r>
            <w:r/>
          </w:p>
        </w:tc>
        <w:tc>
          <w:tcPr>
            <w:tcBorders>
              <w:top w:val="single" w:color="000000" w:sz="8" w:space="0"/>
              <w:left w:val="single" w:color="000000" w:sz="8" w:space="0"/>
              <w:bottom w:val="single" w:color="000000" w:sz="8" w:space="0"/>
              <w:right w:val="single" w:color="000000" w:sz="8" w:space="0"/>
            </w:tcBorders>
            <w:tcW w:w="690"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b/>
                <w:bCs/>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691"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b/>
                <w:bCs/>
              </w:rPr>
              <w:t xml:space="preserve">2.1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jc w:val="center"/>
              <w:keepLines w:val="0"/>
              <w:keepNext w:val="0"/>
              <w:pageBreakBefore w:val="0"/>
              <w:spacing w:line="360" w:lineRule="exact"/>
              <w:widowControl/>
              <w:rPr>
                <w:rFonts w:hint="eastAsia" w:ascii="宋体" w:hAnsi="宋体" w:cs="宋体"/>
                <w:b/>
                <w:bCs/>
                <w:color w:val="auto"/>
              </w:rPr>
            </w:pPr>
            <w:r>
              <w:rPr>
                <w:rFonts w:hint="eastAsia" w:asciiTheme="minorEastAsia" w:hAnsiTheme="minorEastAsia" w:eastAsiaTheme="minorEastAsia" w:cstheme="minorEastAsia"/>
                <w:color w:val="auto"/>
                <w:lang w:bidi="ar"/>
              </w:rPr>
              <w:t xml:space="preserve">技术方案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08" w:type="dxa"/>
            <w:vAlign w:val="center"/>
            <w:textDirection w:val="lrTb"/>
            <w:noWrap w:val="false"/>
          </w:tcPr>
          <w:p>
            <w:pPr>
              <w:jc w:val="left"/>
              <w:keepLines w:val="0"/>
              <w:keepNext w:val="0"/>
              <w:pageBreakBefore w:val="0"/>
              <w:spacing w:line="360" w:lineRule="exact"/>
              <w:widowControl/>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根据本项目的特点，提供详细方案，</w:t>
            </w:r>
            <w:r>
              <w:rPr>
                <w:rFonts w:hint="eastAsia" w:asciiTheme="minorEastAsia" w:hAnsiTheme="minorEastAsia" w:eastAsiaTheme="minorEastAsia" w:cstheme="minorEastAsia"/>
                <w:color w:val="auto"/>
                <w:lang w:val="en-US" w:eastAsia="zh-CN"/>
              </w:rPr>
              <w:t xml:space="preserve">至少</w:t>
            </w:r>
            <w:r>
              <w:rPr>
                <w:rFonts w:hint="eastAsia" w:asciiTheme="minorEastAsia" w:hAnsiTheme="minorEastAsia" w:eastAsiaTheme="minorEastAsia" w:cstheme="minorEastAsia"/>
                <w:color w:val="auto"/>
              </w:rPr>
              <w:t xml:space="preserve">包含：①现场勘察报告；②</w:t>
            </w:r>
            <w:r>
              <w:rPr>
                <w:rFonts w:hint="eastAsia" w:asciiTheme="minorEastAsia" w:hAnsiTheme="minorEastAsia" w:eastAsiaTheme="minorEastAsia" w:cstheme="minorEastAsia"/>
                <w:color w:val="auto"/>
                <w:lang w:val="en-US" w:eastAsia="zh-CN"/>
              </w:rPr>
              <w:t xml:space="preserve">与学校现有校园网络、监控网络的融合</w:t>
            </w:r>
            <w:r>
              <w:rPr>
                <w:rFonts w:hint="eastAsia" w:asciiTheme="minorEastAsia" w:hAnsiTheme="minorEastAsia" w:eastAsiaTheme="minorEastAsia" w:cstheme="minorEastAsia"/>
                <w:color w:val="auto"/>
              </w:rPr>
              <w:t xml:space="preserve">网络技术方案；③网络改造拓扑图；④</w:t>
            </w:r>
            <w:r>
              <w:rPr>
                <w:rFonts w:hint="eastAsia" w:asciiTheme="minorEastAsia" w:hAnsiTheme="minorEastAsia" w:eastAsiaTheme="minorEastAsia" w:cstheme="minorEastAsia"/>
                <w:i w:val="0"/>
                <w:iCs w:val="0"/>
                <w:color w:val="auto"/>
                <w:sz w:val="21"/>
                <w:szCs w:val="21"/>
                <w:u w:val="none"/>
                <w:lang w:val="en-US" w:eastAsia="zh-CN" w:bidi="ar"/>
              </w:rPr>
              <w:t xml:space="preserve">多波段紫红外火焰探测器与热成像双目枪式摄像机的联动方案</w:t>
            </w:r>
            <w:r>
              <w:rPr>
                <w:rFonts w:hint="eastAsia" w:asciiTheme="minorEastAsia" w:hAnsiTheme="minorEastAsia" w:eastAsiaTheme="minorEastAsia" w:cstheme="minorEastAsia"/>
                <w:color w:val="auto"/>
              </w:rPr>
              <w:t xml:space="preserve">；⑤</w:t>
            </w:r>
            <w:r>
              <w:rPr>
                <w:rFonts w:hint="eastAsia" w:asciiTheme="minorEastAsia" w:hAnsiTheme="minorEastAsia" w:eastAsiaTheme="minorEastAsia" w:cstheme="minorEastAsia"/>
                <w:i w:val="0"/>
                <w:iCs w:val="0"/>
                <w:color w:val="auto"/>
                <w:sz w:val="21"/>
                <w:szCs w:val="21"/>
                <w:u w:val="none"/>
                <w:lang w:val="en-US" w:eastAsia="zh-CN" w:bidi="ar"/>
              </w:rPr>
              <w:t xml:space="preserve">防欺凌预警终端（拾音器）与现有监控摄像机的联动方案；</w:t>
            </w:r>
            <w:r>
              <w:rPr>
                <w:rFonts w:hint="eastAsia" w:ascii="微软雅黑" w:hAnsi="微软雅黑" w:eastAsia="微软雅黑" w:cs="微软雅黑"/>
                <w:i w:val="0"/>
                <w:iCs w:val="0"/>
                <w:color w:val="auto"/>
                <w:sz w:val="21"/>
                <w:szCs w:val="21"/>
                <w:u w:val="none"/>
                <w:lang w:val="en-US" w:eastAsia="zh-CN" w:bidi="ar"/>
              </w:rPr>
              <w:t xml:space="preserve">⑥</w:t>
            </w:r>
            <w:r>
              <w:rPr>
                <w:rFonts w:hint="eastAsia" w:asciiTheme="minorEastAsia" w:hAnsiTheme="minorEastAsia" w:eastAsiaTheme="minorEastAsia" w:cstheme="minorEastAsia"/>
                <w:i w:val="0"/>
                <w:iCs w:val="0"/>
                <w:color w:val="auto"/>
                <w:sz w:val="21"/>
                <w:szCs w:val="21"/>
                <w:u w:val="none"/>
                <w:lang w:val="en-US" w:eastAsia="zh-CN" w:bidi="ar"/>
              </w:rPr>
              <w:t xml:space="preserve">本项目</w:t>
            </w:r>
            <w:r>
              <w:rPr>
                <w:rFonts w:hint="eastAsia" w:asciiTheme="minorEastAsia" w:hAnsiTheme="minorEastAsia" w:eastAsiaTheme="minorEastAsia" w:cstheme="minorEastAsia"/>
                <w:i w:val="0"/>
                <w:iCs w:val="0"/>
                <w:color w:val="000000"/>
                <w:sz w:val="21"/>
                <w:szCs w:val="21"/>
                <w:u w:val="none"/>
                <w:lang w:val="en-US" w:eastAsia="zh-CN" w:bidi="ar"/>
              </w:rPr>
              <w:t xml:space="preserve">热成像双目枪式摄像机与学校原有监控管理软件的对接方案</w:t>
            </w:r>
            <w:r>
              <w:rPr>
                <w:rFonts w:hint="eastAsia" w:asciiTheme="minorEastAsia" w:hAnsiTheme="minorEastAsia" w:eastAsiaTheme="minorEastAsia" w:cstheme="minorEastAsia"/>
                <w:color w:val="auto"/>
                <w:lang w:eastAsia="zh-CN"/>
              </w:rPr>
              <w:t xml:space="preserve">。</w:t>
            </w:r>
            <w:r>
              <w:rPr>
                <w:rFonts w:hAnsi="宋体" w:cs="宋体"/>
                <w:color w:val="auto"/>
              </w:rPr>
              <w:t xml:space="preserve">结合以上要求，分为以下</w:t>
            </w:r>
            <w:r>
              <w:rPr>
                <w:rFonts w:hint="eastAsia" w:hAnsi="宋体" w:cs="宋体"/>
                <w:color w:val="auto"/>
              </w:rPr>
              <w:t xml:space="preserve">三</w:t>
            </w:r>
            <w:r>
              <w:rPr>
                <w:rFonts w:hAnsi="宋体" w:cs="宋体"/>
                <w:color w:val="auto"/>
              </w:rPr>
              <w:t xml:space="preserve">个等级：</w:t>
            </w:r>
            <w:r/>
          </w:p>
          <w:p>
            <w:pPr>
              <w:jc w:val="left"/>
              <w:keepLines w:val="0"/>
              <w:keepNext w:val="0"/>
              <w:pageBreakBefore w:val="0"/>
              <w:spacing w:line="360" w:lineRule="exact"/>
              <w:widowControl/>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1.技术方案完整，现场勘察报告详细掌握学校真实环境，</w:t>
            </w:r>
            <w:r>
              <w:rPr>
                <w:rFonts w:hint="eastAsia" w:ascii="宋体" w:hAnsi="宋体" w:cs="宋体"/>
                <w:color w:val="auto"/>
              </w:rPr>
              <w:t xml:space="preserve">对项目中的特点、重点和难点有详细阐述，</w:t>
            </w:r>
            <w:r>
              <w:rPr>
                <w:rFonts w:hint="eastAsia" w:asciiTheme="minorEastAsia" w:hAnsiTheme="minorEastAsia" w:eastAsiaTheme="minorEastAsia" w:cstheme="minorEastAsia"/>
                <w:color w:val="auto"/>
              </w:rPr>
              <w:t xml:space="preserve">针对性强，细节完善，得</w:t>
            </w:r>
            <w:r>
              <w:rPr>
                <w:rFonts w:hint="eastAsia" w:asciiTheme="minorEastAsia" w:hAnsiTheme="minorEastAsia" w:eastAsiaTheme="minorEastAsia" w:cstheme="minorEastAsia"/>
                <w:color w:val="auto"/>
                <w:lang w:val="en-US" w:eastAsia="zh-CN"/>
              </w:rPr>
              <w:t xml:space="preserve">7</w:t>
            </w:r>
            <w:r>
              <w:rPr>
                <w:rFonts w:hint="eastAsia" w:asciiTheme="minorEastAsia" w:hAnsiTheme="minorEastAsia" w:eastAsiaTheme="minorEastAsia" w:cstheme="minorEastAsia"/>
                <w:color w:val="auto"/>
              </w:rPr>
              <w:t xml:space="preserve">-</w:t>
            </w:r>
            <w:r>
              <w:rPr>
                <w:rFonts w:hint="eastAsia" w:asciiTheme="minorEastAsia" w:hAnsiTheme="minorEastAsia" w:eastAsiaTheme="minorEastAsia" w:cstheme="minorEastAsia"/>
                <w:color w:val="auto"/>
                <w:lang w:val="en-US" w:eastAsia="zh-CN"/>
              </w:rPr>
              <w:t xml:space="preserve">9</w:t>
            </w:r>
            <w:r>
              <w:rPr>
                <w:rFonts w:hint="eastAsia" w:asciiTheme="minorEastAsia" w:hAnsiTheme="minorEastAsia" w:eastAsiaTheme="minorEastAsia" w:cstheme="minorEastAsia"/>
                <w:color w:val="auto"/>
              </w:rPr>
              <w:t xml:space="preserve">分；</w:t>
            </w:r>
            <w:r/>
          </w:p>
          <w:p>
            <w:pPr>
              <w:jc w:val="left"/>
              <w:keepLines w:val="0"/>
              <w:keepNext w:val="0"/>
              <w:pageBreakBefore w:val="0"/>
              <w:spacing w:line="360" w:lineRule="exact"/>
              <w:widowControl/>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2.技术方案</w:t>
            </w:r>
            <w:r>
              <w:rPr>
                <w:rFonts w:hint="eastAsia" w:asciiTheme="minorEastAsia" w:hAnsiTheme="minorEastAsia" w:eastAsiaTheme="minorEastAsia" w:cstheme="minorEastAsia"/>
                <w:color w:val="auto"/>
                <w:lang w:val="en-US" w:eastAsia="zh-CN"/>
              </w:rPr>
              <w:t xml:space="preserve">较</w:t>
            </w:r>
            <w:r>
              <w:rPr>
                <w:rFonts w:hint="eastAsia" w:asciiTheme="minorEastAsia" w:hAnsiTheme="minorEastAsia" w:eastAsiaTheme="minorEastAsia" w:cstheme="minorEastAsia"/>
                <w:color w:val="auto"/>
              </w:rPr>
              <w:t xml:space="preserve">完整，细节简单，基本符合项目需求，得</w:t>
            </w:r>
            <w:r>
              <w:rPr>
                <w:rFonts w:hint="eastAsia" w:asciiTheme="minorEastAsia" w:hAnsiTheme="minorEastAsia" w:eastAsiaTheme="minorEastAsia" w:cstheme="minorEastAsia"/>
                <w:color w:val="auto"/>
                <w:lang w:val="en-US" w:eastAsia="zh-CN"/>
              </w:rPr>
              <w:t xml:space="preserve">4</w:t>
            </w:r>
            <w:r>
              <w:rPr>
                <w:rFonts w:hint="eastAsia" w:asciiTheme="minorEastAsia" w:hAnsiTheme="minorEastAsia" w:eastAsiaTheme="minorEastAsia" w:cstheme="minorEastAsia"/>
                <w:color w:val="auto"/>
              </w:rPr>
              <w:t xml:space="preserve">-</w:t>
            </w:r>
            <w:r>
              <w:rPr>
                <w:rFonts w:hint="eastAsia" w:asciiTheme="minorEastAsia" w:hAnsiTheme="minorEastAsia" w:eastAsiaTheme="minorEastAsia" w:cstheme="minorEastAsia"/>
                <w:color w:val="auto"/>
                <w:lang w:val="en-US" w:eastAsia="zh-CN"/>
              </w:rPr>
              <w:t xml:space="preserve">6</w:t>
            </w:r>
            <w:r>
              <w:rPr>
                <w:rFonts w:hint="eastAsia" w:asciiTheme="minorEastAsia" w:hAnsiTheme="minorEastAsia" w:eastAsiaTheme="minorEastAsia" w:cstheme="minorEastAsia"/>
                <w:color w:val="auto"/>
              </w:rPr>
              <w:t xml:space="preserve">分；</w:t>
            </w:r>
            <w:r/>
          </w:p>
          <w:p>
            <w:pPr>
              <w:jc w:val="left"/>
              <w:keepLines w:val="0"/>
              <w:keepNext w:val="0"/>
              <w:pageBreakBefore w:val="0"/>
              <w:spacing w:line="360" w:lineRule="exact"/>
              <w:widowControl/>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3. 技术方案不完整，针对性一般，得1-</w:t>
            </w:r>
            <w:r>
              <w:rPr>
                <w:rFonts w:hint="eastAsia" w:asciiTheme="minorEastAsia" w:hAnsiTheme="minorEastAsia" w:eastAsiaTheme="minorEastAsia" w:cstheme="minorEastAsia"/>
                <w:color w:val="auto"/>
                <w:lang w:val="en-US" w:eastAsia="zh-CN"/>
              </w:rPr>
              <w:t xml:space="preserve">3</w:t>
            </w:r>
            <w:r>
              <w:rPr>
                <w:rFonts w:hint="eastAsia" w:asciiTheme="minorEastAsia" w:hAnsiTheme="minorEastAsia" w:eastAsiaTheme="minorEastAsia" w:cstheme="minorEastAsia"/>
                <w:color w:val="auto"/>
              </w:rPr>
              <w:t xml:space="preserve">分；</w:t>
            </w:r>
            <w:r/>
          </w:p>
          <w:p>
            <w:pPr>
              <w:keepLines w:val="0"/>
              <w:keepNext w:val="0"/>
              <w:pageBreakBefore w:val="0"/>
              <w:spacing w:line="360" w:lineRule="exact"/>
              <w:widowControl/>
              <w:rPr>
                <w:rFonts w:hint="eastAsia" w:ascii="宋体" w:hAnsi="宋体" w:cs="宋体"/>
                <w:b/>
                <w:bCs/>
                <w:color w:val="auto"/>
              </w:rPr>
            </w:pPr>
            <w:r>
              <w:rPr>
                <w:rFonts w:hint="eastAsia" w:asciiTheme="minorEastAsia" w:hAnsiTheme="minorEastAsia" w:eastAsiaTheme="minorEastAsia" w:cstheme="minorEastAsia"/>
                <w:color w:val="auto"/>
              </w:rPr>
              <w:t xml:space="preserve">未提供不得分。</w:t>
            </w:r>
            <w:r>
              <w:rPr>
                <w:rFonts w:asciiTheme="minorEastAsia" w:hAnsiTheme="minorEastAsia" w:eastAsiaTheme="minorEastAsia" w:cstheme="minorEastAsia"/>
                <w:color w:val="auto"/>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jc w:val="center"/>
              <w:keepLines w:val="0"/>
              <w:keepNext w:val="0"/>
              <w:pageBreakBefore w:val="0"/>
              <w:spacing w:line="360" w:lineRule="exact"/>
              <w:widowControl/>
              <w:rPr>
                <w:rFonts w:hint="eastAsia" w:ascii="宋体" w:hAnsi="宋体" w:cs="宋体"/>
                <w:b/>
                <w:bCs/>
                <w:color w:val="auto"/>
              </w:rPr>
            </w:pPr>
            <w:r>
              <w:rPr>
                <w:rFonts w:hint="eastAsia" w:asciiTheme="minorEastAsia" w:hAnsiTheme="minorEastAsia" w:eastAsiaTheme="minorEastAsia" w:cstheme="minorEastAsia"/>
                <w:b/>
                <w:bCs/>
                <w:color w:val="auto"/>
              </w:rPr>
              <w:t xml:space="preserve">0</w:t>
            </w:r>
            <w:r/>
          </w:p>
        </w:tc>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color w:val="auto"/>
                <w:lang w:eastAsia="zh-CN"/>
              </w:rPr>
            </w:pPr>
            <w:r>
              <w:rPr>
                <w:rFonts w:hint="eastAsia" w:asciiTheme="minorEastAsia" w:hAnsiTheme="minorEastAsia" w:eastAsiaTheme="minorEastAsia" w:cstheme="minorEastAsia"/>
                <w:b/>
                <w:bCs/>
                <w:color w:val="auto"/>
                <w:lang w:val="en-US" w:eastAsia="zh-CN"/>
              </w:rPr>
              <w:t xml:space="preserve">9</w:t>
            </w:r>
            <w:r/>
          </w:p>
        </w:tc>
        <w:tc>
          <w:tcPr>
            <w:tcBorders>
              <w:top w:val="single" w:color="000000" w:sz="8" w:space="0"/>
              <w:left w:val="single" w:color="000000" w:sz="8" w:space="0"/>
              <w:bottom w:val="single" w:color="000000" w:sz="8" w:space="0"/>
              <w:right w:val="single" w:color="000000" w:sz="8" w:space="0"/>
            </w:tcBorders>
            <w:tcW w:w="704" w:type="dxa"/>
            <w:vAlign w:val="center"/>
            <w:textDirection w:val="lrTb"/>
            <w:noWrap w:val="false"/>
          </w:tcPr>
          <w:p>
            <w:pPr>
              <w:jc w:val="center"/>
              <w:keepLines w:val="0"/>
              <w:keepNext w:val="0"/>
              <w:pageBreakBefore w:val="0"/>
              <w:spacing w:line="360" w:lineRule="exact"/>
              <w:widowControl/>
              <w:rPr>
                <w:rFonts w:hint="eastAsia" w:ascii="宋体" w:hAnsi="宋体" w:cs="宋体"/>
                <w:b/>
                <w:bCs/>
                <w:color w:val="auto"/>
              </w:rPr>
            </w:pPr>
            <w:r>
              <w:rPr>
                <w:rFonts w:hint="eastAsia" w:asciiTheme="minorEastAsia" w:hAnsiTheme="minorEastAsia" w:eastAsiaTheme="minorEastAsia" w:cstheme="minorEastAsia"/>
                <w:b/>
                <w:bCs/>
                <w:color w:val="auto"/>
              </w:rPr>
              <w:t xml:space="preserve">是</w:t>
            </w:r>
            <w:r/>
          </w:p>
        </w:tc>
        <w:tc>
          <w:tcPr>
            <w:tcBorders>
              <w:top w:val="single" w:color="000000" w:sz="8" w:space="0"/>
              <w:left w:val="single" w:color="000000" w:sz="8" w:space="0"/>
              <w:bottom w:val="single" w:color="000000" w:sz="8" w:space="0"/>
              <w:right w:val="single" w:color="000000" w:sz="8" w:space="0"/>
            </w:tcBorders>
            <w:tcW w:w="690" w:type="dxa"/>
            <w:vAlign w:val="center"/>
            <w:textDirection w:val="lrTb"/>
            <w:noWrap w:val="false"/>
          </w:tcPr>
          <w:p>
            <w:pPr>
              <w:jc w:val="center"/>
              <w:keepLines w:val="0"/>
              <w:keepNext w:val="0"/>
              <w:pageBreakBefore w:val="0"/>
              <w:spacing w:line="360" w:lineRule="exact"/>
              <w:widowControl/>
              <w:rPr>
                <w:rFonts w:hint="eastAsia" w:ascii="宋体" w:hAnsi="宋体" w:cs="宋体"/>
                <w:b/>
                <w:bCs/>
                <w:color w:val="auto"/>
              </w:rPr>
            </w:pPr>
            <w:r>
              <w:rPr>
                <w:rFonts w:hint="eastAsia" w:asciiTheme="minorEastAsia" w:hAnsiTheme="minorEastAsia" w:eastAsiaTheme="minorEastAsia" w:cstheme="minorEastAsia"/>
                <w:b/>
                <w:bCs/>
                <w:color w:val="auto"/>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691"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b/>
                <w:bCs/>
              </w:rPr>
              <w:t xml:space="preserve">2.2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jc w:val="center"/>
              <w:keepLines w:val="0"/>
              <w:keepNext w:val="0"/>
              <w:pageBreakBefore w:val="0"/>
              <w:spacing w:line="360" w:lineRule="exact"/>
              <w:widowControl/>
              <w:rPr>
                <w:rFonts w:hint="eastAsia" w:ascii="宋体" w:hAnsi="宋体" w:cs="宋体"/>
                <w:b/>
                <w:bCs/>
                <w:color w:val="auto"/>
              </w:rPr>
            </w:pPr>
            <w:r>
              <w:rPr>
                <w:rFonts w:hint="eastAsia" w:ascii="宋体" w:hAnsi="宋体" w:cs="宋体"/>
                <w:color w:val="auto"/>
                <w:sz w:val="21"/>
                <w:szCs w:val="21"/>
                <w:highlight w:val="none"/>
                <w:lang w:bidi="ar"/>
              </w:rPr>
              <w:t xml:space="preserve">实施方案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08" w:type="dxa"/>
            <w:vAlign w:val="center"/>
            <w:textDirection w:val="lrTb"/>
            <w:noWrap w:val="false"/>
          </w:tcPr>
          <w:p>
            <w:pPr>
              <w:jc w:val="left"/>
              <w:keepLines w:val="0"/>
              <w:keepNext w:val="0"/>
              <w:pageBreakBefore w:val="0"/>
              <w:spacing w:line="360" w:lineRule="exact"/>
              <w:widowControl/>
              <w:rPr>
                <w:rFonts w:hint="eastAsia" w:ascii="宋体" w:hAnsi="宋体" w:cs="宋体"/>
                <w:color w:val="auto"/>
                <w:sz w:val="21"/>
                <w:szCs w:val="21"/>
                <w:highlight w:val="none"/>
                <w:lang w:bidi="ar"/>
              </w:rPr>
            </w:pPr>
            <w:r>
              <w:rPr>
                <w:rFonts w:hint="eastAsia" w:ascii="宋体" w:hAnsi="宋体" w:cs="宋体"/>
                <w:b/>
                <w:bCs/>
                <w:color w:val="auto"/>
                <w:sz w:val="21"/>
                <w:szCs w:val="21"/>
                <w:highlight w:val="none"/>
                <w:lang w:bidi="ar"/>
              </w:rPr>
              <w:t xml:space="preserve">投标人应提供针对本项目的实施方案。</w:t>
            </w:r>
            <w:r>
              <w:rPr>
                <w:rFonts w:hint="eastAsia" w:ascii="宋体" w:hAnsi="宋体" w:cs="宋体"/>
                <w:color w:val="auto"/>
                <w:sz w:val="21"/>
                <w:szCs w:val="21"/>
                <w:highlight w:val="none"/>
                <w:lang w:bidi="ar"/>
              </w:rPr>
              <w:t xml:space="preserve">根据招标文件的要求</w:t>
            </w:r>
            <w:r>
              <w:rPr>
                <w:rFonts w:hint="eastAsia" w:ascii="宋体" w:hAnsi="宋体" w:cs="宋体"/>
                <w:color w:val="auto"/>
                <w:sz w:val="21"/>
                <w:szCs w:val="21"/>
                <w:highlight w:val="none"/>
                <w:lang w:eastAsia="zh-CN" w:bidi="ar"/>
              </w:rPr>
              <w:t xml:space="preserve">，</w:t>
            </w:r>
            <w:r>
              <w:rPr>
                <w:rFonts w:hint="eastAsia" w:ascii="宋体" w:hAnsi="宋体" w:cs="宋体"/>
                <w:color w:val="auto"/>
                <w:sz w:val="21"/>
                <w:szCs w:val="21"/>
                <w:highlight w:val="none"/>
                <w:lang w:bidi="ar"/>
              </w:rPr>
              <w:t xml:space="preserve">提供</w:t>
            </w:r>
            <w:r>
              <w:rPr>
                <w:rFonts w:hint="eastAsia" w:ascii="宋体" w:hAnsi="宋体" w:cs="宋体"/>
                <w:color w:val="auto"/>
                <w:sz w:val="21"/>
                <w:szCs w:val="21"/>
                <w:highlight w:val="none"/>
                <w:lang w:val="en-US" w:eastAsia="zh-CN" w:bidi="ar"/>
              </w:rPr>
              <w:t xml:space="preserve">针对每个采购单位的</w:t>
            </w:r>
            <w:r>
              <w:rPr>
                <w:rFonts w:hint="eastAsia" w:ascii="宋体" w:hAnsi="宋体" w:cs="宋体"/>
                <w:color w:val="auto"/>
                <w:sz w:val="21"/>
                <w:szCs w:val="21"/>
                <w:highlight w:val="none"/>
                <w:lang w:bidi="ar"/>
              </w:rPr>
              <w:t xml:space="preserve">完善的施工方案，根据本项目的特点，详细说明在每一个环节中具体做法（包含但不限于</w:t>
            </w:r>
            <w:r>
              <w:rPr>
                <w:rFonts w:hint="eastAsia" w:ascii="宋体" w:hAnsi="宋体" w:cs="宋体"/>
                <w:color w:val="auto"/>
                <w:sz w:val="21"/>
                <w:szCs w:val="21"/>
                <w:highlight w:val="none"/>
                <w:lang w:val="en-US" w:eastAsia="zh-CN" w:bidi="ar"/>
              </w:rPr>
              <w:t xml:space="preserve">施工图、</w:t>
            </w:r>
            <w:r>
              <w:rPr>
                <w:rFonts w:hint="eastAsia" w:ascii="宋体" w:hAnsi="宋体" w:cs="宋体"/>
                <w:color w:val="auto"/>
                <w:sz w:val="21"/>
                <w:szCs w:val="21"/>
                <w:highlight w:val="none"/>
                <w:lang w:bidi="ar"/>
              </w:rPr>
              <w:t xml:space="preserve">项目的难点和重点、人员的合理配备、质量的前后监控、与其它施工项目的衔接、施工过程中规范化操作、对不可预见因素的预测及解决方案、施工结束后对各种设备及系统的调试、中标供应商提供到施工现场的产品进行抽检的方式方法等），确保项目保质、保量、保时完成。</w:t>
            </w:r>
            <w:r/>
          </w:p>
          <w:p>
            <w:pPr>
              <w:jc w:val="left"/>
              <w:keepLines w:val="0"/>
              <w:keepNext w:val="0"/>
              <w:pageBreakBefore w:val="0"/>
              <w:spacing w:line="360" w:lineRule="exact"/>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结合以上要求，分为以下四个等级：</w:t>
            </w:r>
            <w:r/>
          </w:p>
          <w:p>
            <w:pPr>
              <w:jc w:val="left"/>
              <w:keepLines w:val="0"/>
              <w:keepNext w:val="0"/>
              <w:pageBreakBefore w:val="0"/>
              <w:spacing w:line="360" w:lineRule="exact"/>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A 方案详细完善，对项目中的特点、重点和难点有详细、科学合理且具有可行性的阐述，施工过程规范，人员配备合理，有规范、严格的质量监控程序，得6分；</w:t>
            </w:r>
            <w:r/>
          </w:p>
          <w:p>
            <w:pPr>
              <w:jc w:val="left"/>
              <w:keepLines w:val="0"/>
              <w:keepNext w:val="0"/>
              <w:pageBreakBefore w:val="0"/>
              <w:spacing w:line="360" w:lineRule="exact"/>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B 方案详细程度较好，对项目中的特点、重点和难点有较详细且具有可行性的阐述，施工过程规范性较好，人员配备较合理，有较好的质量监控程序，得4分；</w:t>
            </w:r>
            <w:r/>
          </w:p>
          <w:p>
            <w:pPr>
              <w:jc w:val="left"/>
              <w:keepLines w:val="0"/>
              <w:keepNext w:val="0"/>
              <w:pageBreakBefore w:val="0"/>
              <w:spacing w:line="360" w:lineRule="exact"/>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C 方案简单，对项目中的特点、重点和难点简单阐述，施工过程规范性一般，人员配备不够合理，有简单的质量监控程序，得2分。</w:t>
            </w:r>
            <w:r/>
          </w:p>
          <w:p>
            <w:pPr>
              <w:jc w:val="left"/>
              <w:keepLines w:val="0"/>
              <w:keepNext w:val="0"/>
              <w:pageBreakBefore w:val="0"/>
              <w:spacing w:line="360" w:lineRule="exact"/>
              <w:widowControl/>
              <w:rPr>
                <w:rFonts w:hint="eastAsia"/>
                <w:color w:val="auto"/>
              </w:rPr>
            </w:pPr>
            <w:r>
              <w:rPr>
                <w:rFonts w:hint="eastAsia" w:ascii="宋体" w:hAnsi="宋体" w:cs="宋体"/>
                <w:color w:val="auto"/>
                <w:sz w:val="21"/>
                <w:szCs w:val="21"/>
                <w:highlight w:val="none"/>
                <w:lang w:bidi="ar"/>
              </w:rPr>
              <w:t xml:space="preserve">D 未提供方案，或方案不符合项目要求的，不得分。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b/>
                <w:bCs/>
              </w:rPr>
              <w:t xml:space="preserve">0</w:t>
            </w:r>
            <w:r/>
          </w:p>
        </w:tc>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lang w:eastAsia="zh-CN"/>
              </w:rPr>
            </w:pPr>
            <w:r>
              <w:rPr>
                <w:rFonts w:hint="eastAsia" w:ascii="宋体" w:hAnsi="宋体" w:cs="宋体"/>
                <w:b/>
                <w:bCs/>
                <w:color w:val="auto"/>
                <w:lang w:val="en-US" w:eastAsia="zh-CN"/>
              </w:rPr>
              <w:t xml:space="preserve">6</w:t>
            </w:r>
            <w:r/>
          </w:p>
        </w:tc>
        <w:tc>
          <w:tcPr>
            <w:tcBorders>
              <w:top w:val="single" w:color="000000" w:sz="8" w:space="0"/>
              <w:left w:val="single" w:color="000000" w:sz="8" w:space="0"/>
              <w:bottom w:val="single" w:color="000000" w:sz="8" w:space="0"/>
              <w:right w:val="single" w:color="000000" w:sz="8" w:space="0"/>
            </w:tcBorders>
            <w:tcW w:w="704"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b/>
                <w:bCs/>
              </w:rPr>
              <w:t xml:space="preserve">是</w:t>
            </w:r>
            <w:r/>
          </w:p>
        </w:tc>
        <w:tc>
          <w:tcPr>
            <w:tcBorders>
              <w:top w:val="single" w:color="000000" w:sz="8" w:space="0"/>
              <w:left w:val="single" w:color="000000" w:sz="8" w:space="0"/>
              <w:bottom w:val="single" w:color="000000" w:sz="8" w:space="0"/>
              <w:right w:val="single" w:color="000000" w:sz="8" w:space="0"/>
            </w:tcBorders>
            <w:tcW w:w="690"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b/>
                <w:bCs/>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691"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color w:val="auto"/>
                <w:highlight w:val="none"/>
                <w:lang w:eastAsia="zh-CN"/>
              </w:rPr>
            </w:pPr>
            <w:r>
              <w:rPr>
                <w:rFonts w:hint="eastAsia" w:ascii="宋体" w:hAnsi="宋体" w:cs="宋体"/>
                <w:color w:val="auto"/>
                <w:highlight w:val="none"/>
              </w:rPr>
              <w:t xml:space="preserve">2.</w:t>
            </w:r>
            <w:r>
              <w:rPr>
                <w:rFonts w:hint="eastAsia" w:ascii="宋体" w:hAnsi="宋体" w:cs="宋体"/>
                <w:color w:val="auto"/>
                <w:highlight w:val="none"/>
                <w:lang w:val="en-US" w:eastAsia="zh-CN"/>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jc w:val="center"/>
              <w:keepLines w:val="0"/>
              <w:keepNext w:val="0"/>
              <w:pageBreakBefore w:val="0"/>
              <w:spacing w:line="360" w:lineRule="exact"/>
              <w:widowControl/>
              <w:rPr>
                <w:rFonts w:hint="eastAsia" w:ascii="宋体" w:hAnsi="宋体" w:cs="宋体"/>
                <w:color w:val="auto"/>
                <w:highlight w:val="none"/>
              </w:rPr>
            </w:pPr>
            <w:r>
              <w:rPr>
                <w:rFonts w:hint="eastAsia" w:ascii="宋体" w:hAnsi="宋体" w:cs="宋体"/>
                <w:sz w:val="21"/>
                <w:szCs w:val="21"/>
                <w:highlight w:val="none"/>
                <w:lang w:bidi="ar"/>
              </w:rPr>
              <w:t xml:space="preserve">售后服务方案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08" w:type="dxa"/>
            <w:vAlign w:val="center"/>
            <w:textDirection w:val="lrTb"/>
            <w:noWrap w:val="false"/>
          </w:tcPr>
          <w:p>
            <w:pPr>
              <w:jc w:val="left"/>
              <w:keepLines w:val="0"/>
              <w:keepNext w:val="0"/>
              <w:pageBreakBefore w:val="0"/>
              <w:spacing w:line="360" w:lineRule="exact"/>
              <w:widowControl/>
              <w:rPr>
                <w:rFonts w:hint="eastAsia" w:ascii="宋体" w:hAnsi="宋体" w:cs="宋体"/>
                <w:b/>
                <w:bCs/>
                <w:sz w:val="21"/>
                <w:szCs w:val="21"/>
                <w:highlight w:val="none"/>
                <w:lang w:bidi="ar"/>
              </w:rPr>
            </w:pPr>
            <w:r>
              <w:rPr>
                <w:rFonts w:hint="eastAsia" w:ascii="宋体" w:hAnsi="宋体" w:cs="宋体"/>
                <w:b/>
                <w:bCs/>
                <w:sz w:val="21"/>
                <w:szCs w:val="21"/>
                <w:highlight w:val="none"/>
                <w:lang w:bidi="ar"/>
              </w:rPr>
              <w:t xml:space="preserve">投标人应提供详细的售后服务方案。</w:t>
            </w:r>
            <w:r/>
          </w:p>
          <w:p>
            <w:pPr>
              <w:jc w:val="left"/>
              <w:keepLines w:val="0"/>
              <w:keepNext w:val="0"/>
              <w:pageBreakBefore w:val="0"/>
              <w:spacing w:line="360" w:lineRule="exact"/>
              <w:widowControl/>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评委根据投标人售后人员配置、服务平台、技术能力和时间响应保障等方面综合考量投标人的综合服务能力，分三个等级。</w:t>
            </w:r>
            <w:r/>
          </w:p>
          <w:p>
            <w:pPr>
              <w:jc w:val="left"/>
              <w:keepLines w:val="0"/>
              <w:keepNext w:val="0"/>
              <w:pageBreakBefore w:val="0"/>
              <w:spacing w:line="360" w:lineRule="exact"/>
              <w:widowControl/>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A 服务方案详细完善可行，能为用户提供完善的维护维修和技术保障服务，得</w:t>
            </w:r>
            <w:r>
              <w:rPr>
                <w:rFonts w:hint="eastAsia" w:ascii="宋体" w:hAnsi="宋体" w:cs="宋体"/>
                <w:sz w:val="21"/>
                <w:szCs w:val="21"/>
                <w:highlight w:val="none"/>
                <w:lang w:val="en-US" w:eastAsia="zh-CN" w:bidi="ar"/>
              </w:rPr>
              <w:t xml:space="preserve">3</w:t>
            </w:r>
            <w:r>
              <w:rPr>
                <w:rFonts w:hint="eastAsia" w:ascii="宋体" w:hAnsi="宋体" w:cs="宋体"/>
                <w:sz w:val="21"/>
                <w:szCs w:val="21"/>
                <w:highlight w:val="none"/>
                <w:lang w:bidi="ar"/>
              </w:rPr>
              <w:t xml:space="preserve">分；</w:t>
            </w:r>
            <w:r/>
          </w:p>
          <w:p>
            <w:pPr>
              <w:jc w:val="left"/>
              <w:keepLines w:val="0"/>
              <w:keepNext w:val="0"/>
              <w:pageBreakBefore w:val="0"/>
              <w:spacing w:line="360" w:lineRule="exact"/>
              <w:widowControl/>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B 服务方案一般可行，能为用户提供基本的售后服务的，得</w:t>
            </w:r>
            <w:r>
              <w:rPr>
                <w:rFonts w:hint="eastAsia" w:ascii="宋体" w:hAnsi="宋体" w:cs="宋体"/>
                <w:sz w:val="21"/>
                <w:szCs w:val="21"/>
                <w:highlight w:val="none"/>
                <w:lang w:val="en-US" w:eastAsia="zh-CN" w:bidi="ar"/>
              </w:rPr>
              <w:t xml:space="preserve">2</w:t>
            </w:r>
            <w:r>
              <w:rPr>
                <w:rFonts w:hint="eastAsia" w:ascii="宋体" w:hAnsi="宋体" w:cs="宋体"/>
                <w:sz w:val="21"/>
                <w:szCs w:val="21"/>
                <w:highlight w:val="none"/>
                <w:lang w:bidi="ar"/>
              </w:rPr>
              <w:t xml:space="preserve">分；</w:t>
            </w:r>
            <w:r/>
          </w:p>
          <w:p>
            <w:pPr>
              <w:jc w:val="left"/>
              <w:keepLines w:val="0"/>
              <w:keepNext w:val="0"/>
              <w:pageBreakBefore w:val="0"/>
              <w:spacing w:line="360" w:lineRule="exact"/>
              <w:widowControl/>
              <w:rPr>
                <w:rFonts w:ascii="宋体" w:hAnsi="宋体" w:cs="宋体"/>
                <w:sz w:val="21"/>
                <w:szCs w:val="21"/>
                <w:highlight w:val="none"/>
                <w:lang w:bidi="ar"/>
              </w:rPr>
            </w:pPr>
            <w:r>
              <w:rPr>
                <w:rFonts w:hint="eastAsia" w:ascii="宋体" w:hAnsi="宋体" w:cs="宋体"/>
                <w:sz w:val="21"/>
                <w:szCs w:val="21"/>
                <w:highlight w:val="none"/>
                <w:lang w:bidi="ar"/>
              </w:rPr>
              <w:t xml:space="preserve">C 服务方案简单，仅能为用户提供有限的售后服务，得</w:t>
            </w:r>
            <w:r>
              <w:rPr>
                <w:rFonts w:hint="eastAsia" w:ascii="宋体" w:hAnsi="宋体" w:cs="宋体"/>
                <w:sz w:val="21"/>
                <w:szCs w:val="21"/>
                <w:highlight w:val="none"/>
                <w:lang w:val="en-US" w:eastAsia="zh-CN" w:bidi="ar"/>
              </w:rPr>
              <w:t xml:space="preserve">1</w:t>
            </w:r>
            <w:r>
              <w:rPr>
                <w:rFonts w:hint="eastAsia" w:ascii="宋体" w:hAnsi="宋体" w:cs="宋体"/>
                <w:sz w:val="21"/>
                <w:szCs w:val="21"/>
                <w:highlight w:val="none"/>
                <w:lang w:bidi="ar"/>
              </w:rPr>
              <w:t xml:space="preserve">分；</w:t>
            </w:r>
            <w:r/>
          </w:p>
          <w:p>
            <w:pPr>
              <w:jc w:val="left"/>
              <w:keepLines w:val="0"/>
              <w:keepNext w:val="0"/>
              <w:pageBreakBefore w:val="0"/>
              <w:spacing w:line="360" w:lineRule="exact"/>
              <w:widowControl/>
              <w:rPr>
                <w:rFonts w:hint="eastAsia" w:ascii="宋体" w:hAnsi="宋体" w:cs="宋体"/>
                <w:color w:val="auto"/>
                <w:highlight w:val="none"/>
                <w:lang w:bidi="ar"/>
              </w:rPr>
            </w:pPr>
            <w:r>
              <w:rPr>
                <w:rFonts w:hint="eastAsia" w:ascii="宋体" w:hAnsi="宋体" w:cs="宋体"/>
                <w:sz w:val="21"/>
                <w:szCs w:val="21"/>
                <w:highlight w:val="none"/>
                <w:lang w:bidi="ar"/>
              </w:rPr>
              <w:t xml:space="preserve">D 未提供不得分。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jc w:val="center"/>
              <w:keepLines w:val="0"/>
              <w:keepNext w:val="0"/>
              <w:pageBreakBefore w:val="0"/>
              <w:spacing w:line="360" w:lineRule="exact"/>
              <w:widowControl/>
              <w:rPr>
                <w:rFonts w:hint="eastAsia" w:ascii="宋体" w:hAnsi="宋体" w:cs="宋体"/>
                <w:b/>
                <w:bCs/>
                <w:color w:val="auto"/>
                <w:highlight w:val="none"/>
              </w:rPr>
            </w:pPr>
            <w:r>
              <w:rPr>
                <w:rFonts w:hint="eastAsia" w:ascii="宋体" w:hAnsi="宋体" w:cs="宋体"/>
                <w:b/>
                <w:bCs/>
                <w:color w:val="auto"/>
                <w:highlight w:val="none"/>
              </w:rPr>
              <w:t xml:space="preserve">0</w:t>
            </w:r>
            <w:r/>
          </w:p>
        </w:tc>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color w:val="auto"/>
                <w:highlight w:val="none"/>
                <w:lang w:eastAsia="zh-CN"/>
              </w:rPr>
            </w:pPr>
            <w:r>
              <w:rPr>
                <w:rFonts w:hint="eastAsia" w:ascii="宋体" w:hAnsi="宋体" w:cs="宋体"/>
                <w:b/>
                <w:bCs/>
                <w:color w:val="auto"/>
                <w:highlight w:val="none"/>
                <w:lang w:val="en-US" w:eastAsia="zh-CN"/>
              </w:rPr>
              <w:t xml:space="preserve">3</w:t>
            </w:r>
            <w:r/>
          </w:p>
        </w:tc>
        <w:tc>
          <w:tcPr>
            <w:tcBorders>
              <w:top w:val="single" w:color="000000" w:sz="8" w:space="0"/>
              <w:left w:val="single" w:color="000000" w:sz="8" w:space="0"/>
              <w:bottom w:val="single" w:color="000000" w:sz="8" w:space="0"/>
              <w:right w:val="single" w:color="000000" w:sz="8" w:space="0"/>
            </w:tcBorders>
            <w:tcW w:w="704" w:type="dxa"/>
            <w:vAlign w:val="center"/>
            <w:textDirection w:val="lrTb"/>
            <w:noWrap w:val="false"/>
          </w:tcPr>
          <w:p>
            <w:pPr>
              <w:jc w:val="center"/>
              <w:keepLines w:val="0"/>
              <w:keepNext w:val="0"/>
              <w:pageBreakBefore w:val="0"/>
              <w:spacing w:line="360" w:lineRule="exact"/>
              <w:widowControl/>
              <w:rPr>
                <w:rFonts w:hint="eastAsia" w:ascii="宋体" w:hAnsi="宋体" w:cs="宋体"/>
                <w:b/>
                <w:bCs/>
                <w:color w:val="auto"/>
                <w:highlight w:val="none"/>
              </w:rPr>
            </w:pPr>
            <w:r>
              <w:rPr>
                <w:rFonts w:hint="eastAsia" w:ascii="宋体" w:hAnsi="宋体" w:cs="宋体"/>
                <w:b/>
                <w:bCs/>
                <w:color w:val="auto"/>
                <w:highlight w:val="none"/>
              </w:rPr>
              <w:t xml:space="preserve">是</w:t>
            </w:r>
            <w:r/>
          </w:p>
        </w:tc>
        <w:tc>
          <w:tcPr>
            <w:tcBorders>
              <w:top w:val="single" w:color="000000" w:sz="8" w:space="0"/>
              <w:left w:val="single" w:color="000000" w:sz="8" w:space="0"/>
              <w:bottom w:val="single" w:color="000000" w:sz="8" w:space="0"/>
              <w:right w:val="single" w:color="000000" w:sz="8" w:space="0"/>
            </w:tcBorders>
            <w:tcW w:w="690" w:type="dxa"/>
            <w:vAlign w:val="center"/>
            <w:textDirection w:val="lrTb"/>
            <w:noWrap w:val="false"/>
          </w:tcPr>
          <w:p>
            <w:pPr>
              <w:jc w:val="center"/>
              <w:keepLines w:val="0"/>
              <w:keepNext w:val="0"/>
              <w:pageBreakBefore w:val="0"/>
              <w:spacing w:line="360" w:lineRule="exact"/>
              <w:widowControl/>
              <w:rPr>
                <w:rFonts w:hint="eastAsia" w:ascii="宋体" w:hAnsi="宋体" w:cs="宋体"/>
                <w:b/>
                <w:bCs/>
                <w:color w:val="auto"/>
                <w:highlight w:val="none"/>
              </w:rPr>
            </w:pPr>
            <w:r>
              <w:rPr>
                <w:rFonts w:hint="eastAsia" w:ascii="宋体" w:hAnsi="宋体" w:cs="宋体"/>
                <w:b/>
                <w:bCs/>
                <w:color w:val="auto"/>
                <w:highlight w:val="none"/>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691"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b/>
                <w:bCs/>
              </w:rPr>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08" w:type="dxa"/>
            <w:vAlign w:val="center"/>
            <w:textDirection w:val="lrTb"/>
            <w:noWrap w:val="false"/>
          </w:tcPr>
          <w:p>
            <w:pPr>
              <w:keepLines w:val="0"/>
              <w:keepNext w:val="0"/>
              <w:pageBreakBefore w:val="0"/>
              <w:spacing w:line="360" w:lineRule="exact"/>
              <w:widowControl/>
              <w:rPr>
                <w:rFonts w:hint="eastAsia" w:ascii="宋体" w:hAnsi="宋体" w:cs="宋体"/>
                <w:b/>
                <w:bCs/>
              </w:rPr>
            </w:pPr>
            <w:r>
              <w:rPr>
                <w:rFonts w:hint="eastAsia" w:ascii="宋体" w:hAnsi="宋体" w:cs="宋体"/>
                <w:b/>
                <w:bCs/>
              </w:rPr>
              <w:t xml:space="preserve">商务分（客观分）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810"/>
              <w:ind w:left="0" w:firstLine="0"/>
              <w:jc w:val="center"/>
              <w:keepLines w:val="0"/>
              <w:keepNext w:val="0"/>
              <w:pageBreakBefore w:val="0"/>
              <w:spacing w:line="360" w:lineRule="exact"/>
              <w:rPr>
                <w:rFonts w:hint="eastAsia" w:asciiTheme="minorEastAsia" w:hAnsiTheme="minorEastAsia" w:eastAsiaTheme="minorEastAsia" w:cstheme="minorEastAsia"/>
                <w:b/>
                <w:bCs/>
                <w:sz w:val="21"/>
                <w:szCs w:val="21"/>
                <w:lang w:val="en-US" w:eastAsia="zh-CN"/>
              </w:rPr>
            </w:pPr>
            <w:r>
              <w:rPr>
                <w:rFonts w:hint="eastAsia" w:asciiTheme="minorEastAsia" w:hAnsiTheme="minorEastAsia" w:eastAsiaTheme="minorEastAsia" w:cstheme="minorEastAsia"/>
                <w:b/>
                <w:bCs/>
                <w:sz w:val="21"/>
                <w:szCs w:val="21"/>
                <w:lang w:val="en-US" w:eastAsia="zh-CN"/>
              </w:rPr>
              <w:t xml:space="preserve">52</w:t>
            </w:r>
            <w:r/>
          </w:p>
        </w:tc>
        <w:tc>
          <w:tcPr>
            <w:tcBorders>
              <w:top w:val="single" w:color="000000" w:sz="8" w:space="0"/>
              <w:left w:val="single" w:color="000000" w:sz="8" w:space="0"/>
              <w:bottom w:val="single" w:color="000000" w:sz="8" w:space="0"/>
              <w:right w:val="single" w:color="000000" w:sz="8" w:space="0"/>
            </w:tcBorders>
            <w:tcW w:w="704"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W w:w="690"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b/>
                <w:bCs/>
              </w:rPr>
            </w:r>
            <w:r/>
          </w:p>
        </w:tc>
      </w:tr>
      <w:tr>
        <w:trPr>
          <w:trHeight w:val="420"/>
        </w:trPr>
        <w:tc>
          <w:tcPr>
            <w:tcBorders>
              <w:top w:val="single" w:color="000000" w:sz="8" w:space="0"/>
              <w:left w:val="single" w:color="000000" w:sz="8" w:space="0"/>
              <w:bottom w:val="single" w:color="000000" w:sz="8" w:space="0"/>
              <w:right w:val="single" w:color="000000" w:sz="8" w:space="0"/>
            </w:tcBorders>
            <w:tcW w:w="691"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b/>
                <w:bCs/>
              </w:rPr>
              <w:t xml:space="preserve">3.1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rPr>
              <w:t xml:space="preserve">技术分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08" w:type="dxa"/>
            <w:vAlign w:val="center"/>
            <w:textDirection w:val="lrTb"/>
            <w:noWrap w:val="false"/>
          </w:tcPr>
          <w:p>
            <w:pPr>
              <w:jc w:val="left"/>
              <w:keepLines w:val="0"/>
              <w:keepNext w:val="0"/>
              <w:pageBreakBefore w:val="0"/>
              <w:spacing w:line="360" w:lineRule="exact"/>
              <w:widowControl/>
              <w:rPr>
                <w:rFonts w:hint="eastAsia" w:asciiTheme="minorEastAsia" w:hAnsiTheme="minorEastAsia" w:eastAsiaTheme="minorEastAsia" w:cstheme="minorEastAsia"/>
              </w:rPr>
            </w:pPr>
            <w:r>
              <w:rPr>
                <w:rFonts w:hint="eastAsia" w:ascii="宋体" w:hAnsi="宋体" w:cs="宋体"/>
              </w:rPr>
              <w:t xml:space="preserve">根据投标单位技术偏离表中对本招标文件中产品技术指标（参数）的响应程度打分，所投产品全部满足招标文件技术参数要求得30分。1.带▲项为重要参数，出现一项负偏离扣1分；2.其他参数为一般参数，出现一项负偏离扣0.5分，扣完为止。</w:t>
            </w:r>
            <w:r>
              <w:rPr>
                <w:rFonts w:hint="eastAsia" w:asciiTheme="minorEastAsia" w:hAnsiTheme="minorEastAsia" w:eastAsiaTheme="minorEastAsia" w:cstheme="minorEastAsia"/>
                <w:color w:val="auto"/>
              </w:rPr>
              <w:t xml:space="preserve">打“★”项如有负偏离作为无效投标。如有提供虚假技术参数的，一经发现作</w:t>
            </w:r>
            <w:r>
              <w:rPr>
                <w:rFonts w:hint="eastAsia" w:asciiTheme="minorEastAsia" w:hAnsiTheme="minorEastAsia" w:eastAsiaTheme="minorEastAsia" w:cstheme="minorEastAsia"/>
              </w:rPr>
              <w:t xml:space="preserve">无效投标处理。</w:t>
            </w:r>
            <w:r/>
          </w:p>
          <w:p>
            <w:pPr>
              <w:pStyle w:val="810"/>
              <w:ind w:left="0" w:firstLine="0"/>
              <w:keepLines w:val="0"/>
              <w:keepNext w:val="0"/>
              <w:pageBreakBefore w:val="0"/>
              <w:spacing w:line="360" w:lineRule="exact"/>
              <w:rPr>
                <w:rFonts w:hint="eastAsia"/>
              </w:rPr>
            </w:pPr>
            <w:r>
              <w:rPr>
                <w:rFonts w:hint="eastAsia" w:asciiTheme="minorEastAsia" w:hAnsiTheme="minorEastAsia" w:eastAsiaTheme="minorEastAsia" w:cstheme="minorEastAsia"/>
                <w:b/>
                <w:bCs/>
                <w:sz w:val="21"/>
                <w:szCs w:val="21"/>
              </w:rPr>
              <w:t xml:space="preserve">注：1、为便于评审，投标人在偏离表中逐条列出相关技术参数证明材料所在页码。投标人需如实填写所投产品参数。2、同一产品按参数点得分或扣分，不重复扣分。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b/>
                <w:bCs/>
              </w:rPr>
              <w:t xml:space="preserve">0</w:t>
            </w:r>
            <w:r/>
          </w:p>
        </w:tc>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810"/>
              <w:jc w:val="center"/>
              <w:keepLines w:val="0"/>
              <w:keepNext w:val="0"/>
              <w:pageBreakBefore w:val="0"/>
              <w:spacing w:line="360" w:lineRule="exact"/>
              <w:rPr>
                <w:rFonts w:hint="default" w:eastAsia="宋体"/>
                <w:lang w:val="en-US" w:eastAsia="zh-CN"/>
              </w:rPr>
            </w:pPr>
            <w:r>
              <w:rPr>
                <w:rFonts w:hint="eastAsia" w:ascii="宋体" w:hAnsi="宋体" w:cs="宋体"/>
                <w:b/>
                <w:bCs/>
                <w:strike/>
                <w:lang w:val="en-US" w:eastAsia="zh-CN"/>
              </w:rPr>
              <w:t xml:space="preserve">2</w:t>
            </w:r>
            <w:r>
              <w:rPr>
                <w:rFonts w:hint="eastAsia" w:ascii="宋体" w:hAnsi="宋体" w:cs="宋体"/>
                <w:b/>
                <w:bCs/>
                <w:strike w:val="0"/>
                <w:sz w:val="21"/>
                <w:szCs w:val="21"/>
                <w:lang w:val="en-US" w:eastAsia="zh-CN"/>
              </w:rPr>
              <w:t xml:space="preserve">30</w:t>
            </w:r>
            <w:r/>
          </w:p>
        </w:tc>
        <w:tc>
          <w:tcPr>
            <w:tcBorders>
              <w:top w:val="single" w:color="000000" w:sz="8" w:space="0"/>
              <w:left w:val="single" w:color="000000" w:sz="8" w:space="0"/>
              <w:bottom w:val="single" w:color="000000" w:sz="8" w:space="0"/>
              <w:right w:val="single" w:color="000000" w:sz="8" w:space="0"/>
            </w:tcBorders>
            <w:tcW w:w="704"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b/>
                <w:bCs/>
              </w:rPr>
              <w:t xml:space="preserve">否</w:t>
            </w:r>
            <w:r/>
          </w:p>
        </w:tc>
        <w:tc>
          <w:tcPr>
            <w:tcBorders>
              <w:top w:val="single" w:color="000000" w:sz="8" w:space="0"/>
              <w:left w:val="single" w:color="000000" w:sz="8" w:space="0"/>
              <w:bottom w:val="single" w:color="000000" w:sz="8" w:space="0"/>
              <w:right w:val="single" w:color="000000" w:sz="8" w:space="0"/>
            </w:tcBorders>
            <w:tcW w:w="690"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b/>
                <w:bCs/>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691"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b/>
                <w:bCs/>
              </w:rPr>
              <w:t xml:space="preserve">3.2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jc w:val="center"/>
              <w:keepLines w:val="0"/>
              <w:keepNext w:val="0"/>
              <w:pageBreakBefore w:val="0"/>
              <w:spacing w:line="360" w:lineRule="exact"/>
              <w:widowControl/>
              <w:rPr>
                <w:rFonts w:hint="default" w:ascii="宋体" w:hAnsi="宋体" w:eastAsia="宋体" w:cs="宋体"/>
                <w:lang w:val="en-US" w:eastAsia="zh-CN"/>
              </w:rPr>
            </w:pPr>
            <w:r>
              <w:rPr>
                <w:rFonts w:hint="eastAsia" w:ascii="宋体" w:hAnsi="宋体" w:cs="宋体"/>
                <w:lang w:val="en-US" w:eastAsia="zh-CN"/>
              </w:rPr>
              <w:t xml:space="preserve">布线类</w:t>
            </w:r>
            <w:r>
              <w:rPr>
                <w:rFonts w:hint="eastAsia" w:ascii="宋体" w:hAnsi="宋体" w:cs="宋体"/>
              </w:rPr>
              <w:t xml:space="preserve">产品</w:t>
            </w:r>
            <w:r>
              <w:rPr>
                <w:rFonts w:hint="eastAsia" w:ascii="宋体" w:hAnsi="宋体" w:cs="宋体"/>
                <w:lang w:val="en-US" w:eastAsia="zh-CN"/>
              </w:rPr>
              <w:t xml:space="preserve">检测报告</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08" w:type="dxa"/>
            <w:vAlign w:val="center"/>
            <w:textDirection w:val="lrTb"/>
            <w:noWrap w:val="false"/>
          </w:tcPr>
          <w:p>
            <w:pPr>
              <w:jc w:val="left"/>
              <w:keepLines w:val="0"/>
              <w:keepNext w:val="0"/>
              <w:pageBreakBefore w:val="0"/>
              <w:spacing w:line="360" w:lineRule="exact"/>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本次招标涉及到</w:t>
            </w:r>
            <w:r>
              <w:rPr>
                <w:rFonts w:hint="eastAsia" w:ascii="宋体" w:hAnsi="宋体" w:cs="宋体"/>
                <w:b/>
                <w:bCs/>
                <w:color w:val="auto"/>
                <w:sz w:val="21"/>
                <w:szCs w:val="21"/>
                <w:highlight w:val="none"/>
                <w:lang w:val="en-US" w:eastAsia="zh-CN"/>
              </w:rPr>
              <w:t xml:space="preserve">的两</w:t>
            </w:r>
            <w:r>
              <w:rPr>
                <w:rFonts w:hint="eastAsia" w:ascii="宋体" w:hAnsi="宋体" w:cs="宋体"/>
                <w:b/>
                <w:bCs/>
                <w:color w:val="auto"/>
                <w:sz w:val="21"/>
                <w:szCs w:val="21"/>
                <w:highlight w:val="none"/>
              </w:rPr>
              <w:t xml:space="preserve">种线缆类型</w:t>
            </w:r>
            <w:r/>
          </w:p>
          <w:p>
            <w:pPr>
              <w:jc w:val="left"/>
              <w:keepLines w:val="0"/>
              <w:keepNext w:val="0"/>
              <w:pageBreakBefore w:val="0"/>
              <w:spacing w:line="36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（1）六类布线类（</w:t>
            </w:r>
            <w:r>
              <w:rPr>
                <w:rFonts w:hint="eastAsia" w:ascii="宋体" w:hAnsi="宋体" w:cs="宋体"/>
                <w:color w:val="auto"/>
                <w:sz w:val="21"/>
                <w:szCs w:val="21"/>
                <w:highlight w:val="none"/>
                <w:lang w:val="en-US" w:eastAsia="zh-CN"/>
              </w:rPr>
              <w:t xml:space="preserve">六类和</w:t>
            </w:r>
            <w:r>
              <w:rPr>
                <w:rFonts w:hint="eastAsia" w:ascii="宋体" w:hAnsi="宋体" w:cs="宋体"/>
                <w:color w:val="auto"/>
                <w:sz w:val="21"/>
                <w:szCs w:val="21"/>
                <w:highlight w:val="none"/>
              </w:rPr>
              <w:t xml:space="preserve">六类非屏蔽双绞线、六类非屏蔽模块、六类配线架及跳线等）；</w:t>
            </w:r>
            <w:r/>
          </w:p>
          <w:p>
            <w:pPr>
              <w:jc w:val="left"/>
              <w:keepLines w:val="0"/>
              <w:keepNext w:val="0"/>
              <w:pageBreakBefore w:val="0"/>
              <w:spacing w:line="36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（2）光纤类（光纤、跳线、配线架、适配器及尾纤等）；</w:t>
            </w:r>
            <w:r/>
          </w:p>
          <w:p>
            <w:pPr>
              <w:jc w:val="left"/>
              <w:keepLines w:val="0"/>
              <w:keepNext w:val="0"/>
              <w:pageBreakBefore w:val="0"/>
              <w:spacing w:line="36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对其中（1）、（2）</w:t>
            </w:r>
            <w:r>
              <w:rPr>
                <w:rFonts w:hint="eastAsia" w:ascii="宋体" w:hAnsi="宋体" w:cs="宋体"/>
                <w:color w:val="auto"/>
                <w:sz w:val="21"/>
                <w:szCs w:val="21"/>
                <w:highlight w:val="none"/>
                <w:lang w:val="en-US" w:eastAsia="zh-CN"/>
              </w:rPr>
              <w:t xml:space="preserve">线缆</w:t>
            </w:r>
            <w:r>
              <w:rPr>
                <w:rFonts w:hint="eastAsia" w:ascii="宋体" w:hAnsi="宋体" w:cs="宋体"/>
                <w:color w:val="auto"/>
                <w:sz w:val="21"/>
                <w:szCs w:val="21"/>
                <w:highlight w:val="none"/>
              </w:rPr>
              <w:t xml:space="preserve">类型链路产品检测报告进行评价：</w:t>
            </w:r>
            <w:r/>
          </w:p>
          <w:p>
            <w:pPr>
              <w:jc w:val="left"/>
              <w:keepLines w:val="0"/>
              <w:keepNext w:val="0"/>
              <w:pageBreakBefore w:val="0"/>
              <w:spacing w:line="36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A.</w:t>
            </w:r>
            <w:r>
              <w:rPr>
                <w:rFonts w:hint="eastAsia" w:ascii="宋体" w:hAnsi="宋体" w:cs="宋体"/>
                <w:color w:val="auto"/>
                <w:sz w:val="21"/>
                <w:szCs w:val="21"/>
                <w:highlight w:val="none"/>
              </w:rPr>
              <w:t xml:space="preserve">同时提供所投电链路、光链路产品检测报告的得</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分；</w:t>
            </w:r>
            <w:r/>
          </w:p>
          <w:p>
            <w:pPr>
              <w:jc w:val="left"/>
              <w:keepLines w:val="0"/>
              <w:keepNext w:val="0"/>
              <w:pageBreakBefore w:val="0"/>
              <w:spacing w:line="36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B.</w:t>
            </w:r>
            <w:r>
              <w:rPr>
                <w:rFonts w:hint="eastAsia" w:ascii="宋体" w:hAnsi="宋体" w:cs="宋体"/>
                <w:color w:val="auto"/>
                <w:sz w:val="21"/>
                <w:szCs w:val="21"/>
                <w:highlight w:val="none"/>
              </w:rPr>
              <w:t xml:space="preserve">仅提供所投电链路产品检测报告的得</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分；</w:t>
            </w:r>
            <w:r/>
          </w:p>
          <w:p>
            <w:pPr>
              <w:jc w:val="left"/>
              <w:keepLines w:val="0"/>
              <w:keepNext w:val="0"/>
              <w:pageBreakBefore w:val="0"/>
              <w:spacing w:line="36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C.</w:t>
            </w:r>
            <w:r>
              <w:rPr>
                <w:rFonts w:hint="eastAsia" w:ascii="宋体" w:hAnsi="宋体" w:cs="宋体"/>
                <w:color w:val="auto"/>
                <w:sz w:val="21"/>
                <w:szCs w:val="21"/>
                <w:highlight w:val="none"/>
              </w:rPr>
              <w:t xml:space="preserve">仅提供所投光链路产品检测报告的得</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分；</w:t>
            </w:r>
            <w:r/>
          </w:p>
          <w:p>
            <w:pPr>
              <w:jc w:val="left"/>
              <w:keepLines w:val="0"/>
              <w:keepNext w:val="0"/>
              <w:pageBreakBefore w:val="0"/>
              <w:spacing w:line="36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D.</w:t>
            </w:r>
            <w:r>
              <w:rPr>
                <w:rFonts w:hint="eastAsia" w:ascii="宋体" w:hAnsi="宋体" w:cs="宋体"/>
                <w:color w:val="auto"/>
                <w:sz w:val="21"/>
                <w:szCs w:val="21"/>
                <w:highlight w:val="none"/>
              </w:rPr>
              <w:t xml:space="preserve">其余不得分。</w:t>
            </w:r>
            <w:r/>
          </w:p>
          <w:p>
            <w:pPr>
              <w:pStyle w:val="810"/>
              <w:ind w:firstLine="0"/>
              <w:keepLines w:val="0"/>
              <w:keepNext w:val="0"/>
              <w:pageBreakBefore w:val="0"/>
              <w:spacing w:line="360" w:lineRule="exact"/>
              <w:rPr>
                <w:rFonts w:hint="eastAsia" w:ascii="宋体" w:hAnsi="宋体" w:cs="宋体"/>
                <w:sz w:val="21"/>
                <w:szCs w:val="21"/>
              </w:rPr>
            </w:pPr>
            <w:r>
              <w:rPr>
                <w:rFonts w:hint="eastAsia" w:ascii="宋体" w:hAnsi="宋体" w:eastAsia="宋体" w:cs="宋体"/>
                <w:b/>
                <w:bCs/>
                <w:strike w:val="0"/>
                <w:color w:val="auto"/>
                <w:sz w:val="21"/>
                <w:szCs w:val="21"/>
                <w:highlight w:val="none"/>
                <w:lang w:val="en-US" w:eastAsia="zh-CN"/>
              </w:rPr>
              <w:t xml:space="preserve">提供</w:t>
            </w:r>
            <w:r>
              <w:rPr>
                <w:rFonts w:hint="eastAsia" w:ascii="宋体" w:hAnsi="宋体" w:eastAsia="宋体" w:cs="宋体"/>
                <w:b/>
                <w:bCs/>
                <w:strike w:val="0"/>
                <w:color w:val="auto"/>
                <w:sz w:val="21"/>
                <w:szCs w:val="21"/>
                <w:highlight w:val="none"/>
              </w:rPr>
              <w:t xml:space="preserve">链路检测报告</w:t>
            </w:r>
            <w:r>
              <w:rPr>
                <w:rFonts w:hint="eastAsia" w:ascii="宋体" w:hAnsi="宋体" w:eastAsia="宋体" w:cs="宋体"/>
                <w:b/>
                <w:bCs/>
                <w:strike w:val="0"/>
                <w:color w:val="auto"/>
                <w:sz w:val="21"/>
                <w:szCs w:val="21"/>
                <w:highlight w:val="none"/>
                <w:lang w:val="en-US" w:eastAsia="zh-CN"/>
              </w:rPr>
              <w:t xml:space="preserve">扫描</w:t>
            </w:r>
            <w:r>
              <w:rPr>
                <w:rFonts w:hint="eastAsia" w:ascii="宋体" w:hAnsi="宋体" w:eastAsia="宋体" w:cs="宋体"/>
                <w:b/>
                <w:bCs/>
                <w:strike w:val="0"/>
                <w:color w:val="auto"/>
                <w:sz w:val="21"/>
                <w:szCs w:val="21"/>
                <w:highlight w:val="none"/>
              </w:rPr>
              <w:t xml:space="preserve">件</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b/>
                <w:bCs/>
              </w:rPr>
              <w:t xml:space="preserve">0</w:t>
            </w:r>
            <w:r/>
          </w:p>
        </w:tc>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lang w:eastAsia="zh-CN"/>
              </w:rPr>
            </w:pPr>
            <w:r>
              <w:rPr>
                <w:rFonts w:hint="eastAsia" w:ascii="宋体" w:hAnsi="宋体" w:cs="宋体"/>
                <w:b/>
                <w:bCs/>
                <w:lang w:val="en-US" w:eastAsia="zh-CN"/>
              </w:rPr>
              <w:t xml:space="preserve">4</w:t>
            </w:r>
            <w:r/>
          </w:p>
        </w:tc>
        <w:tc>
          <w:tcPr>
            <w:tcBorders>
              <w:top w:val="single" w:color="000000" w:sz="8" w:space="0"/>
              <w:left w:val="single" w:color="000000" w:sz="8" w:space="0"/>
              <w:bottom w:val="single" w:color="000000" w:sz="8" w:space="0"/>
              <w:right w:val="single" w:color="000000" w:sz="8" w:space="0"/>
            </w:tcBorders>
            <w:tcW w:w="704"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b/>
                <w:bCs/>
              </w:rPr>
              <w:t xml:space="preserve">否</w:t>
            </w:r>
            <w:r/>
          </w:p>
        </w:tc>
        <w:tc>
          <w:tcPr>
            <w:tcBorders>
              <w:top w:val="single" w:color="000000" w:sz="8" w:space="0"/>
              <w:left w:val="single" w:color="000000" w:sz="8" w:space="0"/>
              <w:bottom w:val="single" w:color="000000" w:sz="8" w:space="0"/>
              <w:right w:val="single" w:color="000000" w:sz="8" w:space="0"/>
            </w:tcBorders>
            <w:tcW w:w="690"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b/>
                <w:bCs/>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691"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b/>
                <w:bCs/>
              </w:rPr>
              <w:t xml:space="preserve">3.3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jc w:val="center"/>
              <w:keepLines w:val="0"/>
              <w:keepNext w:val="0"/>
              <w:pageBreakBefore w:val="0"/>
              <w:spacing w:line="360" w:lineRule="exact"/>
              <w:widowControl/>
              <w:rPr>
                <w:rFonts w:hint="eastAsia" w:ascii="宋体" w:hAnsi="宋体" w:cs="宋体"/>
              </w:rPr>
            </w:pPr>
            <w:r>
              <w:rPr>
                <w:rFonts w:hint="eastAsia" w:ascii="宋体" w:hAnsi="宋体" w:cs="宋体"/>
              </w:rPr>
              <w:t xml:space="preserve">案例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08" w:type="dxa"/>
            <w:vAlign w:val="center"/>
            <w:textDirection w:val="lrTb"/>
            <w:noWrap w:val="false"/>
          </w:tcPr>
          <w:p>
            <w:pPr>
              <w:jc w:val="left"/>
              <w:keepLines w:val="0"/>
              <w:keepNext w:val="0"/>
              <w:pageBreakBefore w:val="0"/>
              <w:spacing w:line="360" w:lineRule="exact"/>
              <w:widowControl/>
              <w:rPr>
                <w:rFonts w:hint="eastAsia" w:ascii="宋体" w:hAnsi="宋体" w:cs="宋体"/>
                <w:color w:val="auto"/>
              </w:rPr>
            </w:pPr>
            <w:r>
              <w:rPr>
                <w:rFonts w:hint="eastAsia" w:ascii="宋体" w:hAnsi="宋体" w:cs="宋体"/>
                <w:color w:val="auto"/>
              </w:rPr>
              <w:t xml:space="preserve">根据投标单位提供的2023年</w:t>
            </w:r>
            <w:r>
              <w:rPr>
                <w:rFonts w:hint="eastAsia" w:ascii="宋体" w:hAnsi="宋体" w:cs="宋体"/>
                <w:color w:val="auto"/>
                <w:lang w:val="en-US" w:eastAsia="zh-CN"/>
              </w:rPr>
              <w:t xml:space="preserve">6</w:t>
            </w:r>
            <w:r>
              <w:rPr>
                <w:rFonts w:hint="eastAsia" w:ascii="宋体" w:hAnsi="宋体" w:cs="宋体"/>
                <w:color w:val="auto"/>
              </w:rPr>
              <w:t xml:space="preserve">月1日以来签订的、</w:t>
            </w:r>
            <w:r>
              <w:rPr>
                <w:rFonts w:hint="eastAsia" w:ascii="宋体" w:hAnsi="宋体" w:cs="宋体"/>
                <w:b/>
                <w:bCs/>
                <w:color w:val="auto"/>
              </w:rPr>
              <w:t xml:space="preserve">与本采购项目技术特点和需求类似的业绩，提供合同</w:t>
            </w:r>
            <w:r>
              <w:rPr>
                <w:rFonts w:hint="eastAsia" w:ascii="宋体" w:hAnsi="宋体" w:cs="宋体"/>
                <w:color w:val="auto"/>
              </w:rPr>
              <w:t xml:space="preserve">（提供合同全文扫描件）</w:t>
            </w:r>
            <w:r>
              <w:rPr>
                <w:rFonts w:hint="eastAsia" w:ascii="宋体" w:hAnsi="宋体" w:cs="宋体"/>
                <w:b/>
                <w:bCs/>
                <w:color w:val="auto"/>
              </w:rPr>
              <w:t xml:space="preserve">、验收报告</w:t>
            </w:r>
            <w:r>
              <w:rPr>
                <w:rFonts w:hint="eastAsia" w:ascii="宋体" w:hAnsi="宋体" w:cs="宋体"/>
                <w:b/>
                <w:bCs/>
                <w:color w:val="auto"/>
                <w:lang w:val="en-US" w:eastAsia="zh-CN"/>
              </w:rPr>
              <w:t xml:space="preserve">或</w:t>
            </w:r>
            <w:r>
              <w:rPr>
                <w:rFonts w:hint="eastAsia" w:ascii="宋体" w:hAnsi="宋体" w:cs="宋体"/>
                <w:b/>
                <w:bCs/>
                <w:color w:val="auto"/>
              </w:rPr>
              <w:t xml:space="preserve">结算发票作为证明材料</w:t>
            </w:r>
            <w:r>
              <w:rPr>
                <w:rFonts w:hint="eastAsia" w:ascii="宋体" w:hAnsi="宋体" w:cs="宋体"/>
                <w:color w:val="auto"/>
              </w:rPr>
              <w:t xml:space="preserve">（提供项目验收报告</w:t>
            </w:r>
            <w:r>
              <w:rPr>
                <w:rFonts w:hint="eastAsia" w:ascii="宋体" w:hAnsi="宋体" w:cs="宋体"/>
                <w:color w:val="auto"/>
                <w:lang w:val="en-US" w:eastAsia="zh-CN"/>
              </w:rPr>
              <w:t xml:space="preserve">和</w:t>
            </w:r>
            <w:r>
              <w:rPr>
                <w:rFonts w:hint="eastAsia" w:ascii="宋体" w:hAnsi="宋体" w:cs="宋体"/>
                <w:color w:val="auto"/>
              </w:rPr>
              <w:t xml:space="preserve">结算发票扫描件）进行评价，合同需符合下述要求：</w:t>
            </w:r>
            <w:r/>
          </w:p>
          <w:p>
            <w:pPr>
              <w:jc w:val="left"/>
              <w:keepLines w:val="0"/>
              <w:keepNext w:val="0"/>
              <w:pageBreakBefore w:val="0"/>
              <w:spacing w:line="360" w:lineRule="exact"/>
              <w:widowControl/>
              <w:rPr>
                <w:rFonts w:hint="eastAsia" w:ascii="宋体" w:hAnsi="宋体" w:cs="宋体"/>
                <w:color w:val="auto"/>
              </w:rPr>
            </w:pPr>
            <w:r>
              <w:rPr>
                <w:rFonts w:hint="eastAsia" w:ascii="宋体" w:hAnsi="宋体" w:cs="宋体"/>
                <w:color w:val="auto"/>
              </w:rPr>
              <w:t xml:space="preserve">1. 合同时间以签订日期为准。</w:t>
            </w:r>
            <w:r/>
          </w:p>
          <w:p>
            <w:pPr>
              <w:jc w:val="left"/>
              <w:keepLines w:val="0"/>
              <w:keepNext w:val="0"/>
              <w:pageBreakBefore w:val="0"/>
              <w:spacing w:line="360" w:lineRule="exact"/>
              <w:widowControl/>
              <w:rPr>
                <w:rFonts w:hint="eastAsia" w:ascii="宋体" w:hAnsi="宋体" w:cs="宋体"/>
              </w:rPr>
            </w:pPr>
            <w:r>
              <w:rPr>
                <w:rFonts w:hint="eastAsia" w:ascii="宋体" w:hAnsi="宋体" w:cs="宋体"/>
                <w:color w:val="auto"/>
              </w:rPr>
              <w:t xml:space="preserve">2. 每提供1份得1分，最高得2分。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b/>
                <w:bCs/>
              </w:rPr>
              <w:t xml:space="preserve">0</w:t>
            </w:r>
            <w:r/>
          </w:p>
        </w:tc>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b/>
                <w:bCs/>
              </w:rPr>
              <w:t xml:space="preserve">2</w:t>
            </w:r>
            <w:r/>
          </w:p>
        </w:tc>
        <w:tc>
          <w:tcPr>
            <w:tcBorders>
              <w:top w:val="single" w:color="000000" w:sz="8" w:space="0"/>
              <w:left w:val="single" w:color="000000" w:sz="8" w:space="0"/>
              <w:bottom w:val="single" w:color="000000" w:sz="8" w:space="0"/>
              <w:right w:val="single" w:color="000000" w:sz="8" w:space="0"/>
            </w:tcBorders>
            <w:tcW w:w="704"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b/>
                <w:bCs/>
              </w:rPr>
              <w:t xml:space="preserve">否</w:t>
            </w:r>
            <w:r/>
          </w:p>
        </w:tc>
        <w:tc>
          <w:tcPr>
            <w:tcBorders>
              <w:top w:val="single" w:color="000000" w:sz="8" w:space="0"/>
              <w:left w:val="single" w:color="000000" w:sz="8" w:space="0"/>
              <w:bottom w:val="single" w:color="000000" w:sz="8" w:space="0"/>
              <w:right w:val="single" w:color="000000" w:sz="8" w:space="0"/>
            </w:tcBorders>
            <w:tcW w:w="690"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b/>
                <w:bCs/>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691"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b/>
                <w:bCs/>
              </w:rPr>
              <w:t xml:space="preserve">3.4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jc w:val="center"/>
              <w:keepLines w:val="0"/>
              <w:keepNext w:val="0"/>
              <w:pageBreakBefore w:val="0"/>
              <w:spacing w:line="360" w:lineRule="exact"/>
              <w:widowControl/>
              <w:rPr>
                <w:rFonts w:hint="eastAsia" w:ascii="宋体" w:hAnsi="宋体" w:cs="宋体"/>
              </w:rPr>
            </w:pPr>
            <w:r>
              <w:rPr>
                <w:rFonts w:hint="eastAsia" w:ascii="宋体" w:hAnsi="宋体" w:cs="宋体"/>
              </w:rPr>
              <w:t xml:space="preserve">企业资质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08" w:type="dxa"/>
            <w:vAlign w:val="center"/>
            <w:textDirection w:val="lrTb"/>
            <w:noWrap w:val="false"/>
          </w:tcPr>
          <w:p>
            <w:pPr>
              <w:jc w:val="left"/>
              <w:keepLines w:val="0"/>
              <w:keepNext w:val="0"/>
              <w:pageBreakBefore w:val="0"/>
              <w:spacing w:line="360" w:lineRule="exact"/>
              <w:rPr>
                <w:rFonts w:hint="eastAsia" w:ascii="宋体" w:hAnsi="宋体" w:cs="宋体"/>
              </w:rPr>
            </w:pPr>
            <w:r>
              <w:rPr>
                <w:rFonts w:hint="eastAsia" w:ascii="宋体" w:hAnsi="宋体" w:cs="宋体"/>
              </w:rPr>
              <w:t xml:space="preserve">1.《建筑业企业资质证书》电子与智能化工程专业承包资质二级及以上资质，得2分。</w:t>
            </w:r>
            <w:r/>
          </w:p>
          <w:p>
            <w:pPr>
              <w:jc w:val="left"/>
              <w:keepLines w:val="0"/>
              <w:keepNext w:val="0"/>
              <w:pageBreakBefore w:val="0"/>
              <w:spacing w:line="360" w:lineRule="exact"/>
              <w:rPr>
                <w:rFonts w:hint="eastAsia" w:ascii="宋体" w:hAnsi="宋体" w:cs="宋体"/>
                <w:color w:val="auto"/>
              </w:rPr>
            </w:pPr>
            <w:r>
              <w:rPr>
                <w:rFonts w:hint="eastAsia" w:ascii="宋体" w:hAnsi="宋体" w:cs="宋体"/>
              </w:rPr>
              <w:t xml:space="preserve">2.投标人</w:t>
            </w:r>
            <w:r>
              <w:rPr>
                <w:rFonts w:hint="eastAsia" w:ascii="宋体" w:hAnsi="宋体" w:cs="宋体"/>
                <w:color w:val="auto"/>
              </w:rPr>
              <w:t xml:space="preserve">具有ITSS（信息技术服务运行维护标准）符合性证书，成熟度等级（通用标准三级及以上），得1分。</w:t>
            </w:r>
            <w:r/>
          </w:p>
          <w:p>
            <w:pPr>
              <w:jc w:val="left"/>
              <w:keepLines w:val="0"/>
              <w:keepNext w:val="0"/>
              <w:pageBreakBefore w:val="0"/>
              <w:spacing w:line="360" w:lineRule="exact"/>
              <w:widowControl/>
              <w:rPr>
                <w:rFonts w:hint="eastAsia" w:ascii="宋体" w:hAnsi="宋体" w:cs="宋体"/>
                <w:color w:val="auto"/>
              </w:rPr>
            </w:pPr>
            <w:r>
              <w:rPr>
                <w:rFonts w:hint="eastAsia" w:ascii="宋体" w:hAnsi="宋体" w:cs="宋体"/>
                <w:color w:val="auto"/>
              </w:rPr>
              <w:t xml:space="preserve">3.具备有效期内的质量管理体系认证证书</w:t>
            </w:r>
            <w:r>
              <w:rPr>
                <w:rFonts w:hint="eastAsia" w:asciiTheme="minorEastAsia" w:hAnsiTheme="minorEastAsia" w:eastAsiaTheme="minorEastAsia" w:cstheme="minorEastAsia"/>
                <w:color w:val="auto"/>
              </w:rPr>
              <w:t xml:space="preserve">（GB/T19001-2016/ISO 9001:2015）</w:t>
            </w:r>
            <w:r>
              <w:rPr>
                <w:rFonts w:hint="eastAsia" w:ascii="宋体" w:hAnsi="宋体" w:cs="宋体"/>
                <w:color w:val="auto"/>
              </w:rPr>
              <w:t xml:space="preserve">、信息安全管理体系认证证书（GB/T 22080-2025 / ISO/IEC 27001:2022）、信息技术服务管理体系认证证书（ GB/T 24405.1或ISO/IEC 20000-1:2018）、环境管理体系认证（GB/T 24001 / ISO 14001），每个得1分，最高4分。</w:t>
            </w:r>
            <w:r/>
          </w:p>
          <w:p>
            <w:pPr>
              <w:pStyle w:val="810"/>
              <w:ind w:firstLine="0"/>
              <w:keepLines w:val="0"/>
              <w:keepNext w:val="0"/>
              <w:pageBreakBefore w:val="0"/>
              <w:spacing w:line="360" w:lineRule="exact"/>
              <w:rPr>
                <w:rFonts w:hint="eastAsia" w:ascii="宋体" w:hAnsi="宋体" w:cs="宋体"/>
                <w:sz w:val="21"/>
                <w:szCs w:val="21"/>
              </w:rPr>
            </w:pPr>
            <w:r>
              <w:rPr>
                <w:rFonts w:hint="eastAsia" w:asciiTheme="minorEastAsia" w:hAnsiTheme="minorEastAsia" w:eastAsiaTheme="minorEastAsia" w:cstheme="minorEastAsia"/>
                <w:b/>
                <w:bCs/>
                <w:color w:val="auto"/>
                <w:sz w:val="21"/>
                <w:szCs w:val="21"/>
              </w:rPr>
              <w:t xml:space="preserve">提供有效证书扫描件</w:t>
            </w:r>
            <w:r>
              <w:rPr>
                <w:rFonts w:hint="eastAsia" w:ascii="宋体" w:hAnsi="宋体" w:cs="宋体"/>
                <w:b/>
                <w:bCs/>
                <w:color w:val="auto"/>
                <w:sz w:val="21"/>
                <w:szCs w:val="21"/>
              </w:rPr>
              <w:t xml:space="preserve">加盖公章</w:t>
            </w:r>
            <w:r>
              <w:rPr>
                <w:rFonts w:hint="eastAsia" w:asciiTheme="minorEastAsia" w:hAnsiTheme="minorEastAsia" w:eastAsiaTheme="minorEastAsia" w:cstheme="minorEastAsia"/>
                <w:b/>
                <w:bCs/>
                <w:color w:val="auto"/>
                <w:sz w:val="21"/>
                <w:szCs w:val="21"/>
              </w:rPr>
              <w:t xml:space="preserve">，否则不得分。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b/>
                <w:bCs/>
              </w:rPr>
              <w:t xml:space="preserve">0</w:t>
            </w:r>
            <w:r/>
          </w:p>
        </w:tc>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b/>
                <w:bCs/>
              </w:rPr>
              <w:t xml:space="preserve">7</w:t>
            </w:r>
            <w:r/>
          </w:p>
        </w:tc>
        <w:tc>
          <w:tcPr>
            <w:tcBorders>
              <w:top w:val="single" w:color="000000" w:sz="8" w:space="0"/>
              <w:left w:val="single" w:color="000000" w:sz="8" w:space="0"/>
              <w:bottom w:val="single" w:color="000000" w:sz="8" w:space="0"/>
              <w:right w:val="single" w:color="000000" w:sz="8" w:space="0"/>
            </w:tcBorders>
            <w:tcW w:w="704"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b/>
                <w:bCs/>
              </w:rPr>
              <w:t xml:space="preserve">否</w:t>
            </w:r>
            <w:r/>
          </w:p>
        </w:tc>
        <w:tc>
          <w:tcPr>
            <w:tcBorders>
              <w:top w:val="single" w:color="000000" w:sz="8" w:space="0"/>
              <w:left w:val="single" w:color="000000" w:sz="8" w:space="0"/>
              <w:bottom w:val="single" w:color="000000" w:sz="8" w:space="0"/>
              <w:right w:val="single" w:color="000000" w:sz="8" w:space="0"/>
            </w:tcBorders>
            <w:tcW w:w="690"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b/>
                <w:bCs/>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691"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b/>
                <w:bCs/>
              </w:rPr>
              <w:t xml:space="preserve">3.5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jc w:val="center"/>
              <w:keepLines w:val="0"/>
              <w:keepNext w:val="0"/>
              <w:pageBreakBefore w:val="0"/>
              <w:spacing w:line="360" w:lineRule="exact"/>
              <w:widowControl/>
              <w:rPr>
                <w:rFonts w:hint="eastAsia" w:ascii="宋体" w:hAnsi="宋体" w:cs="宋体"/>
              </w:rPr>
            </w:pPr>
            <w:r>
              <w:rPr>
                <w:rFonts w:hint="eastAsia" w:ascii="宋体" w:hAnsi="宋体" w:cs="宋体"/>
              </w:rPr>
              <w:t xml:space="preserve">项目组成员实力评价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08" w:type="dxa"/>
            <w:vAlign w:val="center"/>
            <w:textDirection w:val="lrTb"/>
            <w:noWrap w:val="false"/>
          </w:tcPr>
          <w:p>
            <w:pPr>
              <w:jc w:val="left"/>
              <w:keepLines w:val="0"/>
              <w:keepNext w:val="0"/>
              <w:pageBreakBefore w:val="0"/>
              <w:spacing w:line="360" w:lineRule="exact"/>
              <w:rPr>
                <w:rFonts w:hint="eastAsia" w:ascii="宋体" w:hAnsi="宋体" w:cs="宋体"/>
                <w:highlight w:val="none"/>
              </w:rPr>
            </w:pPr>
            <w:r>
              <w:rPr>
                <w:rFonts w:hint="eastAsia" w:ascii="宋体" w:hAnsi="宋体" w:cs="宋体"/>
                <w:highlight w:val="none"/>
              </w:rPr>
              <w:t xml:space="preserve">投标人须提供《项目团队成员一览表》及相应证明材料。根据团队配置情况评分，本项最高得7分。</w:t>
            </w:r>
            <w:r/>
          </w:p>
          <w:p>
            <w:pPr>
              <w:jc w:val="left"/>
              <w:keepLines w:val="0"/>
              <w:keepNext w:val="0"/>
              <w:pageBreakBefore w:val="0"/>
              <w:spacing w:line="360" w:lineRule="exact"/>
              <w:rPr>
                <w:rFonts w:hint="eastAsia" w:ascii="宋体" w:hAnsi="宋体" w:cs="宋体"/>
                <w:highlight w:val="none"/>
              </w:rPr>
            </w:pPr>
            <w:r>
              <w:rPr>
                <w:rFonts w:hint="eastAsia" w:ascii="宋体" w:hAnsi="宋体" w:cs="宋体"/>
                <w:highlight w:val="none"/>
              </w:rPr>
              <w:t xml:space="preserve">1. 项目负责人</w:t>
            </w:r>
            <w:r/>
          </w:p>
          <w:p>
            <w:pPr>
              <w:jc w:val="left"/>
              <w:keepLines w:val="0"/>
              <w:keepNext w:val="0"/>
              <w:pageBreakBefore w:val="0"/>
              <w:spacing w:line="360" w:lineRule="exact"/>
              <w:rPr>
                <w:rFonts w:hint="eastAsia" w:ascii="宋体" w:hAnsi="宋体" w:cs="宋体"/>
                <w:highlight w:val="none"/>
              </w:rPr>
            </w:pPr>
            <w:r>
              <w:rPr>
                <w:rFonts w:hint="eastAsia" w:ascii="宋体" w:hAnsi="宋体" w:cs="宋体"/>
                <w:highlight w:val="none"/>
              </w:rPr>
              <w:t xml:space="preserve">本项限报1人，最高得</w:t>
            </w:r>
            <w:r>
              <w:rPr>
                <w:rFonts w:hint="eastAsia" w:ascii="宋体" w:hAnsi="宋体" w:cs="宋体"/>
                <w:highlight w:val="none"/>
                <w:lang w:val="en-US" w:eastAsia="zh-CN"/>
              </w:rPr>
              <w:t xml:space="preserve">2</w:t>
            </w:r>
            <w:r>
              <w:rPr>
                <w:rFonts w:hint="eastAsia" w:ascii="宋体" w:hAnsi="宋体" w:cs="宋体"/>
                <w:highlight w:val="none"/>
              </w:rPr>
              <w:t xml:space="preserve">分。</w:t>
            </w:r>
            <w:r/>
          </w:p>
          <w:p>
            <w:pPr>
              <w:numPr>
                <w:ilvl w:val="0"/>
                <w:numId w:val="17"/>
              </w:numPr>
              <w:jc w:val="left"/>
              <w:keepLines w:val="0"/>
              <w:keepNext w:val="0"/>
              <w:pageBreakBefore w:val="0"/>
              <w:spacing w:line="360" w:lineRule="exact"/>
              <w:rPr>
                <w:rFonts w:hint="eastAsia" w:ascii="宋体" w:hAnsi="宋体" w:cs="宋体"/>
                <w:highlight w:val="none"/>
              </w:rPr>
            </w:pPr>
            <w:r>
              <w:rPr>
                <w:rFonts w:hint="eastAsia" w:ascii="宋体" w:hAnsi="宋体" w:eastAsia="宋体" w:cs="宋体"/>
                <w:color w:val="auto"/>
                <w:sz w:val="21"/>
                <w:szCs w:val="21"/>
                <w:highlight w:val="none"/>
              </w:rPr>
              <w:t xml:space="preserve">信息系统</w:t>
            </w:r>
            <w:r>
              <w:rPr>
                <w:rFonts w:hint="eastAsia" w:ascii="宋体" w:hAnsi="宋体" w:eastAsia="宋体" w:cs="宋体"/>
                <w:color w:val="auto"/>
                <w:sz w:val="21"/>
                <w:szCs w:val="21"/>
                <w:highlight w:val="none"/>
                <w:lang w:val="en-US" w:eastAsia="zh-CN"/>
              </w:rPr>
              <w:t xml:space="preserve">项目管理师（</w:t>
            </w:r>
            <w:r>
              <w:rPr>
                <w:rFonts w:hint="eastAsia" w:ascii="宋体" w:hAnsi="宋体" w:eastAsia="宋体" w:cs="宋体"/>
                <w:color w:val="auto"/>
                <w:sz w:val="21"/>
                <w:szCs w:val="21"/>
                <w:highlight w:val="none"/>
              </w:rPr>
              <w:t xml:space="preserve">高级</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或</w:t>
            </w:r>
            <w:r>
              <w:rPr>
                <w:rFonts w:hint="eastAsia" w:ascii="宋体" w:hAnsi="宋体" w:eastAsia="宋体" w:cs="宋体"/>
                <w:color w:val="auto"/>
                <w:sz w:val="21"/>
                <w:szCs w:val="21"/>
                <w:highlight w:val="none"/>
                <w:lang w:val="en-US" w:eastAsia="zh-CN"/>
              </w:rPr>
              <w:t xml:space="preserve">电子信息专业高级工程师</w:t>
            </w:r>
            <w:r>
              <w:rPr>
                <w:rFonts w:hint="eastAsia" w:ascii="宋体" w:hAnsi="宋体" w:cs="宋体"/>
                <w:highlight w:val="none"/>
              </w:rPr>
              <w:t xml:space="preserve">证书，得1分。</w:t>
            </w:r>
            <w:r/>
          </w:p>
          <w:p>
            <w:pPr>
              <w:numPr>
                <w:ilvl w:val="0"/>
                <w:numId w:val="17"/>
              </w:numPr>
              <w:jc w:val="left"/>
              <w:keepLines w:val="0"/>
              <w:keepNext w:val="0"/>
              <w:pageBreakBefore w:val="0"/>
              <w:spacing w:line="360" w:lineRule="exact"/>
              <w:rPr>
                <w:rFonts w:hint="eastAsia" w:ascii="宋体" w:hAnsi="宋体" w:cs="宋体"/>
                <w:highlight w:val="none"/>
              </w:rPr>
            </w:pPr>
            <w:r>
              <w:rPr>
                <w:rFonts w:hint="eastAsia" w:ascii="宋体" w:hAnsi="宋体" w:eastAsia="宋体" w:cs="宋体"/>
                <w:color w:val="auto"/>
                <w:sz w:val="21"/>
                <w:szCs w:val="21"/>
                <w:highlight w:val="none"/>
              </w:rPr>
              <w:t xml:space="preserve">IT服务项目经理（ITSS）</w:t>
            </w:r>
            <w:r>
              <w:rPr>
                <w:rFonts w:hint="eastAsia" w:ascii="宋体" w:hAnsi="宋体" w:eastAsia="宋体" w:cs="宋体"/>
                <w:color w:val="auto"/>
                <w:sz w:val="21"/>
                <w:szCs w:val="21"/>
                <w:highlight w:val="none"/>
                <w:lang w:val="en-US" w:eastAsia="zh-CN"/>
              </w:rPr>
              <w:t xml:space="preserve">证书，得1分。</w:t>
            </w:r>
            <w:r/>
          </w:p>
          <w:p>
            <w:pPr>
              <w:jc w:val="left"/>
              <w:keepLines w:val="0"/>
              <w:keepNext w:val="0"/>
              <w:pageBreakBefore w:val="0"/>
              <w:spacing w:line="360" w:lineRule="exact"/>
              <w:rPr>
                <w:rFonts w:hint="eastAsia" w:ascii="宋体" w:hAnsi="宋体" w:cs="宋体"/>
                <w:highlight w:val="none"/>
              </w:rPr>
            </w:pPr>
            <w:r>
              <w:rPr>
                <w:rFonts w:hint="eastAsia" w:ascii="宋体" w:hAnsi="宋体" w:cs="宋体"/>
                <w:highlight w:val="none"/>
              </w:rPr>
              <w:t xml:space="preserve">2. 技术负责人</w:t>
            </w:r>
            <w:r/>
          </w:p>
          <w:p>
            <w:pPr>
              <w:jc w:val="left"/>
              <w:keepLines w:val="0"/>
              <w:keepNext w:val="0"/>
              <w:pageBreakBefore w:val="0"/>
              <w:spacing w:line="360" w:lineRule="exact"/>
              <w:rPr>
                <w:rFonts w:hint="eastAsia" w:ascii="宋体" w:hAnsi="宋体" w:cs="宋体"/>
                <w:highlight w:val="none"/>
              </w:rPr>
            </w:pPr>
            <w:r>
              <w:rPr>
                <w:rFonts w:hint="eastAsia" w:ascii="宋体" w:hAnsi="宋体" w:cs="宋体"/>
                <w:highlight w:val="none"/>
              </w:rPr>
              <w:t xml:space="preserve">本项限报1人，最高得</w:t>
            </w:r>
            <w:r>
              <w:rPr>
                <w:rFonts w:hint="eastAsia" w:ascii="宋体" w:hAnsi="宋体" w:cs="宋体"/>
                <w:highlight w:val="none"/>
                <w:lang w:val="en-US" w:eastAsia="zh-CN"/>
              </w:rPr>
              <w:t xml:space="preserve">2</w:t>
            </w:r>
            <w:r>
              <w:rPr>
                <w:rFonts w:hint="eastAsia" w:ascii="宋体" w:hAnsi="宋体" w:cs="宋体"/>
                <w:highlight w:val="none"/>
              </w:rPr>
              <w:t xml:space="preserve">分。</w:t>
            </w:r>
            <w:r/>
          </w:p>
          <w:p>
            <w:pPr>
              <w:numPr>
                <w:ilvl w:val="0"/>
                <w:numId w:val="18"/>
              </w:numPr>
              <w:jc w:val="left"/>
              <w:keepLines w:val="0"/>
              <w:keepNext w:val="0"/>
              <w:pageBreakBefore w:val="0"/>
              <w:spacing w:line="36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一级注册建造师（通信与广电工程</w:t>
            </w:r>
            <w:r>
              <w:rPr>
                <w:rFonts w:hint="eastAsia" w:asciiTheme="minorEastAsia" w:hAnsiTheme="minorEastAsia" w:eastAsiaTheme="minorEastAsia" w:cstheme="minorEastAsia"/>
                <w:highlight w:val="none"/>
                <w:lang w:val="en-US" w:eastAsia="zh-CN"/>
              </w:rPr>
              <w:t xml:space="preserve">或机电工程</w:t>
            </w:r>
            <w:r>
              <w:rPr>
                <w:rFonts w:hint="eastAsia" w:asciiTheme="minorEastAsia" w:hAnsiTheme="minorEastAsia" w:eastAsiaTheme="minorEastAsia" w:cstheme="minorEastAsia"/>
                <w:highlight w:val="none"/>
              </w:rPr>
              <w:t xml:space="preserve">）</w:t>
            </w:r>
            <w:r>
              <w:rPr>
                <w:rFonts w:hint="eastAsia" w:asciiTheme="minorEastAsia" w:hAnsiTheme="minorEastAsia" w:eastAsiaTheme="minorEastAsia" w:cstheme="minorEastAsia"/>
                <w:highlight w:val="none"/>
                <w:lang w:eastAsia="zh-CN"/>
              </w:rPr>
              <w:t xml:space="preserve">，</w:t>
            </w:r>
            <w:r>
              <w:rPr>
                <w:rFonts w:hint="eastAsia" w:asciiTheme="minorEastAsia" w:hAnsiTheme="minorEastAsia" w:eastAsiaTheme="minorEastAsia" w:cstheme="minorEastAsia"/>
                <w:highlight w:val="none"/>
                <w:lang w:val="en-US" w:eastAsia="zh-CN"/>
              </w:rPr>
              <w:t xml:space="preserve">得1分。</w:t>
            </w:r>
            <w:r/>
          </w:p>
          <w:p>
            <w:pPr>
              <w:numPr>
                <w:ilvl w:val="0"/>
                <w:numId w:val="18"/>
              </w:numPr>
              <w:jc w:val="left"/>
              <w:keepLines w:val="0"/>
              <w:keepNext w:val="0"/>
              <w:pageBreakBefore w:val="0"/>
              <w:spacing w:line="360" w:lineRule="exact"/>
              <w:rPr>
                <w:rFonts w:hint="eastAsia" w:ascii="宋体" w:hAnsi="宋体" w:eastAsia="宋体" w:cs="宋体"/>
                <w:highlight w:val="none"/>
                <w:lang w:val="en-US" w:eastAsia="zh-CN"/>
              </w:rPr>
            </w:pPr>
            <w:r>
              <w:rPr>
                <w:rFonts w:hint="eastAsia" w:ascii="宋体" w:hAnsi="宋体" w:cs="宋体"/>
                <w:highlight w:val="none"/>
              </w:rPr>
              <w:t xml:space="preserve">具备网络规划设计师（软考高级）或主流厂商（如华为、H3C、锐捷等）同等级别认证证书，得1分。</w:t>
            </w:r>
            <w:r/>
          </w:p>
          <w:p>
            <w:pPr>
              <w:jc w:val="left"/>
              <w:keepLines w:val="0"/>
              <w:keepNext w:val="0"/>
              <w:pageBreakBefore w:val="0"/>
              <w:spacing w:line="360" w:lineRule="exact"/>
              <w:rPr>
                <w:rFonts w:hint="eastAsia" w:ascii="宋体" w:hAnsi="宋体" w:cs="宋体"/>
                <w:highlight w:val="none"/>
              </w:rPr>
            </w:pPr>
            <w:r>
              <w:rPr>
                <w:rFonts w:hint="eastAsia" w:ascii="宋体" w:hAnsi="宋体" w:cs="宋体"/>
                <w:highlight w:val="none"/>
              </w:rPr>
              <w:t xml:space="preserve">3. 项目团队其他成员</w:t>
            </w:r>
            <w:r/>
          </w:p>
          <w:p>
            <w:pPr>
              <w:jc w:val="left"/>
              <w:keepLines w:val="0"/>
              <w:keepNext w:val="0"/>
              <w:pageBreakBefore w:val="0"/>
              <w:spacing w:line="360" w:lineRule="exact"/>
              <w:rPr>
                <w:rFonts w:hint="eastAsia" w:ascii="宋体" w:hAnsi="宋体" w:cs="宋体"/>
                <w:highlight w:val="none"/>
              </w:rPr>
            </w:pPr>
            <w:r>
              <w:rPr>
                <w:rFonts w:hint="eastAsia" w:ascii="宋体" w:hAnsi="宋体" w:cs="宋体"/>
                <w:highlight w:val="none"/>
              </w:rPr>
              <w:t xml:space="preserve">本项可报多人或1人，最高得</w:t>
            </w:r>
            <w:r>
              <w:rPr>
                <w:rFonts w:hint="eastAsia" w:ascii="宋体" w:hAnsi="宋体" w:cs="宋体"/>
                <w:highlight w:val="none"/>
                <w:lang w:val="en-US" w:eastAsia="zh-CN"/>
              </w:rPr>
              <w:t xml:space="preserve">2</w:t>
            </w:r>
            <w:r>
              <w:rPr>
                <w:rFonts w:hint="eastAsia" w:ascii="宋体" w:hAnsi="宋体" w:cs="宋体"/>
                <w:highlight w:val="none"/>
              </w:rPr>
              <w:t xml:space="preserve">分。</w:t>
            </w:r>
            <w:r/>
          </w:p>
          <w:p>
            <w:pPr>
              <w:numPr>
                <w:ilvl w:val="0"/>
                <w:numId w:val="19"/>
              </w:numPr>
              <w:jc w:val="left"/>
              <w:keepLines w:val="0"/>
              <w:keepNext w:val="0"/>
              <w:pageBreakBefore w:val="0"/>
              <w:spacing w:line="360" w:lineRule="exact"/>
              <w:rPr>
                <w:rFonts w:hint="eastAsia" w:ascii="宋体" w:hAnsi="宋体" w:cs="宋体"/>
                <w:highlight w:val="none"/>
              </w:rPr>
            </w:pPr>
            <w:r>
              <w:rPr>
                <w:rFonts w:hint="eastAsia" w:asciiTheme="minorEastAsia" w:hAnsiTheme="minorEastAsia" w:eastAsiaTheme="minorEastAsia" w:cstheme="minorEastAsia"/>
                <w:color w:val="auto"/>
                <w:highlight w:val="none"/>
              </w:rPr>
              <w:t xml:space="preserve">所投产品品牌的或工信、人社等国家相关职能部门认定的相应中级以上网络认证证书（路由交换</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lang w:val="en-US" w:eastAsia="zh-CN"/>
              </w:rPr>
              <w:t xml:space="preserve">提供得1分，不提供不得分</w:t>
            </w:r>
            <w:r>
              <w:rPr>
                <w:rFonts w:hint="eastAsia" w:ascii="宋体" w:hAnsi="宋体" w:cs="宋体"/>
                <w:highlight w:val="none"/>
              </w:rPr>
              <w:t xml:space="preserve">。</w:t>
            </w:r>
            <w:r/>
          </w:p>
          <w:p>
            <w:pPr>
              <w:jc w:val="left"/>
              <w:keepLines w:val="0"/>
              <w:keepNext w:val="0"/>
              <w:pageBreakBefore w:val="0"/>
              <w:spacing w:line="360" w:lineRule="exact"/>
              <w:rPr>
                <w:rFonts w:hint="eastAsia"/>
              </w:rPr>
            </w:pPr>
            <w:r>
              <w:rPr>
                <w:rFonts w:hint="eastAsia" w:ascii="宋体" w:hAnsi="宋体" w:cs="宋体"/>
                <w:highlight w:val="none"/>
                <w:lang w:eastAsia="zh-CN"/>
              </w:rPr>
              <w:t xml:space="preserve">（</w:t>
            </w:r>
            <w:r>
              <w:rPr>
                <w:rFonts w:hint="eastAsia" w:ascii="宋体" w:hAnsi="宋体" w:cs="宋体"/>
                <w:highlight w:val="none"/>
                <w:lang w:val="en-US" w:eastAsia="zh-CN"/>
              </w:rPr>
              <w:t xml:space="preserve">2）</w:t>
            </w:r>
            <w:r>
              <w:rPr>
                <w:rFonts w:hint="eastAsia" w:asciiTheme="minorEastAsia" w:hAnsiTheme="minorEastAsia" w:eastAsiaTheme="minorEastAsia" w:cstheme="minorEastAsia"/>
                <w:color w:val="auto"/>
                <w:highlight w:val="none"/>
              </w:rPr>
              <w:t xml:space="preserve">布线测试认证工程师</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lang w:val="en-US" w:eastAsia="zh-CN"/>
              </w:rPr>
              <w:t xml:space="preserve">提供得1分，不提供不得分。</w:t>
            </w:r>
            <w:r/>
          </w:p>
          <w:p>
            <w:pPr>
              <w:jc w:val="left"/>
              <w:keepLines w:val="0"/>
              <w:keepNext w:val="0"/>
              <w:pageBreakBefore w:val="0"/>
              <w:spacing w:line="360" w:lineRule="exact"/>
              <w:rPr>
                <w:rFonts w:hint="eastAsia" w:ascii="宋体" w:hAnsi="宋体" w:cs="宋体"/>
                <w:highlight w:val="none"/>
              </w:rPr>
            </w:pPr>
            <w:r>
              <w:rPr>
                <w:rFonts w:hint="eastAsia" w:ascii="宋体" w:hAnsi="宋体" w:cs="宋体"/>
                <w:highlight w:val="none"/>
              </w:rPr>
              <w:t xml:space="preserve">注：</w:t>
            </w:r>
            <w:r/>
          </w:p>
          <w:p>
            <w:pPr>
              <w:jc w:val="left"/>
              <w:keepLines w:val="0"/>
              <w:keepNext w:val="0"/>
              <w:pageBreakBefore w:val="0"/>
              <w:spacing w:line="360" w:lineRule="exact"/>
              <w:rPr>
                <w:rFonts w:hint="eastAsia" w:ascii="宋体" w:hAnsi="宋体" w:cs="宋体"/>
                <w:highlight w:val="none"/>
              </w:rPr>
            </w:pPr>
            <w:r>
              <w:rPr>
                <w:rFonts w:hint="eastAsia" w:ascii="宋体" w:hAnsi="宋体" w:cs="宋体"/>
                <w:highlight w:val="none"/>
              </w:rPr>
              <w:t xml:space="preserve">①同一资质（如同一证书、同一经验证明）由团队多人具备的，不重复计分。</w:t>
            </w:r>
            <w:r/>
          </w:p>
          <w:p>
            <w:pPr>
              <w:jc w:val="left"/>
              <w:keepLines w:val="0"/>
              <w:keepNext w:val="0"/>
              <w:pageBreakBefore w:val="0"/>
              <w:spacing w:line="360" w:lineRule="exact"/>
              <w:widowControl/>
              <w:rPr>
                <w:rFonts w:hint="default" w:ascii="宋体" w:hAnsi="宋体" w:cs="宋体"/>
                <w:highlight w:val="none"/>
                <w:lang w:val="en-US" w:eastAsia="zh-CN"/>
              </w:rPr>
            </w:pPr>
            <w:r>
              <w:rPr>
                <w:rFonts w:hint="eastAsia" w:ascii="宋体" w:hAnsi="宋体" w:cs="宋体"/>
                <w:highlight w:val="none"/>
              </w:rPr>
              <w:t xml:space="preserve">②</w:t>
            </w:r>
            <w:r>
              <w:rPr>
                <w:rFonts w:hint="eastAsia" w:ascii="宋体" w:hAnsi="宋体" w:cs="宋体"/>
                <w:highlight w:val="none"/>
                <w:lang w:val="en-US" w:eastAsia="zh-CN"/>
              </w:rPr>
              <w:t xml:space="preserve">项目负责人、技术负责人、团队成员不能一人兼任。</w:t>
            </w:r>
            <w:r/>
          </w:p>
          <w:p>
            <w:pPr>
              <w:jc w:val="left"/>
              <w:keepLines w:val="0"/>
              <w:keepNext w:val="0"/>
              <w:pageBreakBefore w:val="0"/>
              <w:spacing w:line="360" w:lineRule="exact"/>
              <w:widowControl/>
              <w:rPr>
                <w:rFonts w:hint="eastAsia" w:ascii="宋体" w:hAnsi="宋体" w:cs="宋体"/>
              </w:rPr>
            </w:pPr>
            <w:r>
              <w:rPr>
                <w:rFonts w:hint="default" w:ascii="宋体" w:hAnsi="宋体" w:cs="宋体"/>
                <w:highlight w:val="none"/>
              </w:rPr>
              <w:t xml:space="preserve">③</w:t>
            </w:r>
            <w:r>
              <w:rPr>
                <w:rFonts w:hint="eastAsia" w:ascii="宋体" w:hAnsi="宋体" w:cs="宋体"/>
                <w:highlight w:val="none"/>
              </w:rPr>
              <w:t xml:space="preserve">所有证书须在有效期内，并提供证书扫描件及投标人为其缴纳的近三个月中任意一个月的社保证明。</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b/>
                <w:bCs/>
              </w:rPr>
              <w:t xml:space="preserve">0</w:t>
            </w:r>
            <w:r/>
          </w:p>
        </w:tc>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lang w:eastAsia="zh-CN"/>
              </w:rPr>
            </w:pPr>
            <w:r>
              <w:rPr>
                <w:rFonts w:hint="eastAsia" w:ascii="宋体" w:hAnsi="宋体" w:cs="宋体"/>
                <w:b/>
                <w:bCs/>
                <w:lang w:val="en-US" w:eastAsia="zh-CN"/>
              </w:rPr>
              <w:t xml:space="preserve">6</w:t>
            </w:r>
            <w:r/>
          </w:p>
        </w:tc>
        <w:tc>
          <w:tcPr>
            <w:tcBorders>
              <w:top w:val="single" w:color="000000" w:sz="8" w:space="0"/>
              <w:left w:val="single" w:color="000000" w:sz="8" w:space="0"/>
              <w:bottom w:val="single" w:color="000000" w:sz="8" w:space="0"/>
              <w:right w:val="single" w:color="000000" w:sz="8" w:space="0"/>
            </w:tcBorders>
            <w:tcW w:w="704"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b/>
                <w:bCs/>
              </w:rPr>
              <w:t xml:space="preserve">否</w:t>
            </w:r>
            <w:r/>
          </w:p>
        </w:tc>
        <w:tc>
          <w:tcPr>
            <w:tcBorders>
              <w:top w:val="single" w:color="000000" w:sz="8" w:space="0"/>
              <w:left w:val="single" w:color="000000" w:sz="8" w:space="0"/>
              <w:bottom w:val="single" w:color="000000" w:sz="8" w:space="0"/>
              <w:right w:val="single" w:color="000000" w:sz="8" w:space="0"/>
            </w:tcBorders>
            <w:tcW w:w="690"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b/>
                <w:bCs/>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691"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b/>
                <w:bCs/>
              </w:rPr>
              <w:t xml:space="preserve">3.6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jc w:val="center"/>
              <w:keepLines w:val="0"/>
              <w:keepNext w:val="0"/>
              <w:pageBreakBefore w:val="0"/>
              <w:spacing w:line="360" w:lineRule="exact"/>
              <w:widowControl/>
              <w:rPr>
                <w:rFonts w:hint="eastAsia" w:ascii="宋体" w:hAnsi="宋体" w:cs="宋体"/>
              </w:rPr>
            </w:pPr>
            <w:r>
              <w:rPr>
                <w:rFonts w:hint="eastAsia" w:ascii="宋体" w:hAnsi="宋体" w:cs="宋体"/>
              </w:rPr>
              <w:t xml:space="preserve">质保期要求评价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08" w:type="dxa"/>
            <w:vAlign w:val="center"/>
            <w:textDirection w:val="lrTb"/>
            <w:noWrap w:val="false"/>
          </w:tcPr>
          <w:p>
            <w:pPr>
              <w:jc w:val="left"/>
              <w:keepLines w:val="0"/>
              <w:keepNext w:val="0"/>
              <w:pageBreakBefore w:val="0"/>
              <w:spacing w:line="360" w:lineRule="exact"/>
              <w:rPr>
                <w:rFonts w:hint="eastAsia" w:ascii="宋体" w:hAnsi="宋体" w:cs="宋体"/>
              </w:rPr>
            </w:pPr>
            <w:r>
              <w:rPr>
                <w:rFonts w:hint="eastAsia" w:ascii="宋体" w:hAnsi="宋体" w:cs="宋体"/>
              </w:rPr>
              <w:t xml:space="preserve">整体免费原厂质保三年的基础上，每延长一年整体质保期得1分，最高得3分</w:t>
            </w:r>
            <w:r>
              <w:rPr>
                <w:rFonts w:hint="eastAsia" w:ascii="宋体" w:hAnsi="宋体" w:cs="宋体"/>
                <w:lang w:val="en-US" w:eastAsia="zh-CN"/>
              </w:rPr>
              <w:t xml:space="preserve">；</w:t>
            </w:r>
            <w:r>
              <w:rPr>
                <w:rFonts w:hint="eastAsia" w:asciiTheme="minorEastAsia" w:hAnsiTheme="minorEastAsia" w:eastAsiaTheme="minorEastAsia" w:cstheme="minorEastAsia"/>
              </w:rPr>
              <w:t xml:space="preserve">本项最高得</w:t>
            </w:r>
            <w:r>
              <w:rPr>
                <w:rFonts w:hint="eastAsia" w:asciiTheme="minorEastAsia" w:hAnsiTheme="minorEastAsia" w:eastAsiaTheme="minorEastAsia" w:cstheme="minorEastAsia"/>
                <w:lang w:val="en-US" w:eastAsia="zh-CN"/>
              </w:rPr>
              <w:t xml:space="preserve">3</w:t>
            </w:r>
            <w:r>
              <w:rPr>
                <w:rFonts w:hint="eastAsia" w:asciiTheme="minorEastAsia" w:hAnsiTheme="minorEastAsia" w:eastAsiaTheme="minorEastAsia" w:cstheme="minorEastAsia"/>
              </w:rPr>
              <w:t xml:space="preserve">分。</w:t>
            </w:r>
            <w:r>
              <w:rPr>
                <w:rFonts w:hint="eastAsia" w:asciiTheme="minorEastAsia" w:hAnsiTheme="minorEastAsia" w:eastAsiaTheme="minorEastAsia" w:cstheme="minorEastAsia"/>
                <w:b/>
                <w:bCs/>
              </w:rPr>
              <w:t xml:space="preserve">提供投标商承诺函</w:t>
            </w:r>
            <w:r>
              <w:rPr>
                <w:rFonts w:hint="eastAsia" w:ascii="宋体" w:hAnsi="宋体" w:cs="宋体"/>
                <w:b/>
                <w:bCs/>
              </w:rPr>
              <w:t xml:space="preserve">加盖公章</w:t>
            </w:r>
            <w:r>
              <w:rPr>
                <w:rFonts w:hint="eastAsia" w:asciiTheme="minorEastAsia" w:hAnsiTheme="minorEastAsia" w:eastAsiaTheme="minorEastAsia" w:cstheme="minorEastAsia"/>
                <w:b/>
                <w:bCs/>
              </w:rPr>
              <w:t xml:space="preserve">，不提供不得分。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b/>
                <w:bCs/>
              </w:rPr>
              <w:t xml:space="preserve">0</w:t>
            </w:r>
            <w:r/>
          </w:p>
        </w:tc>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lang w:eastAsia="zh-CN"/>
              </w:rPr>
            </w:pPr>
            <w:r>
              <w:rPr>
                <w:rFonts w:hint="eastAsia" w:ascii="宋体" w:hAnsi="宋体" w:cs="宋体"/>
                <w:b/>
                <w:bCs/>
                <w:lang w:val="en-US" w:eastAsia="zh-CN"/>
              </w:rPr>
              <w:t xml:space="preserve">3</w:t>
            </w:r>
            <w:r/>
          </w:p>
        </w:tc>
        <w:tc>
          <w:tcPr>
            <w:tcBorders>
              <w:top w:val="single" w:color="000000" w:sz="8" w:space="0"/>
              <w:left w:val="single" w:color="000000" w:sz="8" w:space="0"/>
              <w:bottom w:val="single" w:color="000000" w:sz="8" w:space="0"/>
              <w:right w:val="single" w:color="000000" w:sz="8" w:space="0"/>
            </w:tcBorders>
            <w:tcW w:w="704"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b/>
                <w:bCs/>
              </w:rPr>
              <w:t xml:space="preserve">否</w:t>
            </w:r>
            <w:r/>
          </w:p>
        </w:tc>
        <w:tc>
          <w:tcPr>
            <w:tcBorders>
              <w:top w:val="single" w:color="000000" w:sz="8" w:space="0"/>
              <w:left w:val="single" w:color="000000" w:sz="8" w:space="0"/>
              <w:bottom w:val="single" w:color="000000" w:sz="8" w:space="0"/>
              <w:right w:val="single" w:color="000000" w:sz="8" w:space="0"/>
            </w:tcBorders>
            <w:tcW w:w="690"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b/>
                <w:bCs/>
              </w:rPr>
              <w:t xml:space="preserve">是</w:t>
            </w:r>
            <w:r/>
          </w:p>
        </w:tc>
      </w:tr>
    </w:tbl>
    <w:p>
      <w:pPr>
        <w:rPr>
          <w:rFonts w:hint="eastAsia" w:asciiTheme="minorEastAsia" w:hAnsiTheme="minorEastAsia" w:eastAsiaTheme="minorEastAsia" w:cstheme="minorEastAsia"/>
          <w:bCs/>
          <w:sz w:val="44"/>
        </w:rPr>
      </w:pPr>
      <w:r>
        <w:rPr>
          <w:rFonts w:hint="eastAsia" w:asciiTheme="minorEastAsia" w:hAnsiTheme="minorEastAsia" w:eastAsiaTheme="minorEastAsia" w:cstheme="minorEastAsia"/>
          <w:bCs/>
          <w:sz w:val="44"/>
        </w:rPr>
      </w:r>
      <w:r/>
    </w:p>
    <w:p>
      <w:pPr>
        <w:pStyle w:val="810"/>
        <w:rPr>
          <w:rFonts w:hint="eastAsia" w:asciiTheme="minorEastAsia" w:hAnsiTheme="minorEastAsia" w:eastAsiaTheme="minorEastAsia" w:cstheme="minorEastAsia"/>
          <w:bCs/>
          <w:sz w:val="44"/>
        </w:rPr>
      </w:pPr>
      <w:r>
        <w:rPr>
          <w:rFonts w:hint="eastAsia" w:asciiTheme="minorEastAsia" w:hAnsiTheme="minorEastAsia" w:eastAsiaTheme="minorEastAsia" w:cstheme="minorEastAsia"/>
          <w:bCs/>
          <w:sz w:val="44"/>
        </w:rPr>
      </w:r>
      <w:r/>
    </w:p>
    <w:p>
      <w:pPr>
        <w:pStyle w:val="810"/>
        <w:rPr>
          <w:rFonts w:hint="eastAsia" w:asciiTheme="minorEastAsia" w:hAnsiTheme="minorEastAsia" w:eastAsiaTheme="minorEastAsia" w:cstheme="minorEastAsia"/>
          <w:bCs/>
          <w:sz w:val="44"/>
        </w:rPr>
      </w:pPr>
      <w:r>
        <w:rPr>
          <w:rFonts w:hint="eastAsia" w:asciiTheme="minorEastAsia" w:hAnsiTheme="minorEastAsia" w:eastAsiaTheme="minorEastAsia" w:cstheme="minorEastAsia"/>
          <w:bCs/>
          <w:sz w:val="44"/>
        </w:rPr>
      </w:r>
      <w:r/>
    </w:p>
    <w:p>
      <w:pPr>
        <w:pStyle w:val="810"/>
        <w:rPr>
          <w:rFonts w:hint="eastAsia" w:asciiTheme="minorEastAsia" w:hAnsiTheme="minorEastAsia" w:eastAsiaTheme="minorEastAsia" w:cstheme="minorEastAsia"/>
          <w:bCs/>
          <w:sz w:val="44"/>
        </w:rPr>
      </w:pPr>
      <w:r>
        <w:rPr>
          <w:rFonts w:hint="eastAsia" w:asciiTheme="minorEastAsia" w:hAnsiTheme="minorEastAsia" w:eastAsiaTheme="minorEastAsia" w:cstheme="minorEastAsia"/>
          <w:bCs/>
          <w:sz w:val="44"/>
        </w:rPr>
      </w:r>
      <w:r/>
    </w:p>
    <w:p>
      <w:pPr>
        <w:pStyle w:val="810"/>
        <w:rPr>
          <w:rFonts w:hint="eastAsia" w:asciiTheme="minorEastAsia" w:hAnsiTheme="minorEastAsia" w:eastAsiaTheme="minorEastAsia" w:cstheme="minorEastAsia"/>
          <w:bCs/>
          <w:sz w:val="44"/>
        </w:rPr>
      </w:pPr>
      <w:r>
        <w:rPr>
          <w:rFonts w:hint="eastAsia" w:asciiTheme="minorEastAsia" w:hAnsiTheme="minorEastAsia" w:eastAsiaTheme="minorEastAsia" w:cstheme="minorEastAsia"/>
          <w:bCs/>
          <w:sz w:val="44"/>
        </w:rPr>
      </w:r>
      <w:r/>
    </w:p>
    <w:p>
      <w:pPr>
        <w:pStyle w:val="810"/>
        <w:rPr>
          <w:rFonts w:hint="eastAsia" w:asciiTheme="minorEastAsia" w:hAnsiTheme="minorEastAsia" w:eastAsiaTheme="minorEastAsia" w:cstheme="minorEastAsia"/>
          <w:bCs/>
          <w:sz w:val="44"/>
        </w:rPr>
      </w:pPr>
      <w:r>
        <w:rPr>
          <w:rFonts w:hint="eastAsia" w:asciiTheme="minorEastAsia" w:hAnsiTheme="minorEastAsia" w:eastAsiaTheme="minorEastAsia" w:cstheme="minorEastAsia"/>
          <w:bCs/>
          <w:sz w:val="44"/>
        </w:rPr>
      </w:r>
      <w:r/>
    </w:p>
    <w:p>
      <w:pPr>
        <w:pStyle w:val="810"/>
        <w:rPr>
          <w:rFonts w:hint="eastAsia" w:asciiTheme="minorEastAsia" w:hAnsiTheme="minorEastAsia" w:eastAsiaTheme="minorEastAsia" w:cstheme="minorEastAsia"/>
          <w:bCs/>
          <w:sz w:val="44"/>
        </w:rPr>
      </w:pPr>
      <w:r>
        <w:rPr>
          <w:rFonts w:hint="eastAsia" w:asciiTheme="minorEastAsia" w:hAnsiTheme="minorEastAsia" w:eastAsiaTheme="minorEastAsia" w:cstheme="minorEastAsia"/>
          <w:bCs/>
          <w:sz w:val="44"/>
        </w:rPr>
      </w:r>
      <w:r/>
    </w:p>
    <w:p>
      <w:pPr>
        <w:pStyle w:val="810"/>
        <w:rPr>
          <w:rFonts w:hint="eastAsia" w:asciiTheme="minorEastAsia" w:hAnsiTheme="minorEastAsia" w:eastAsiaTheme="minorEastAsia" w:cstheme="minorEastAsia"/>
          <w:bCs/>
          <w:sz w:val="44"/>
        </w:rPr>
      </w:pPr>
      <w:r>
        <w:rPr>
          <w:rFonts w:hint="eastAsia" w:asciiTheme="minorEastAsia" w:hAnsiTheme="minorEastAsia" w:eastAsiaTheme="minorEastAsia" w:cstheme="minorEastAsia"/>
          <w:bCs/>
          <w:sz w:val="44"/>
        </w:rPr>
      </w:r>
      <w:r/>
    </w:p>
    <w:p>
      <w:pPr>
        <w:pStyle w:val="810"/>
        <w:rPr>
          <w:rFonts w:hint="eastAsia" w:asciiTheme="minorEastAsia" w:hAnsiTheme="minorEastAsia" w:eastAsiaTheme="minorEastAsia" w:cstheme="minorEastAsia"/>
          <w:bCs/>
          <w:sz w:val="44"/>
        </w:rPr>
      </w:pPr>
      <w:r>
        <w:rPr>
          <w:rFonts w:hint="eastAsia" w:asciiTheme="minorEastAsia" w:hAnsiTheme="minorEastAsia" w:eastAsiaTheme="minorEastAsia" w:cstheme="minorEastAsia"/>
          <w:bCs/>
          <w:sz w:val="44"/>
        </w:rPr>
      </w:r>
      <w:r/>
    </w:p>
    <w:p>
      <w:pPr>
        <w:pStyle w:val="998"/>
        <w:rPr>
          <w:rFonts w:hint="eastAsia" w:asciiTheme="minorEastAsia" w:hAnsiTheme="minorEastAsia" w:eastAsiaTheme="minorEastAsia" w:cstheme="minorEastAsia"/>
          <w:bCs/>
          <w:sz w:val="44"/>
        </w:rPr>
      </w:pPr>
      <w:r>
        <w:rPr>
          <w:rFonts w:hint="eastAsia" w:asciiTheme="minorEastAsia" w:hAnsiTheme="minorEastAsia" w:eastAsiaTheme="minorEastAsia" w:cstheme="minorEastAsia"/>
          <w:bCs/>
          <w:sz w:val="44"/>
        </w:rPr>
      </w:r>
      <w:r/>
    </w:p>
    <w:p>
      <w:pPr>
        <w:pStyle w:val="998"/>
        <w:rPr>
          <w:rFonts w:hint="eastAsia" w:asciiTheme="minorEastAsia" w:hAnsiTheme="minorEastAsia" w:eastAsiaTheme="minorEastAsia" w:cstheme="minorEastAsia"/>
          <w:bCs/>
          <w:sz w:val="44"/>
        </w:rPr>
      </w:pPr>
      <w:r>
        <w:rPr>
          <w:rFonts w:hint="eastAsia" w:asciiTheme="minorEastAsia" w:hAnsiTheme="minorEastAsia" w:eastAsiaTheme="minorEastAsia" w:cstheme="minorEastAsia"/>
          <w:bCs/>
          <w:sz w:val="44"/>
        </w:rPr>
        <w:t xml:space="preserve">第六章  投标</w:t>
      </w:r>
      <w:bookmarkEnd w:id="192"/>
      <w:r/>
      <w:bookmarkEnd w:id="193"/>
      <w:r/>
      <w:bookmarkEnd w:id="194"/>
      <w:r>
        <w:rPr>
          <w:rFonts w:hint="eastAsia" w:asciiTheme="minorEastAsia" w:hAnsiTheme="minorEastAsia" w:eastAsiaTheme="minorEastAsia" w:cstheme="minorEastAsia"/>
          <w:bCs/>
          <w:sz w:val="44"/>
        </w:rPr>
        <w:t xml:space="preserve">文件格式</w:t>
      </w:r>
      <w:bookmarkEnd w:id="200"/>
      <w:r>
        <w:rPr>
          <w:rFonts w:hint="eastAsia" w:asciiTheme="minorEastAsia" w:hAnsiTheme="minorEastAsia" w:eastAsiaTheme="minorEastAsia" w:cstheme="minorEastAsia"/>
          <w:bCs/>
          <w:sz w:val="44"/>
        </w:rPr>
        <w:t xml:space="preserve"> </w:t>
      </w:r>
      <w:r/>
    </w:p>
    <w:p>
      <w:pPr>
        <w:jc w:val="center"/>
        <w:rPr>
          <w:rFonts w:hint="eastAsia" w:asciiTheme="minorEastAsia" w:hAnsiTheme="minorEastAsia" w:eastAsiaTheme="minorEastAsia" w:cstheme="minorEastAsia"/>
          <w:b/>
          <w:sz w:val="72"/>
        </w:rPr>
      </w:pPr>
      <w:r/>
      <w:bookmarkStart w:id="201" w:name="_Hlt26671244"/>
      <w:r/>
      <w:bookmarkEnd w:id="201"/>
      <w:r/>
      <w:bookmarkStart w:id="202" w:name="_Hlt26955039"/>
      <w:r/>
      <w:bookmarkEnd w:id="202"/>
      <w:r/>
      <w:bookmarkStart w:id="203" w:name="_Toc26554094"/>
      <w:r/>
      <w:bookmarkStart w:id="204" w:name="_Toc120614282"/>
      <w:r/>
      <w:bookmarkStart w:id="205" w:name="_Toc49090576"/>
      <w:r/>
      <w:r/>
    </w:p>
    <w:p>
      <w:pPr>
        <w:jc w:val="center"/>
        <w:rPr>
          <w:rFonts w:hint="eastAsia" w:asciiTheme="minorEastAsia" w:hAnsiTheme="minorEastAsia" w:eastAsiaTheme="minorEastAsia" w:cstheme="minorEastAsia"/>
          <w:b/>
          <w:sz w:val="72"/>
        </w:rPr>
      </w:pPr>
      <w:r>
        <w:rPr>
          <w:rFonts w:hint="eastAsia" w:asciiTheme="minorEastAsia" w:hAnsiTheme="minorEastAsia" w:eastAsiaTheme="minorEastAsia" w:cstheme="minorEastAsia"/>
          <w:b/>
          <w:sz w:val="72"/>
        </w:rPr>
        <w:t xml:space="preserve">投  标  文  件</w:t>
      </w:r>
      <w:r/>
    </w:p>
    <w:p>
      <w:pPr>
        <w:jc w:val="center"/>
        <w:rPr>
          <w:rFonts w:hint="eastAsia" w:asciiTheme="minorEastAsia" w:hAnsiTheme="minorEastAsia" w:eastAsiaTheme="minorEastAsia" w:cstheme="minorEastAsia"/>
          <w:b/>
          <w:sz w:val="72"/>
        </w:rPr>
      </w:pPr>
      <w:r>
        <w:rPr>
          <w:rFonts w:hint="eastAsia" w:asciiTheme="minorEastAsia" w:hAnsiTheme="minorEastAsia" w:eastAsiaTheme="minorEastAsia" w:cstheme="minorEastAsia"/>
          <w:b/>
          <w:sz w:val="72"/>
        </w:rPr>
      </w:r>
      <w:r/>
    </w:p>
    <w:p>
      <w:pPr>
        <w:jc w:val="center"/>
        <w:rPr>
          <w:rFonts w:hint="eastAsia" w:asciiTheme="minorEastAsia" w:hAnsiTheme="minorEastAsia" w:eastAsiaTheme="minorEastAsia" w:cstheme="minorEastAsia"/>
          <w:b/>
          <w:sz w:val="72"/>
        </w:rPr>
      </w:pPr>
      <w:r>
        <w:rPr>
          <w:rFonts w:hint="eastAsia" w:asciiTheme="minorEastAsia" w:hAnsiTheme="minorEastAsia" w:eastAsiaTheme="minorEastAsia" w:cstheme="minorEastAsia"/>
          <w:b/>
          <w:sz w:val="72"/>
        </w:rPr>
      </w:r>
      <w:r/>
    </w:p>
    <w:p>
      <w:pPr>
        <w:jc w:val="center"/>
        <w:rPr>
          <w:rFonts w:hint="eastAsia" w:asciiTheme="minorEastAsia" w:hAnsiTheme="minorEastAsia" w:eastAsiaTheme="minorEastAsia" w:cstheme="minorEastAsia"/>
          <w:b/>
          <w:sz w:val="36"/>
        </w:rPr>
      </w:pPr>
      <w:r>
        <w:rPr>
          <w:rFonts w:hint="eastAsia" w:asciiTheme="minorEastAsia" w:hAnsiTheme="minorEastAsia" w:eastAsiaTheme="minorEastAsia" w:cstheme="minorEastAsia"/>
          <w:b/>
          <w:sz w:val="36"/>
        </w:rPr>
      </w:r>
      <w:r/>
    </w:p>
    <w:p>
      <w:pPr>
        <w:jc w:val="center"/>
        <w:rPr>
          <w:rFonts w:hint="eastAsia" w:asciiTheme="minorEastAsia" w:hAnsiTheme="minorEastAsia" w:eastAsiaTheme="minorEastAsia" w:cstheme="minorEastAsia"/>
          <w:b/>
          <w:sz w:val="36"/>
        </w:rPr>
      </w:pPr>
      <w:r>
        <w:rPr>
          <w:rFonts w:hint="eastAsia" w:asciiTheme="minorEastAsia" w:hAnsiTheme="minorEastAsia" w:eastAsiaTheme="minorEastAsia" w:cstheme="minorEastAsia"/>
          <w:b/>
          <w:sz w:val="36"/>
        </w:rPr>
      </w:r>
      <w:r/>
    </w:p>
    <w:p>
      <w:pPr>
        <w:jc w:val="center"/>
        <w:rPr>
          <w:rFonts w:hint="eastAsia" w:asciiTheme="minorEastAsia" w:hAnsiTheme="minorEastAsia" w:eastAsiaTheme="minorEastAsia" w:cstheme="minorEastAsia"/>
          <w:b/>
          <w:sz w:val="36"/>
        </w:rPr>
      </w:pPr>
      <w:r>
        <w:rPr>
          <w:rFonts w:hint="eastAsia" w:asciiTheme="minorEastAsia" w:hAnsiTheme="minorEastAsia" w:eastAsiaTheme="minorEastAsia" w:cstheme="minorEastAsia"/>
          <w:b/>
          <w:sz w:val="36"/>
        </w:rPr>
      </w:r>
      <w:r/>
    </w:p>
    <w:p>
      <w:pPr>
        <w:ind w:firstLine="1084"/>
        <w:rPr>
          <w:rFonts w:hint="eastAsia" w:asciiTheme="minorEastAsia" w:hAnsiTheme="minorEastAsia" w:eastAsiaTheme="minorEastAsia" w:cstheme="minorEastAsia"/>
          <w:b/>
          <w:sz w:val="36"/>
        </w:rPr>
      </w:pPr>
      <w:r>
        <w:rPr>
          <w:rFonts w:hint="eastAsia" w:asciiTheme="minorEastAsia" w:hAnsiTheme="minorEastAsia" w:eastAsiaTheme="minorEastAsia" w:cstheme="minorEastAsia"/>
          <w:b/>
          <w:sz w:val="36"/>
        </w:rPr>
        <w:t xml:space="preserve">项 目 名 称：</w:t>
      </w:r>
      <w:r>
        <w:rPr>
          <w:rFonts w:hint="eastAsia" w:asciiTheme="minorEastAsia" w:hAnsiTheme="minorEastAsia" w:eastAsiaTheme="minorEastAsia" w:cstheme="minorEastAsia"/>
          <w:b/>
          <w:sz w:val="36"/>
          <w:u w:val="single"/>
        </w:rPr>
        <w:t xml:space="preserve">               </w:t>
      </w:r>
      <w:r/>
    </w:p>
    <w:p>
      <w:pPr>
        <w:ind w:firstLine="1084"/>
        <w:rPr>
          <w:rFonts w:hint="eastAsia" w:asciiTheme="minorEastAsia" w:hAnsiTheme="minorEastAsia" w:eastAsiaTheme="minorEastAsia" w:cstheme="minorEastAsia"/>
          <w:b/>
          <w:sz w:val="36"/>
          <w:u w:val="single"/>
        </w:rPr>
      </w:pPr>
      <w:r>
        <w:rPr>
          <w:rFonts w:hint="eastAsia" w:asciiTheme="minorEastAsia" w:hAnsiTheme="minorEastAsia" w:eastAsiaTheme="minorEastAsia" w:cstheme="minorEastAsia"/>
          <w:b/>
          <w:sz w:val="36"/>
        </w:rPr>
        <w:t xml:space="preserve">项 目 编 号：</w:t>
      </w:r>
      <w:r>
        <w:rPr>
          <w:rFonts w:hint="eastAsia" w:asciiTheme="minorEastAsia" w:hAnsiTheme="minorEastAsia" w:eastAsiaTheme="minorEastAsia" w:cstheme="minorEastAsia"/>
          <w:b/>
          <w:sz w:val="36"/>
          <w:u w:val="single"/>
        </w:rPr>
        <w:t xml:space="preserve">               </w:t>
      </w:r>
      <w:r/>
    </w:p>
    <w:p>
      <w:pPr>
        <w:rPr>
          <w:rFonts w:hint="eastAsia" w:asciiTheme="minorEastAsia" w:hAnsiTheme="minorEastAsia" w:eastAsiaTheme="minorEastAsia" w:cstheme="minorEastAsia"/>
          <w:b/>
          <w:sz w:val="36"/>
          <w:u w:val="single"/>
        </w:rPr>
      </w:pPr>
      <w:r>
        <w:rPr>
          <w:rFonts w:hint="eastAsia" w:asciiTheme="minorEastAsia" w:hAnsiTheme="minorEastAsia" w:eastAsiaTheme="minorEastAsia" w:cstheme="minorEastAsia"/>
          <w:b/>
          <w:sz w:val="36"/>
        </w:rPr>
        <w:t xml:space="preserve">      投标人名称 ：</w:t>
      </w:r>
      <w:r>
        <w:rPr>
          <w:rFonts w:hint="eastAsia" w:asciiTheme="minorEastAsia" w:hAnsiTheme="minorEastAsia" w:eastAsiaTheme="minorEastAsia" w:cstheme="minorEastAsia"/>
          <w:b/>
          <w:sz w:val="36"/>
          <w:u w:val="single"/>
        </w:rPr>
        <w:t xml:space="preserve">（加盖CA电子公章）</w:t>
      </w:r>
      <w:r/>
    </w:p>
    <w:p>
      <w:pPr>
        <w:rPr>
          <w:rFonts w:hint="eastAsia" w:asciiTheme="minorEastAsia" w:hAnsiTheme="minorEastAsia" w:eastAsiaTheme="minorEastAsia" w:cstheme="minorEastAsia"/>
          <w:b/>
          <w:sz w:val="36"/>
          <w:u w:val="single"/>
        </w:rPr>
      </w:pPr>
      <w:r>
        <w:rPr>
          <w:rFonts w:hint="eastAsia" w:asciiTheme="minorEastAsia" w:hAnsiTheme="minorEastAsia" w:eastAsiaTheme="minorEastAsia" w:cstheme="minorEastAsia"/>
          <w:b/>
          <w:sz w:val="36"/>
        </w:rPr>
        <w:t xml:space="preserve">      日      期 ：</w:t>
      </w:r>
      <w:r>
        <w:rPr>
          <w:rFonts w:hint="eastAsia" w:asciiTheme="minorEastAsia" w:hAnsiTheme="minorEastAsia" w:eastAsiaTheme="minorEastAsia" w:cstheme="minorEastAsia"/>
          <w:b/>
          <w:sz w:val="36"/>
          <w:u w:val="single"/>
        </w:rPr>
        <w:t xml:space="preserve">               </w:t>
      </w:r>
      <w:r/>
    </w:p>
    <w:p>
      <w:pPr>
        <w:jc w:val="center"/>
        <w:spacing w:line="440" w:lineRule="exact"/>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spacing w:line="44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ind w:firstLine="1084"/>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sz w:val="36"/>
          <w:u w:val="single"/>
        </w:rPr>
        <w:br w:type="page" w:clear="all"/>
      </w:r>
      <w:r/>
    </w:p>
    <w:p>
      <w:pPr>
        <w:jc w:val="center"/>
        <w:spacing w:line="440" w:lineRule="exact"/>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t xml:space="preserve">投标文件主要格式目录</w:t>
      </w:r>
      <w:r/>
    </w:p>
    <w:p>
      <w:pPr>
        <w:jc w:val="center"/>
        <w:spacing w:line="440" w:lineRule="exact"/>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ind w:firstLine="480"/>
        <w:spacing w:line="360" w:lineRule="auto"/>
        <w:rPr>
          <w:rFonts w:hint="eastAsia" w:asciiTheme="minorEastAsia" w:hAnsiTheme="minorEastAsia" w:eastAsiaTheme="minorEastAsia" w:cstheme="minorEastAsia"/>
          <w:iCs/>
          <w:sz w:val="24"/>
        </w:rPr>
      </w:pPr>
      <w:r>
        <w:rPr>
          <w:rFonts w:hint="eastAsia" w:asciiTheme="minorEastAsia" w:hAnsiTheme="minorEastAsia" w:eastAsiaTheme="minorEastAsia" w:cstheme="minorEastAsia"/>
          <w:iCs/>
          <w:sz w:val="24"/>
        </w:rPr>
        <w:t xml:space="preserve">一、投标人资格声明函</w:t>
      </w:r>
      <w:r/>
    </w:p>
    <w:p>
      <w:pPr>
        <w:ind w:firstLine="480"/>
        <w:spacing w:line="360" w:lineRule="auto"/>
        <w:rPr>
          <w:rFonts w:hint="eastAsia" w:asciiTheme="minorEastAsia" w:hAnsiTheme="minorEastAsia" w:eastAsiaTheme="minorEastAsia" w:cstheme="minorEastAsia"/>
          <w:iCs/>
          <w:sz w:val="24"/>
        </w:rPr>
      </w:pPr>
      <w:r>
        <w:rPr>
          <w:rFonts w:hint="eastAsia" w:asciiTheme="minorEastAsia" w:hAnsiTheme="minorEastAsia" w:eastAsiaTheme="minorEastAsia" w:cstheme="minorEastAsia"/>
          <w:iCs/>
          <w:sz w:val="24"/>
        </w:rPr>
        <w:t xml:space="preserve">二、特定资格要求的证明文件（如果本项目设置特定资格要求，则需要提供）</w:t>
      </w:r>
      <w:r/>
    </w:p>
    <w:p>
      <w:pPr>
        <w:ind w:firstLine="480"/>
        <w:spacing w:line="360" w:lineRule="auto"/>
        <w:rPr>
          <w:rFonts w:hint="eastAsia" w:asciiTheme="minorEastAsia" w:hAnsiTheme="minorEastAsia" w:eastAsiaTheme="minorEastAsia" w:cstheme="minorEastAsia"/>
          <w:iCs/>
          <w:sz w:val="24"/>
        </w:rPr>
      </w:pPr>
      <w:r>
        <w:rPr>
          <w:rFonts w:hint="eastAsia" w:asciiTheme="minorEastAsia" w:hAnsiTheme="minorEastAsia" w:eastAsiaTheme="minorEastAsia" w:cstheme="minorEastAsia"/>
          <w:iCs/>
          <w:sz w:val="24"/>
        </w:rPr>
        <w:t xml:space="preserve">三、法定代表人资格证明书（实质性格式）</w:t>
      </w:r>
      <w:r/>
    </w:p>
    <w:p>
      <w:pPr>
        <w:ind w:firstLine="480"/>
        <w:spacing w:line="360" w:lineRule="auto"/>
        <w:rPr>
          <w:rFonts w:hint="eastAsia" w:asciiTheme="minorEastAsia" w:hAnsiTheme="minorEastAsia" w:eastAsiaTheme="minorEastAsia" w:cstheme="minorEastAsia"/>
          <w:iCs/>
          <w:sz w:val="24"/>
        </w:rPr>
      </w:pPr>
      <w:r>
        <w:rPr>
          <w:rFonts w:hint="eastAsia" w:asciiTheme="minorEastAsia" w:hAnsiTheme="minorEastAsia" w:eastAsiaTheme="minorEastAsia" w:cstheme="minorEastAsia"/>
          <w:iCs/>
          <w:sz w:val="24"/>
        </w:rPr>
        <w:t xml:space="preserve">四、法人授权书</w:t>
      </w:r>
      <w:r/>
    </w:p>
    <w:p>
      <w:pPr>
        <w:ind w:firstLine="480"/>
        <w:spacing w:line="360" w:lineRule="auto"/>
        <w:rPr>
          <w:rFonts w:hint="eastAsia" w:asciiTheme="minorEastAsia" w:hAnsiTheme="minorEastAsia" w:eastAsiaTheme="minorEastAsia" w:cstheme="minorEastAsia"/>
          <w:iCs/>
          <w:sz w:val="24"/>
        </w:rPr>
      </w:pPr>
      <w:r>
        <w:rPr>
          <w:rFonts w:hint="eastAsia" w:asciiTheme="minorEastAsia" w:hAnsiTheme="minorEastAsia" w:eastAsiaTheme="minorEastAsia" w:cstheme="minorEastAsia"/>
          <w:iCs/>
          <w:sz w:val="24"/>
        </w:rPr>
        <w:t xml:space="preserve">五、投标函</w:t>
      </w:r>
      <w:r/>
    </w:p>
    <w:p>
      <w:pPr>
        <w:ind w:firstLine="480"/>
        <w:spacing w:line="360" w:lineRule="auto"/>
        <w:rPr>
          <w:rFonts w:hint="eastAsia" w:asciiTheme="minorEastAsia" w:hAnsiTheme="minorEastAsia" w:eastAsiaTheme="minorEastAsia" w:cstheme="minorEastAsia"/>
          <w:iCs/>
          <w:sz w:val="24"/>
        </w:rPr>
      </w:pPr>
      <w:r>
        <w:rPr>
          <w:rFonts w:hint="eastAsia" w:asciiTheme="minorEastAsia" w:hAnsiTheme="minorEastAsia" w:eastAsiaTheme="minorEastAsia" w:cstheme="minorEastAsia"/>
          <w:iCs/>
          <w:sz w:val="24"/>
        </w:rPr>
        <w:t xml:space="preserve">六、政府采购供应商信用承诺书（实质性格式）</w:t>
      </w:r>
      <w:r/>
    </w:p>
    <w:p>
      <w:pPr>
        <w:ind w:firstLine="480"/>
        <w:spacing w:line="360" w:lineRule="auto"/>
        <w:rPr>
          <w:rFonts w:hint="eastAsia" w:asciiTheme="minorEastAsia" w:hAnsiTheme="minorEastAsia" w:eastAsiaTheme="minorEastAsia" w:cstheme="minorEastAsia"/>
          <w:iCs/>
          <w:sz w:val="24"/>
        </w:rPr>
      </w:pPr>
      <w:r>
        <w:rPr>
          <w:rFonts w:hint="eastAsia" w:asciiTheme="minorEastAsia" w:hAnsiTheme="minorEastAsia" w:eastAsiaTheme="minorEastAsia" w:cstheme="minorEastAsia"/>
          <w:iCs/>
          <w:sz w:val="24"/>
        </w:rPr>
        <w:t xml:space="preserve">七、小微企业声明函</w:t>
      </w:r>
      <w:r/>
    </w:p>
    <w:p>
      <w:pPr>
        <w:ind w:firstLine="480"/>
        <w:spacing w:line="360" w:lineRule="auto"/>
        <w:rPr>
          <w:rFonts w:hint="eastAsia" w:asciiTheme="minorEastAsia" w:hAnsiTheme="minorEastAsia" w:eastAsiaTheme="minorEastAsia" w:cstheme="minorEastAsia"/>
          <w:iCs/>
          <w:sz w:val="24"/>
        </w:rPr>
      </w:pPr>
      <w:r>
        <w:rPr>
          <w:rFonts w:hint="eastAsia" w:asciiTheme="minorEastAsia" w:hAnsiTheme="minorEastAsia" w:eastAsiaTheme="minorEastAsia" w:cstheme="minorEastAsia"/>
          <w:iCs/>
          <w:sz w:val="24"/>
        </w:rPr>
        <w:t xml:space="preserve">八、残疾人福利性单位声明函或监狱企业证明</w:t>
      </w:r>
      <w:r/>
    </w:p>
    <w:p>
      <w:pPr>
        <w:ind w:firstLine="480"/>
        <w:spacing w:line="360" w:lineRule="auto"/>
        <w:rPr>
          <w:rFonts w:hint="eastAsia" w:asciiTheme="minorEastAsia" w:hAnsiTheme="minorEastAsia" w:eastAsiaTheme="minorEastAsia" w:cstheme="minorEastAsia"/>
          <w:iCs/>
          <w:sz w:val="24"/>
        </w:rPr>
      </w:pPr>
      <w:r>
        <w:rPr>
          <w:rFonts w:hint="eastAsia" w:asciiTheme="minorEastAsia" w:hAnsiTheme="minorEastAsia" w:eastAsiaTheme="minorEastAsia" w:cstheme="minorEastAsia"/>
          <w:iCs/>
          <w:sz w:val="24"/>
        </w:rPr>
        <w:t xml:space="preserve">九、关于符合本国产品标准的声明函</w:t>
      </w:r>
      <w:r/>
    </w:p>
    <w:p>
      <w:pPr>
        <w:ind w:firstLine="480"/>
        <w:spacing w:line="360" w:lineRule="auto"/>
        <w:rPr>
          <w:rFonts w:hint="eastAsia" w:asciiTheme="minorEastAsia" w:hAnsiTheme="minorEastAsia" w:eastAsiaTheme="minorEastAsia" w:cstheme="minorEastAsia"/>
          <w:iCs/>
          <w:sz w:val="24"/>
        </w:rPr>
      </w:pPr>
      <w:r>
        <w:rPr>
          <w:rFonts w:hint="eastAsia" w:asciiTheme="minorEastAsia" w:hAnsiTheme="minorEastAsia" w:eastAsiaTheme="minorEastAsia" w:cstheme="minorEastAsia"/>
          <w:iCs/>
          <w:sz w:val="24"/>
        </w:rPr>
        <w:t xml:space="preserve">十、投标分项报价表</w:t>
      </w:r>
      <w:r/>
    </w:p>
    <w:p>
      <w:pPr>
        <w:ind w:firstLine="480"/>
        <w:spacing w:line="360" w:lineRule="auto"/>
        <w:rPr>
          <w:rFonts w:hint="eastAsia" w:asciiTheme="minorEastAsia" w:hAnsiTheme="minorEastAsia" w:eastAsiaTheme="minorEastAsia" w:cstheme="minorEastAsia"/>
          <w:iCs/>
          <w:sz w:val="24"/>
        </w:rPr>
      </w:pPr>
      <w:r>
        <w:rPr>
          <w:rFonts w:hint="eastAsia" w:asciiTheme="minorEastAsia" w:hAnsiTheme="minorEastAsia" w:eastAsiaTheme="minorEastAsia" w:cstheme="minorEastAsia"/>
          <w:iCs/>
          <w:sz w:val="24"/>
        </w:rPr>
        <w:t xml:space="preserve">十一、技术要求响应及偏离表</w:t>
      </w:r>
      <w:r/>
    </w:p>
    <w:p>
      <w:pPr>
        <w:ind w:firstLine="480"/>
        <w:spacing w:line="360" w:lineRule="auto"/>
        <w:rPr>
          <w:rFonts w:hint="eastAsia" w:asciiTheme="minorEastAsia" w:hAnsiTheme="minorEastAsia" w:eastAsiaTheme="minorEastAsia" w:cstheme="minorEastAsia"/>
          <w:iCs/>
          <w:sz w:val="24"/>
        </w:rPr>
      </w:pPr>
      <w:r>
        <w:rPr>
          <w:rFonts w:hint="eastAsia" w:asciiTheme="minorEastAsia" w:hAnsiTheme="minorEastAsia" w:eastAsiaTheme="minorEastAsia" w:cstheme="minorEastAsia"/>
          <w:iCs/>
          <w:sz w:val="24"/>
        </w:rPr>
        <w:t xml:space="preserve">十二、合同及商务条款偏离表</w:t>
      </w:r>
      <w:r/>
    </w:p>
    <w:p>
      <w:pPr>
        <w:ind w:firstLine="480"/>
        <w:spacing w:line="360" w:lineRule="auto"/>
        <w:rPr>
          <w:rFonts w:hint="eastAsia" w:asciiTheme="minorEastAsia" w:hAnsiTheme="minorEastAsia" w:eastAsiaTheme="minorEastAsia" w:cstheme="minorEastAsia"/>
          <w:iCs/>
          <w:sz w:val="24"/>
        </w:rPr>
      </w:pPr>
      <w:r>
        <w:rPr>
          <w:rFonts w:hint="eastAsia" w:asciiTheme="minorEastAsia" w:hAnsiTheme="minorEastAsia" w:eastAsiaTheme="minorEastAsia" w:cstheme="minorEastAsia"/>
          <w:iCs/>
          <w:sz w:val="24"/>
        </w:rPr>
        <w:t xml:space="preserve">十三、开标一览表</w:t>
      </w:r>
      <w:r/>
    </w:p>
    <w:p>
      <w:pPr>
        <w:ind w:firstLine="480"/>
        <w:spacing w:line="360" w:lineRule="auto"/>
        <w:rPr>
          <w:rFonts w:hint="eastAsia" w:asciiTheme="minorEastAsia" w:hAnsiTheme="minorEastAsia" w:eastAsiaTheme="minorEastAsia" w:cstheme="minorEastAsia"/>
          <w:iCs/>
          <w:sz w:val="24"/>
        </w:rPr>
      </w:pPr>
      <w:r>
        <w:rPr>
          <w:rFonts w:hint="eastAsia" w:asciiTheme="minorEastAsia" w:hAnsiTheme="minorEastAsia" w:eastAsiaTheme="minorEastAsia" w:cstheme="minorEastAsia"/>
          <w:iCs/>
          <w:sz w:val="24"/>
        </w:rPr>
        <w:t xml:space="preserve">十四、投标人关于检测报告合规性的承诺函（实质性格式）</w:t>
      </w:r>
      <w:r/>
    </w:p>
    <w:p>
      <w:pPr>
        <w:ind w:firstLine="480"/>
        <w:spacing w:line="360" w:lineRule="auto"/>
        <w:rPr>
          <w:rFonts w:hint="eastAsia" w:asciiTheme="minorEastAsia" w:hAnsiTheme="minorEastAsia" w:eastAsiaTheme="minorEastAsia" w:cstheme="minorEastAsia"/>
          <w:iCs/>
          <w:sz w:val="24"/>
        </w:rPr>
      </w:pPr>
      <w:r>
        <w:rPr>
          <w:rFonts w:hint="eastAsia" w:asciiTheme="minorEastAsia" w:hAnsiTheme="minorEastAsia" w:eastAsiaTheme="minorEastAsia" w:cstheme="minorEastAsia"/>
          <w:iCs/>
          <w:sz w:val="24"/>
        </w:rPr>
        <w:t xml:space="preserve">十五、投标文件通用模版编制和评审要求</w:t>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bookmarkEnd w:id="203"/>
      <w:r/>
      <w:bookmarkEnd w:id="204"/>
      <w:r/>
      <w:bookmarkEnd w:id="205"/>
      <w:r/>
      <w:r/>
    </w:p>
    <w:p>
      <w:pPr>
        <w:rPr>
          <w:rFonts w:hint="eastAsia" w:asciiTheme="minorEastAsia" w:hAnsiTheme="minorEastAsia" w:eastAsiaTheme="minorEastAsia" w:cstheme="minorEastAsia"/>
          <w:i/>
          <w:sz w:val="32"/>
          <w:szCs w:val="32"/>
          <w:u w:val="single"/>
        </w:rPr>
      </w:pPr>
      <w:r/>
      <w:bookmarkStart w:id="206" w:name="_Toc120614284"/>
      <w:r>
        <w:rPr>
          <w:rFonts w:hint="eastAsia" w:asciiTheme="minorEastAsia" w:hAnsiTheme="minorEastAsia" w:eastAsiaTheme="minorEastAsia" w:cstheme="minorEastAsia"/>
          <w:i/>
          <w:sz w:val="32"/>
          <w:szCs w:val="32"/>
          <w:u w:val="single"/>
        </w:rPr>
        <w:t xml:space="preserve">一、投标人资格声明函</w:t>
      </w:r>
      <w:r/>
    </w:p>
    <w:p>
      <w:pPr>
        <w:jc w:val="center"/>
        <w:spacing w:before="156" w:line="360" w:lineRule="auto"/>
        <w:widowControl/>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jc w:val="center"/>
        <w:spacing w:before="156" w:line="360" w:lineRule="auto"/>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b/>
          <w:sz w:val="28"/>
          <w:szCs w:val="28"/>
        </w:rPr>
        <w:t xml:space="preserve">投标人资格声明函</w:t>
      </w:r>
      <w:r>
        <w:rPr>
          <w:rFonts w:hint="eastAsia" w:asciiTheme="minorEastAsia" w:hAnsiTheme="minorEastAsia" w:eastAsiaTheme="minorEastAsia" w:cstheme="minorEastAsia"/>
        </w:rPr>
        <w:t xml:space="preserve">（实质性格式）</w:t>
      </w:r>
      <w:r/>
    </w:p>
    <w:p>
      <w:pPr>
        <w:pStyle w:val="1001"/>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1001"/>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致：常州市教育基本建设与装备管理中心</w:t>
      </w:r>
      <w:r/>
    </w:p>
    <w:p>
      <w:pPr>
        <w:pStyle w:val="1001"/>
        <w:ind w:firstLine="840"/>
        <w:spacing w:line="460" w:lineRule="exact"/>
        <w:rPr>
          <w:rFonts w:hint="eastAsia" w:asciiTheme="minorEastAsia" w:hAnsiTheme="minorEastAsia" w:eastAsiaTheme="minorEastAsia" w:cstheme="minorEastAsia"/>
          <w:u w:val="single"/>
        </w:rPr>
      </w:pPr>
      <w:r>
        <w:rPr>
          <w:rFonts w:hint="eastAsia" w:asciiTheme="minorEastAsia" w:hAnsiTheme="minorEastAsia" w:eastAsiaTheme="minorEastAsia" w:cstheme="minorEastAsia"/>
          <w:u w:val="single"/>
        </w:rPr>
        <w:t xml:space="preserve">（采购人名称）</w:t>
      </w:r>
      <w:r/>
    </w:p>
    <w:p>
      <w:pPr>
        <w:pStyle w:val="1001"/>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1001"/>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按照《中华人民共和国政府采购法》第二十二条和招标文件的规定，我单位郑重声明如下：</w:t>
      </w:r>
      <w:r/>
    </w:p>
    <w:p>
      <w:pPr>
        <w:pStyle w:val="1001"/>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一、我单位是按照中华人民共和国法律规定登记注册的，注册地点为</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，全称为</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，统一社会信用代码为</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，法定代表人（单位负责人）为</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，具有独立承担民事责任的能力</w:t>
      </w:r>
      <w:r>
        <w:rPr>
          <w:rFonts w:hint="eastAsia" w:asciiTheme="minorEastAsia" w:hAnsiTheme="minorEastAsia" w:eastAsiaTheme="minorEastAsia" w:cstheme="minorEastAsia"/>
          <w:b/>
          <w:i/>
          <w:u w:val="single"/>
        </w:rPr>
        <w:t xml:space="preserve">（如属于分公司经总公司授权参与项目，由总公司承担民事责任的，需提供总公司项目授权书）</w:t>
      </w:r>
      <w:r>
        <w:rPr>
          <w:rFonts w:hint="eastAsia" w:asciiTheme="minorEastAsia" w:hAnsiTheme="minorEastAsia" w:eastAsiaTheme="minorEastAsia" w:cstheme="minorEastAsia"/>
        </w:rPr>
        <w:t xml:space="preserve">。</w:t>
      </w:r>
      <w:r/>
    </w:p>
    <w:p>
      <w:pPr>
        <w:pStyle w:val="1001"/>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二、我单位具有良好的商业信誉（指投标人经营状况良好，无本资格声明第九条情形）和健全的财务会计制度。</w:t>
      </w:r>
      <w:r/>
    </w:p>
    <w:p>
      <w:pPr>
        <w:pStyle w:val="1001"/>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三、我单位依法进行纳税和社会保险申报并实际履行了义务。</w:t>
      </w:r>
      <w:r/>
    </w:p>
    <w:p>
      <w:pPr>
        <w:pStyle w:val="1001"/>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四、我单位具有履行本项目采购合同所必需的设备和专业技术能力，并具有履行合同的良好记录。为履行本项采购合同我单位具备如下主要设备和主要专业技术能力:</w:t>
      </w:r>
      <w:r/>
    </w:p>
    <w:p>
      <w:pPr>
        <w:pStyle w:val="1001"/>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主要设备有：</w:t>
      </w:r>
      <w:r>
        <w:rPr>
          <w:rFonts w:hint="eastAsia" w:asciiTheme="minorEastAsia" w:hAnsiTheme="minorEastAsia" w:eastAsiaTheme="minorEastAsia" w:cstheme="minorEastAsia"/>
          <w:u w:val="single"/>
        </w:rPr>
        <w:t xml:space="preserve">            </w:t>
      </w:r>
      <w:r/>
    </w:p>
    <w:p>
      <w:pPr>
        <w:pStyle w:val="1001"/>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主要专业技术能力有</w:t>
      </w:r>
      <w:r>
        <w:rPr>
          <w:rFonts w:hint="eastAsia" w:asciiTheme="minorEastAsia" w:hAnsiTheme="minorEastAsia" w:eastAsiaTheme="minorEastAsia" w:cstheme="minorEastAsia"/>
          <w:u w:val="single"/>
        </w:rPr>
        <w:t xml:space="preserve">                 </w:t>
      </w:r>
      <w:r/>
    </w:p>
    <w:p>
      <w:pPr>
        <w:pStyle w:val="1001"/>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001"/>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六、我单位具备法律、行政法规规定的其他条件。</w:t>
      </w:r>
      <w:r/>
    </w:p>
    <w:p>
      <w:pPr>
        <w:pStyle w:val="1001"/>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七、与我单位存在“单位负责人为同一人或者存在直接控股、管理关系”的其他单位信息如下（如无此情形的，填写“无”）：</w:t>
      </w:r>
      <w:r/>
    </w:p>
    <w:p>
      <w:pPr>
        <w:pStyle w:val="1001"/>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1、与我单位的法定代表人（单位负责人）为同一人的其他单位如下：</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w:t>
      </w:r>
      <w:r/>
    </w:p>
    <w:p>
      <w:pPr>
        <w:pStyle w:val="1001"/>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2、我单位直接控股的其他单位如下：</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w:t>
      </w:r>
      <w:r/>
    </w:p>
    <w:p>
      <w:pPr>
        <w:pStyle w:val="1001"/>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3、与我单位存在管理关系的其他单位如下：</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w:t>
      </w:r>
      <w:r/>
    </w:p>
    <w:p>
      <w:pPr>
        <w:pStyle w:val="1001"/>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八、我单位不属于为本项目提供整体设计、规范编制或者项目管理、监理、检测等服务的投标人。</w:t>
      </w:r>
      <w:r/>
    </w:p>
    <w:p>
      <w:pPr>
        <w:pStyle w:val="1001"/>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九、我单位无以下不良信用记录情形：</w:t>
      </w:r>
      <w:r/>
    </w:p>
    <w:p>
      <w:pPr>
        <w:pStyle w:val="1001"/>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1、在“信用中国”网站被列入失信被执行人和重大税收违法案件当事人名单；</w:t>
      </w:r>
      <w:r/>
    </w:p>
    <w:p>
      <w:pPr>
        <w:pStyle w:val="1001"/>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2、在“中国政府采购网”网站被列入政府采购严重违法失信行为记录名单；</w:t>
      </w:r>
      <w:r/>
    </w:p>
    <w:p>
      <w:pPr>
        <w:pStyle w:val="1001"/>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3、不符合《政府采购法》第二十二条规定的条件。</w:t>
      </w:r>
      <w:r/>
    </w:p>
    <w:p>
      <w:pPr>
        <w:pStyle w:val="1001"/>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1001"/>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我单位保证上述声明的事项都是真实的，如有虚假，我单位愿意承担相应的法律责任，并承担因此所造成的一切损失。</w:t>
      </w:r>
      <w:r/>
    </w:p>
    <w:p>
      <w:pPr>
        <w:pStyle w:val="1001"/>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1001"/>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1001"/>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投标人：（加盖公章）</w:t>
      </w:r>
      <w:r/>
    </w:p>
    <w:p>
      <w:pPr>
        <w:pStyle w:val="1001"/>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法定代表人（或单位负责人）签字或盖章：</w:t>
      </w:r>
      <w:r/>
    </w:p>
    <w:p>
      <w:pPr>
        <w:pStyle w:val="1001"/>
        <w:ind w:firstLine="4305"/>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日期：    年    月    日</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说明：投标人承诺不实的，依据《政府采购法》第七十七条“提供虚假材料谋取中标、成交的”有关规定予以处理。</w:t>
      </w:r>
      <w:r/>
    </w:p>
    <w:p>
      <w:pPr>
        <w:spacing w:line="360" w:lineRule="auto"/>
        <w:tabs>
          <w:tab w:val="left" w:pos="5580" w:leader="none"/>
        </w:tabs>
        <w:rPr>
          <w:rFonts w:hint="eastAsia" w:asciiTheme="minorEastAsia" w:hAnsiTheme="minorEastAsia" w:eastAsiaTheme="minorEastAsia" w:cstheme="minorEastAsia"/>
          <w:sz w:val="24"/>
        </w:rPr>
        <w:sectPr>
          <w:footerReference w:type="default" r:id="rId10"/>
          <w:footerReference w:type="first" r:id="rId11"/>
          <w:footnotePr/>
          <w:endnotePr/>
          <w:type w:val="nextPage"/>
          <w:pgSz w:w="11906" w:h="16838" w:orient="portrait"/>
          <w:pgMar w:top="1440" w:right="1800" w:bottom="1440" w:left="1800" w:header="851" w:footer="992" w:gutter="0"/>
          <w:cols w:num="1" w:sep="0" w:space="720" w:equalWidth="1"/>
          <w:docGrid w:linePitch="360"/>
        </w:sectPr>
      </w:pPr>
      <w:r>
        <w:rPr>
          <w:rFonts w:hint="eastAsia" w:asciiTheme="minorEastAsia" w:hAnsiTheme="minorEastAsia" w:eastAsiaTheme="minorEastAsia" w:cstheme="minorEastAsia"/>
          <w:sz w:val="24"/>
        </w:rPr>
      </w:r>
      <w:r/>
    </w:p>
    <w:p>
      <w:pPr>
        <w:rPr>
          <w:rFonts w:hint="eastAsia" w:asciiTheme="minorEastAsia" w:hAnsiTheme="minorEastAsia" w:eastAsiaTheme="minorEastAsia" w:cstheme="minorEastAsia"/>
          <w:i/>
          <w:sz w:val="32"/>
          <w:szCs w:val="32"/>
          <w:u w:val="single"/>
        </w:rPr>
      </w:pPr>
      <w:r>
        <w:rPr>
          <w:rFonts w:hint="eastAsia" w:asciiTheme="minorEastAsia" w:hAnsiTheme="minorEastAsia" w:eastAsiaTheme="minorEastAsia" w:cstheme="minorEastAsia"/>
          <w:i/>
          <w:sz w:val="32"/>
          <w:szCs w:val="32"/>
          <w:u w:val="single"/>
        </w:rPr>
        <w:t xml:space="preserve">二、特定资格要求的证明文件</w:t>
      </w:r>
      <w:r/>
    </w:p>
    <w:p>
      <w:pPr>
        <w:spacing w:line="4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sz w:val="24"/>
        </w:rPr>
        <w:t xml:space="preserve">    如果本项目申请人的特定资格要求中要求提供的，必须提供。</w:t>
      </w:r>
      <w:r/>
    </w:p>
    <w:p>
      <w:pPr>
        <w:spacing w:line="4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p>
      <w:pPr>
        <w:rPr>
          <w:rFonts w:hint="eastAsia" w:asciiTheme="minorEastAsia" w:hAnsiTheme="minorEastAsia" w:eastAsiaTheme="minorEastAsia" w:cstheme="minorEastAsia"/>
          <w:i/>
          <w:sz w:val="32"/>
          <w:szCs w:val="32"/>
          <w:u w:val="single"/>
        </w:rPr>
      </w:pPr>
      <w:r>
        <w:rPr>
          <w:rFonts w:hint="eastAsia" w:asciiTheme="minorEastAsia" w:hAnsiTheme="minorEastAsia" w:eastAsiaTheme="minorEastAsia" w:cstheme="minorEastAsia"/>
          <w:i/>
          <w:sz w:val="32"/>
          <w:szCs w:val="32"/>
          <w:u w:val="single"/>
        </w:rPr>
        <w:t xml:space="preserve">三、法定代表人资格证明书（实质性格式）</w:t>
      </w:r>
      <w:r/>
    </w:p>
    <w:p>
      <w:pPr>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jc w:val="center"/>
        <w:spacing w:line="360" w:lineRule="auto"/>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 xml:space="preserve">法定代表人资格证明书</w:t>
      </w:r>
      <w:r/>
    </w:p>
    <w:p>
      <w:pPr>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单位名称:</w:t>
      </w:r>
      <w:r/>
    </w:p>
    <w:p>
      <w:pPr>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地址:</w:t>
      </w:r>
      <w:r/>
    </w:p>
    <w:p>
      <w:pPr>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姓名:     性别:       年龄:      职务:</w:t>
      </w:r>
      <w:r/>
    </w:p>
    <w:p>
      <w:pPr>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系</w:t>
      </w:r>
      <w:r>
        <w:rPr>
          <w:rFonts w:hint="eastAsia" w:asciiTheme="minorEastAsia" w:hAnsiTheme="minorEastAsia" w:eastAsiaTheme="minorEastAsia" w:cstheme="minorEastAsia"/>
          <w:sz w:val="24"/>
          <w:u w:val="single"/>
        </w:rPr>
        <w:t xml:space="preserve">（投标人名称）</w:t>
      </w:r>
      <w:r>
        <w:rPr>
          <w:rFonts w:hint="eastAsia" w:asciiTheme="minorEastAsia" w:hAnsiTheme="minorEastAsia" w:eastAsiaTheme="minorEastAsia" w:cstheme="minorEastAsia"/>
          <w:sz w:val="24"/>
        </w:rPr>
        <w:t xml:space="preserve">的法定代表人。为参与</w:t>
      </w:r>
      <w:r>
        <w:rPr>
          <w:rFonts w:hint="eastAsia" w:asciiTheme="minorEastAsia" w:hAnsiTheme="minorEastAsia" w:eastAsiaTheme="minorEastAsia" w:cstheme="minorEastAsia"/>
          <w:sz w:val="24"/>
          <w:u w:val="single"/>
        </w:rPr>
        <w:t xml:space="preserve">（项目名称）</w:t>
      </w:r>
      <w:r>
        <w:rPr>
          <w:rFonts w:hint="eastAsia" w:asciiTheme="minorEastAsia" w:hAnsiTheme="minorEastAsia" w:eastAsiaTheme="minorEastAsia" w:cstheme="minorEastAsia"/>
          <w:sz w:val="24"/>
        </w:rPr>
        <w:t xml:space="preserve">的政府采购活动，</w:t>
      </w:r>
      <w:r>
        <w:rPr>
          <w:rFonts w:hint="eastAsia" w:asciiTheme="minorEastAsia" w:hAnsiTheme="minorEastAsia" w:eastAsiaTheme="minorEastAsia" w:cstheme="minorEastAsia"/>
          <w:sz w:val="24"/>
          <w:szCs w:val="20"/>
        </w:rPr>
        <w:t xml:space="preserve">签署、澄清确认、递交、撤回、修改</w:t>
      </w:r>
      <w:r>
        <w:rPr>
          <w:rFonts w:hint="eastAsia" w:asciiTheme="minorEastAsia" w:hAnsiTheme="minorEastAsia" w:eastAsiaTheme="minorEastAsia" w:cstheme="minorEastAsia"/>
          <w:sz w:val="24"/>
        </w:rPr>
        <w:t xml:space="preserve">上述项目的投标文件、进行合同磋商、签署合同和处理与之有关的一切事务。</w:t>
      </w:r>
      <w:r/>
    </w:p>
    <w:p>
      <w:pPr>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特此证明。</w:t>
      </w:r>
      <w:r/>
    </w:p>
    <w:p>
      <w:pPr>
        <w:pStyle w:val="809"/>
        <w:ind w:right="-46"/>
        <w:spacing w:line="583" w:lineRule="auto"/>
        <w:rPr>
          <w:rFonts w:hint="eastAsia" w:asciiTheme="minorEastAsia" w:hAnsiTheme="minorEastAsia" w:eastAsiaTheme="minorEastAsia" w:cstheme="minorEastAsia"/>
          <w:spacing w:val="-3"/>
        </w:rPr>
      </w:pPr>
      <w:r>
        <w:rPr>
          <w:rFonts w:hint="eastAsia" w:asciiTheme="minorEastAsia" w:hAnsiTheme="minorEastAsia" w:eastAsiaTheme="minorEastAsia" w:cstheme="minorEastAsia"/>
        </w:rPr>
        <w:t xml:space="preserve">附：</w:t>
      </w:r>
      <w:r>
        <w:rPr>
          <w:rFonts w:hint="eastAsia" w:asciiTheme="minorEastAsia" w:hAnsiTheme="minorEastAsia" w:eastAsiaTheme="minorEastAsia" w:cstheme="minorEastAsia"/>
          <w:spacing w:val="-3"/>
        </w:rPr>
        <w:t xml:space="preserve">法</w:t>
      </w:r>
      <w:r>
        <w:rPr>
          <w:rFonts w:hint="eastAsia" w:asciiTheme="minorEastAsia" w:hAnsiTheme="minorEastAsia" w:eastAsiaTheme="minorEastAsia" w:cstheme="minorEastAsia"/>
        </w:rPr>
        <w:t xml:space="preserve">定</w:t>
      </w:r>
      <w:r>
        <w:rPr>
          <w:rFonts w:hint="eastAsia" w:asciiTheme="minorEastAsia" w:hAnsiTheme="minorEastAsia" w:eastAsiaTheme="minorEastAsia" w:cstheme="minorEastAsia"/>
          <w:spacing w:val="-3"/>
        </w:rPr>
        <w:t xml:space="preserve">代</w:t>
      </w:r>
      <w:r>
        <w:rPr>
          <w:rFonts w:hint="eastAsia" w:asciiTheme="minorEastAsia" w:hAnsiTheme="minorEastAsia" w:eastAsiaTheme="minorEastAsia" w:cstheme="minorEastAsia"/>
        </w:rPr>
        <w:t xml:space="preserve">表</w:t>
      </w:r>
      <w:r>
        <w:rPr>
          <w:rFonts w:hint="eastAsia" w:asciiTheme="minorEastAsia" w:hAnsiTheme="minorEastAsia" w:eastAsiaTheme="minorEastAsia" w:cstheme="minorEastAsia"/>
          <w:spacing w:val="-3"/>
        </w:rPr>
        <w:t xml:space="preserve">人</w:t>
      </w:r>
      <w:r>
        <w:rPr>
          <w:rFonts w:hint="eastAsia" w:asciiTheme="minorEastAsia" w:hAnsiTheme="minorEastAsia" w:eastAsiaTheme="minorEastAsia" w:cstheme="minorEastAsia"/>
        </w:rPr>
        <w:t xml:space="preserve">（</w:t>
      </w:r>
      <w:r>
        <w:rPr>
          <w:rFonts w:hint="eastAsia" w:asciiTheme="minorEastAsia" w:hAnsiTheme="minorEastAsia" w:eastAsiaTheme="minorEastAsia" w:cstheme="minorEastAsia"/>
          <w:spacing w:val="-3"/>
        </w:rPr>
        <w:t xml:space="preserve">单</w:t>
      </w:r>
      <w:r>
        <w:rPr>
          <w:rFonts w:hint="eastAsia" w:asciiTheme="minorEastAsia" w:hAnsiTheme="minorEastAsia" w:eastAsiaTheme="minorEastAsia" w:cstheme="minorEastAsia"/>
        </w:rPr>
        <w:t xml:space="preserve">位</w:t>
      </w:r>
      <w:r>
        <w:rPr>
          <w:rFonts w:hint="eastAsia" w:asciiTheme="minorEastAsia" w:hAnsiTheme="minorEastAsia" w:eastAsiaTheme="minorEastAsia" w:cstheme="minorEastAsia"/>
          <w:spacing w:val="-3"/>
        </w:rPr>
        <w:t xml:space="preserve">负</w:t>
      </w:r>
      <w:r>
        <w:rPr>
          <w:rFonts w:hint="eastAsia" w:asciiTheme="minorEastAsia" w:hAnsiTheme="minorEastAsia" w:eastAsiaTheme="minorEastAsia" w:cstheme="minorEastAsia"/>
        </w:rPr>
        <w:t xml:space="preserve">责人</w:t>
      </w:r>
      <w:r>
        <w:rPr>
          <w:rFonts w:hint="eastAsia" w:asciiTheme="minorEastAsia" w:hAnsiTheme="minorEastAsia" w:eastAsiaTheme="minorEastAsia" w:cstheme="minorEastAsia"/>
          <w:spacing w:val="-3"/>
        </w:rPr>
        <w:t xml:space="preserve">）有效期内的身份证正反面电子件。</w:t>
      </w:r>
      <w:r/>
    </w:p>
    <w:tbl>
      <w:tblPr>
        <w:tblStyle w:val="806"/>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895"/>
        </w:trPr>
        <w:tc>
          <w:tcPr>
            <w:tcW w:w="4673" w:type="dxa"/>
            <w:textDirection w:val="lrTb"/>
            <w:noWrap w:val="false"/>
          </w:tcPr>
          <w:p>
            <w:pPr>
              <w:jc w:val="left"/>
              <w:spacing w:line="360" w:lineRule="auto"/>
              <w:tabs>
                <w:tab w:val="left" w:pos="5580" w:leader="none"/>
              </w:tabs>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r>
            <w:r/>
          </w:p>
          <w:p>
            <w:pPr>
              <w:jc w:val="left"/>
              <w:spacing w:line="360" w:lineRule="auto"/>
              <w:tabs>
                <w:tab w:val="left" w:pos="5580" w:leader="none"/>
              </w:tabs>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r>
            <w:r/>
          </w:p>
          <w:p>
            <w:pPr>
              <w:jc w:val="left"/>
              <w:spacing w:line="360" w:lineRule="auto"/>
              <w:tabs>
                <w:tab w:val="left" w:pos="5580" w:leader="none"/>
              </w:tabs>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r>
            <w:r/>
          </w:p>
        </w:tc>
        <w:tc>
          <w:tcPr>
            <w:tcW w:w="4536" w:type="dxa"/>
            <w:textDirection w:val="lrTb"/>
            <w:noWrap w:val="false"/>
          </w:tcPr>
          <w:p>
            <w:pPr>
              <w:jc w:val="left"/>
              <w:spacing w:line="360" w:lineRule="auto"/>
              <w:tabs>
                <w:tab w:val="left" w:pos="5580" w:leader="none"/>
              </w:tabs>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r>
            <w:r/>
          </w:p>
          <w:p>
            <w:pPr>
              <w:jc w:val="left"/>
              <w:spacing w:line="360" w:lineRule="auto"/>
              <w:tabs>
                <w:tab w:val="left" w:pos="5580" w:leader="none"/>
              </w:tabs>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r>
            <w:r/>
          </w:p>
          <w:p>
            <w:pPr>
              <w:jc w:val="left"/>
              <w:spacing w:line="360" w:lineRule="auto"/>
              <w:tabs>
                <w:tab w:val="left" w:pos="5580" w:leader="none"/>
              </w:tabs>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r>
            <w:r/>
          </w:p>
        </w:tc>
      </w:tr>
    </w:tbl>
    <w:p>
      <w:pPr>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投标人：（加盖公章）</w:t>
      </w:r>
      <w:r/>
    </w:p>
    <w:p>
      <w:pPr>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法定代表人</w:t>
      </w:r>
      <w:r>
        <w:rPr>
          <w:rFonts w:hint="eastAsia" w:asciiTheme="minorEastAsia" w:hAnsiTheme="minorEastAsia" w:eastAsiaTheme="minorEastAsia" w:cstheme="minorEastAsia"/>
          <w:sz w:val="24"/>
          <w:szCs w:val="20"/>
        </w:rPr>
        <w:t xml:space="preserve">签字、签章或印鉴</w:t>
      </w:r>
      <w:r>
        <w:rPr>
          <w:rFonts w:hint="eastAsia" w:asciiTheme="minorEastAsia" w:hAnsiTheme="minorEastAsia" w:eastAsiaTheme="minorEastAsia" w:cstheme="minorEastAsia"/>
          <w:sz w:val="24"/>
        </w:rPr>
        <w:t xml:space="preserve">：</w:t>
      </w:r>
      <w:r/>
    </w:p>
    <w:p>
      <w:pPr>
        <w:ind w:firstLine="4320"/>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日期：    年    月    日</w:t>
      </w:r>
      <w:r/>
    </w:p>
    <w:p>
      <w:pPr>
        <w:jc w:val="left"/>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jc w:val="left"/>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jc w:val="left"/>
        <w:spacing w:line="360" w:lineRule="auto"/>
        <w:tabs>
          <w:tab w:val="left" w:pos="5580" w:leader="none"/>
        </w:tabs>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说明：</w:t>
      </w:r>
      <w:r/>
    </w:p>
    <w:p>
      <w:pPr>
        <w:jc w:val="left"/>
        <w:spacing w:line="360" w:lineRule="auto"/>
        <w:tabs>
          <w:tab w:val="left" w:pos="5580" w:leader="none"/>
        </w:tabs>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1.若投标人为事业单位或其他组织或分支机构（仅当招标文件注明允许分支机构响应的），则法定代表人（单位负责人）处的签署人可为单位负责人。</w:t>
      </w:r>
      <w:r/>
    </w:p>
    <w:p>
      <w:pPr>
        <w:jc w:val="left"/>
        <w:spacing w:line="360" w:lineRule="auto"/>
        <w:tabs>
          <w:tab w:val="left" w:pos="5580" w:leader="none"/>
        </w:tabs>
        <w:rPr>
          <w:rFonts w:hint="eastAsia" w:asciiTheme="minorEastAsia" w:hAnsiTheme="minorEastAsia" w:eastAsiaTheme="minorEastAsia" w:cstheme="minorEastAsia"/>
          <w:i/>
          <w:sz w:val="24"/>
          <w:szCs w:val="20"/>
          <w:u w:val="single"/>
        </w:rPr>
      </w:pPr>
      <w:r>
        <w:rPr>
          <w:rFonts w:hint="eastAsia" w:asciiTheme="minorEastAsia" w:hAnsiTheme="minorEastAsia" w:eastAsiaTheme="minorEastAsia" w:cstheme="minorEastAsia"/>
          <w:sz w:val="24"/>
          <w:szCs w:val="20"/>
        </w:rPr>
        <w:t xml:space="preserve">2.投标人为自然人的情形，可不提供本《授权委托书》。</w:t>
      </w:r>
      <w:r/>
    </w:p>
    <w:p>
      <w:pPr>
        <w:jc w:val="center"/>
        <w:rPr>
          <w:rFonts w:hint="eastAsia" w:asciiTheme="minorEastAsia" w:hAnsiTheme="minorEastAsia" w:eastAsiaTheme="minorEastAsia" w:cstheme="minorEastAsia"/>
          <w:i/>
          <w:sz w:val="32"/>
          <w:szCs w:val="32"/>
          <w:u w:val="single"/>
        </w:rPr>
      </w:pPr>
      <w:r>
        <w:rPr>
          <w:rFonts w:hint="eastAsia" w:asciiTheme="minorEastAsia" w:hAnsiTheme="minorEastAsia" w:eastAsiaTheme="minorEastAsia" w:cstheme="minorEastAsia"/>
          <w:i/>
          <w:sz w:val="32"/>
          <w:szCs w:val="32"/>
          <w:u w:val="single"/>
        </w:rPr>
      </w:r>
      <w:r/>
    </w:p>
    <w:p>
      <w:pPr>
        <w:rPr>
          <w:rFonts w:hint="eastAsia" w:asciiTheme="minorEastAsia" w:hAnsiTheme="minorEastAsia" w:eastAsiaTheme="minorEastAsia" w:cstheme="minorEastAsia"/>
          <w:i/>
          <w:sz w:val="32"/>
          <w:szCs w:val="32"/>
          <w:u w:val="single"/>
        </w:rPr>
      </w:pPr>
      <w:r>
        <w:rPr>
          <w:rFonts w:hint="eastAsia" w:asciiTheme="minorEastAsia" w:hAnsiTheme="minorEastAsia" w:eastAsiaTheme="minorEastAsia" w:cstheme="minorEastAsia"/>
          <w:i/>
          <w:sz w:val="32"/>
          <w:szCs w:val="32"/>
          <w:u w:val="single"/>
        </w:rPr>
        <w:t xml:space="preserve">四、法人授权书</w:t>
      </w:r>
      <w:r/>
    </w:p>
    <w:p>
      <w:pPr>
        <w:pStyle w:val="1081"/>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081"/>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081"/>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本授权书声明：____________（投标人名称）授权________________（被授权人的姓名）为我方就JSZC-</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号项目采购活动的合法代理人，以本单位名义全权处理一切与该项目采购有关的事务。</w:t>
      </w:r>
      <w:r/>
    </w:p>
    <w:p>
      <w:pPr>
        <w:pStyle w:val="1081"/>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本授权书于______年____月____日起生效，特此声明。</w:t>
      </w:r>
      <w:r/>
    </w:p>
    <w:p>
      <w:pPr>
        <w:pStyle w:val="1081"/>
        <w:ind w:firstLine="0"/>
        <w:spacing w:line="360" w:lineRule="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          被授权人身份证号码：</w:t>
      </w:r>
      <w:r>
        <w:rPr>
          <w:rFonts w:hint="eastAsia" w:asciiTheme="minorEastAsia" w:hAnsiTheme="minorEastAsia" w:eastAsiaTheme="minorEastAsia" w:cstheme="minorEastAsia"/>
          <w:sz w:val="24"/>
          <w:szCs w:val="24"/>
          <w:u w:val="single"/>
        </w:rPr>
        <w:t xml:space="preserve">                              </w:t>
      </w:r>
      <w:r/>
    </w:p>
    <w:p>
      <w:pPr>
        <w:pStyle w:val="1081"/>
        <w:ind w:firstLine="0"/>
        <w:spacing w:line="360" w:lineRule="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          被授权人联系电话：（手机）</w:t>
      </w:r>
      <w:r>
        <w:rPr>
          <w:rFonts w:hint="eastAsia" w:asciiTheme="minorEastAsia" w:hAnsiTheme="minorEastAsia" w:eastAsiaTheme="minorEastAsia" w:cstheme="minorEastAsia"/>
          <w:sz w:val="24"/>
          <w:szCs w:val="24"/>
          <w:u w:val="single"/>
        </w:rPr>
        <w:t xml:space="preserve">                          </w:t>
      </w:r>
      <w:r/>
    </w:p>
    <w:p>
      <w:pPr>
        <w:pStyle w:val="1081"/>
        <w:ind w:firstLine="120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授权单位名称：</w:t>
      </w:r>
      <w:r>
        <w:rPr>
          <w:rFonts w:hint="eastAsia" w:asciiTheme="minorEastAsia" w:hAnsiTheme="minorEastAsia" w:eastAsiaTheme="minorEastAsia" w:cstheme="minorEastAsia"/>
          <w:sz w:val="24"/>
          <w:szCs w:val="24"/>
          <w:u w:val="single"/>
        </w:rPr>
        <w:t xml:space="preserve">（加盖CA电子公章）</w:t>
      </w:r>
      <w:r/>
    </w:p>
    <w:p>
      <w:pPr>
        <w:pStyle w:val="1081"/>
        <w:ind w:firstLine="480"/>
        <w:spacing w:line="360" w:lineRule="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      单位地址：</w:t>
      </w:r>
      <w:r>
        <w:rPr>
          <w:rFonts w:hint="eastAsia" w:asciiTheme="minorEastAsia" w:hAnsiTheme="minorEastAsia" w:eastAsiaTheme="minorEastAsia" w:cstheme="minorEastAsia"/>
          <w:sz w:val="24"/>
          <w:szCs w:val="24"/>
          <w:u w:val="single"/>
        </w:rPr>
        <w:t xml:space="preserve">                                         </w:t>
      </w:r>
      <w:r/>
    </w:p>
    <w:p>
      <w:pPr>
        <w:pStyle w:val="1081"/>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日期：</w:t>
      </w:r>
      <w:bookmarkStart w:id="207" w:name="_Hlt26955070"/>
      <w:r/>
      <w:bookmarkEnd w:id="207"/>
      <w:r/>
      <w:bookmarkStart w:id="208" w:name="_格式3__银行出具的资信证明"/>
      <w:r/>
      <w:bookmarkEnd w:id="208"/>
      <w:r/>
      <w:bookmarkStart w:id="209" w:name="_Hlt26671380"/>
      <w:r/>
      <w:bookmarkEnd w:id="209"/>
      <w:r>
        <w:rPr>
          <w:rFonts w:hint="eastAsia" w:asciiTheme="minorEastAsia" w:hAnsiTheme="minorEastAsia" w:eastAsiaTheme="minorEastAsia" w:cstheme="minorEastAsia"/>
          <w:sz w:val="24"/>
          <w:szCs w:val="24"/>
          <w:u w:val="single"/>
        </w:rPr>
        <w:t xml:space="preserve">                                         </w:t>
      </w:r>
      <w:r/>
    </w:p>
    <w:p>
      <w:pPr>
        <w:pStyle w:val="1001"/>
        <w:spacing w:line="360" w:lineRule="auto"/>
        <w:rPr>
          <w:rFonts w:hint="eastAsia" w:asciiTheme="minorEastAsia" w:hAnsiTheme="minorEastAsia" w:eastAsiaTheme="minorEastAsia" w:cstheme="minorEastAsia"/>
          <w:i/>
          <w:sz w:val="24"/>
          <w:szCs w:val="24"/>
          <w:u w:val="single"/>
        </w:rPr>
      </w:pPr>
      <w:r>
        <w:rPr>
          <w:rFonts w:hint="eastAsia" w:asciiTheme="minorEastAsia" w:hAnsiTheme="minorEastAsia" w:eastAsiaTheme="minorEastAsia" w:cstheme="minorEastAsia"/>
          <w:i/>
          <w:sz w:val="24"/>
          <w:szCs w:val="24"/>
          <w:u w:val="single"/>
        </w:rPr>
      </w:r>
      <w:r/>
    </w:p>
    <w:p>
      <w:pPr>
        <w:pStyle w:val="1001"/>
        <w:ind w:firstLine="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r>
      <w:r/>
    </w:p>
    <w:p>
      <w:pPr>
        <w:spacing w:line="4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p>
      <w:pPr>
        <w:rPr>
          <w:rFonts w:hint="eastAsia" w:asciiTheme="minorEastAsia" w:hAnsiTheme="minorEastAsia" w:eastAsiaTheme="minorEastAsia" w:cstheme="minorEastAsia"/>
          <w:bCs/>
          <w:i/>
          <w:u w:val="single"/>
        </w:rPr>
      </w:pPr>
      <w:r>
        <w:rPr>
          <w:rFonts w:hint="eastAsia" w:asciiTheme="minorEastAsia" w:hAnsiTheme="minorEastAsia" w:eastAsiaTheme="minorEastAsia" w:cstheme="minorEastAsia"/>
          <w:bCs/>
          <w:sz w:val="24"/>
        </w:rPr>
        <w:br w:type="page" w:clear="all"/>
      </w:r>
      <w:r>
        <w:rPr>
          <w:rFonts w:hint="eastAsia" w:asciiTheme="minorEastAsia" w:hAnsiTheme="minorEastAsia" w:eastAsiaTheme="minorEastAsia" w:cstheme="minorEastAsia"/>
          <w:i/>
          <w:sz w:val="32"/>
          <w:szCs w:val="32"/>
          <w:u w:val="single"/>
        </w:rPr>
        <w:t xml:space="preserve">五、投标函</w:t>
      </w:r>
      <w:r/>
    </w:p>
    <w:p>
      <w:pPr>
        <w:pStyle w:val="1083"/>
        <w:ind w:firstLine="0"/>
        <w:spacing w:before="0" w:after="0" w:line="42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致：常州市教育基本建设与装备管理中心</w:t>
      </w:r>
      <w:r/>
    </w:p>
    <w:p>
      <w:pPr>
        <w:pStyle w:val="1083"/>
        <w:spacing w:before="0" w:after="0" w:line="42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根据贵方的JSZC-*_____________号招标文件，正式授权下述签字人______(姓名)代表我方______________（投标人的名称），全权处理本次项目投标的有关事宜。</w:t>
      </w:r>
      <w:r/>
    </w:p>
    <w:p>
      <w:pPr>
        <w:pStyle w:val="1083"/>
        <w:spacing w:before="0" w:after="0" w:line="42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据此函，__________签字人兹宣布同意如下：</w:t>
      </w:r>
      <w:r/>
    </w:p>
    <w:p>
      <w:pPr>
        <w:ind w:firstLine="480"/>
        <w:jc w:val="left"/>
        <w:spacing w:line="42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1.按招标文件规定的各项要求，向买方提供所需货物（包含与货物相关的服务）。</w:t>
      </w:r>
      <w:r/>
    </w:p>
    <w:p>
      <w:pPr>
        <w:ind w:firstLine="480"/>
        <w:jc w:val="left"/>
        <w:spacing w:line="42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2.我们完全理解贵方不一定将合同授予最低报价的投标人。</w:t>
      </w:r>
      <w:r/>
    </w:p>
    <w:p>
      <w:pPr>
        <w:ind w:firstLine="480"/>
        <w:jc w:val="left"/>
        <w:spacing w:line="42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3.我们已详细审核全部招标文件及其有效补充文件，我们知道必须放弃提出含糊不清或误解问题的权利。</w:t>
      </w:r>
      <w:r/>
    </w:p>
    <w:p>
      <w:pPr>
        <w:ind w:firstLine="480"/>
        <w:jc w:val="left"/>
        <w:spacing w:line="42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4.我们同意从规定的开标日期起遵循本投标文件，并在规定的投标有效期期满之前均具有约束力。</w:t>
      </w:r>
      <w:r/>
    </w:p>
    <w:p>
      <w:pPr>
        <w:ind w:firstLine="480"/>
        <w:jc w:val="left"/>
        <w:spacing w:line="42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5.同意向贵方提供贵方可能另外要求的与投标有关的任何证据或资料，并保证我方已提供和将要提供的文件是真实的、准确的。</w:t>
      </w:r>
      <w:r/>
    </w:p>
    <w:p>
      <w:pPr>
        <w:ind w:firstLine="480"/>
        <w:jc w:val="left"/>
        <w:spacing w:line="42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6.一旦我方中标,我方将根据招标文件的规定，严格履行合同的责任和义务,并保证在招标文件规定的时间完成项目，交付买方验收、使用。</w:t>
      </w:r>
      <w:r/>
    </w:p>
    <w:p>
      <w:pPr>
        <w:pStyle w:val="1083"/>
        <w:spacing w:before="0" w:after="0" w:line="42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7.除采购文件第四章采购需求中关于实质性要求需要提供证明材料的之外、与国家相关部门对供应商的响应产品有强制性规定或者有要求的，我方承诺完全满足。</w:t>
      </w:r>
      <w:r/>
    </w:p>
    <w:p>
      <w:pPr>
        <w:pStyle w:val="1083"/>
        <w:spacing w:before="0" w:after="0" w:line="42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7.与本投标有关的正式通讯地址为：</w:t>
      </w:r>
      <w:r/>
    </w:p>
    <w:p>
      <w:pPr>
        <w:pStyle w:val="1083"/>
        <w:ind w:left="420"/>
        <w:spacing w:before="0" w:after="0" w:line="42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地          址：</w:t>
      </w:r>
      <w:r/>
    </w:p>
    <w:p>
      <w:pPr>
        <w:pStyle w:val="1083"/>
        <w:ind w:left="420"/>
        <w:spacing w:before="0" w:after="0" w:line="42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邮          编：</w:t>
      </w:r>
      <w:r/>
    </w:p>
    <w:p>
      <w:pPr>
        <w:pStyle w:val="1083"/>
        <w:ind w:left="420"/>
        <w:spacing w:before="0" w:after="0" w:line="42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电          话：</w:t>
      </w:r>
      <w:r/>
    </w:p>
    <w:p>
      <w:pPr>
        <w:pStyle w:val="1083"/>
        <w:ind w:left="420"/>
        <w:spacing w:before="0" w:after="0" w:line="42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传          真：</w:t>
      </w:r>
      <w:r/>
    </w:p>
    <w:p>
      <w:pPr>
        <w:pStyle w:val="1083"/>
        <w:ind w:left="420"/>
        <w:spacing w:before="0" w:after="0" w:line="42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投标人开户行：</w:t>
      </w:r>
      <w:r/>
    </w:p>
    <w:p>
      <w:pPr>
        <w:pStyle w:val="1083"/>
        <w:ind w:left="420"/>
        <w:spacing w:before="0" w:after="0" w:line="42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账          号： </w:t>
      </w:r>
      <w:r/>
    </w:p>
    <w:p>
      <w:pPr>
        <w:pStyle w:val="1083"/>
        <w:ind w:left="420"/>
        <w:spacing w:before="0" w:after="0" w:line="42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日           期：________年____月____日</w:t>
      </w:r>
      <w:r/>
    </w:p>
    <w:p>
      <w:pPr>
        <w:ind w:firstLine="240"/>
        <w:jc w:val="center"/>
        <w:spacing w:line="5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p>
      <w:pPr>
        <w:ind w:firstLine="240"/>
        <w:jc w:val="center"/>
        <w:spacing w:line="5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p>
      <w:pPr>
        <w:ind w:firstLine="240"/>
        <w:jc w:val="center"/>
        <w:spacing w:line="5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p>
      <w:pPr>
        <w:ind w:firstLine="240"/>
        <w:jc w:val="center"/>
        <w:spacing w:line="5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p>
      <w:pPr>
        <w:pStyle w:val="810"/>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jc w:val="center"/>
        <w:spacing w:line="46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rPr>
          <w:rFonts w:hint="eastAsia" w:asciiTheme="minorEastAsia" w:hAnsiTheme="minorEastAsia" w:eastAsiaTheme="minorEastAsia" w:cstheme="minorEastAsia"/>
          <w:i/>
          <w:sz w:val="32"/>
          <w:szCs w:val="32"/>
          <w:u w:val="single"/>
        </w:rPr>
      </w:pPr>
      <w:r>
        <w:rPr>
          <w:rFonts w:hint="eastAsia" w:asciiTheme="minorEastAsia" w:hAnsiTheme="minorEastAsia" w:eastAsiaTheme="minorEastAsia" w:cstheme="minorEastAsia"/>
          <w:i/>
          <w:sz w:val="32"/>
          <w:szCs w:val="32"/>
          <w:u w:val="single"/>
        </w:rPr>
        <w:t xml:space="preserve">六、政府采购供应商信用承诺书（实质性格式）</w:t>
      </w:r>
      <w:r/>
    </w:p>
    <w:p>
      <w:pPr>
        <w:ind w:firstLine="321"/>
        <w:jc w:val="center"/>
        <w:spacing w:line="56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ind w:firstLine="321"/>
        <w:jc w:val="center"/>
        <w:spacing w:line="56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 xml:space="preserve">政府采购供应商信用承诺书</w:t>
      </w:r>
      <w:r/>
    </w:p>
    <w:p>
      <w:pPr>
        <w:ind w:firstLine="640"/>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ind w:firstLine="480"/>
        <w:spacing w:line="276"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为维护公开、公平、公正的政府采购市场秩序，树立诚实守信的供应商形象，本单位在参与政府采购活动中,自愿作出以下承诺：</w:t>
      </w:r>
      <w:r/>
    </w:p>
    <w:p>
      <w:pPr>
        <w:ind w:firstLine="480"/>
        <w:spacing w:line="276"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一、严格遵守国家法律、法规和规章，全面履行应尽的责任和义务，全面做到履约守信，具备《政府采购法》第二十二条第一款规定的条件。</w:t>
      </w:r>
      <w:r/>
    </w:p>
    <w:p>
      <w:pPr>
        <w:ind w:firstLine="480"/>
        <w:spacing w:line="276"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五、承诺本单位自觉接受行政管理部门、行业组织、社会公众、新闻舆论的监督。 </w:t>
      </w:r>
      <w:r/>
    </w:p>
    <w:p>
      <w:pPr>
        <w:ind w:firstLine="480"/>
        <w:spacing w:line="276"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七、承诺本单位在信用中国（江苏）网站中无违法违规、较重或严重失信记录。 </w:t>
      </w:r>
      <w:r/>
    </w:p>
    <w:p>
      <w:pPr>
        <w:ind w:firstLine="480"/>
        <w:spacing w:line="276"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八、承诺本单位提出政府采购质疑和投诉坚持依法依规、诚实信用原则。</w:t>
      </w:r>
      <w:r/>
    </w:p>
    <w:p>
      <w:pPr>
        <w:ind w:firstLine="480"/>
        <w:spacing w:line="276"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九、根据政府采购相关法律法规的规定需要作出的其他承诺。 </w:t>
      </w:r>
      <w:r/>
    </w:p>
    <w:p>
      <w:pPr>
        <w:ind w:firstLine="480"/>
        <w:spacing w:line="276"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十一、承诺本单位同意将以上承诺事项上网公示，违背承诺约定行为将作为失信信息，记录到常州市公共信用信息系统，并予以公开。</w:t>
      </w:r>
      <w:r/>
    </w:p>
    <w:p>
      <w:pPr>
        <w:pStyle w:val="1116"/>
        <w:ind w:right="1050" w:firstLine="2880"/>
        <w:jc w:val="both"/>
        <w:spacing w:line="276" w:lineRule="auto"/>
        <w:rPr>
          <w:rFonts w:hint="eastAsia" w:asciiTheme="minorEastAsia" w:hAnsiTheme="minorEastAsia" w:eastAsiaTheme="minorEastAsia" w:cstheme="minorEastAsia"/>
          <w:sz w:val="24"/>
          <w:szCs w:val="22"/>
        </w:rPr>
      </w:pPr>
      <w:r>
        <w:rPr>
          <w:rFonts w:hint="eastAsia" w:asciiTheme="minorEastAsia" w:hAnsiTheme="minorEastAsia" w:eastAsiaTheme="minorEastAsia" w:cstheme="minorEastAsia"/>
          <w:sz w:val="24"/>
          <w:szCs w:val="22"/>
        </w:rPr>
      </w:r>
      <w:r/>
    </w:p>
    <w:p>
      <w:pPr>
        <w:spacing w:before="25" w:after="25" w:line="360" w:lineRule="auto"/>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rPr>
        <w:t xml:space="preserve">投标人名称（加盖公章）</w:t>
      </w:r>
      <w:r>
        <w:rPr>
          <w:rFonts w:hint="eastAsia" w:asciiTheme="minorEastAsia" w:hAnsiTheme="minorEastAsia" w:eastAsiaTheme="minorEastAsia" w:cstheme="minorEastAsia"/>
          <w:sz w:val="24"/>
          <w:lang w:val="zh-CN"/>
        </w:rPr>
        <w:t xml:space="preserve">：____________</w:t>
      </w:r>
      <w:r/>
    </w:p>
    <w:p>
      <w:pPr>
        <w:spacing w:before="25" w:after="25" w:line="360" w:lineRule="auto"/>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rPr>
        <w:t xml:space="preserve">日期：_____年______月______日   </w:t>
      </w:r>
      <w:r/>
    </w:p>
    <w:p>
      <w:pPr>
        <w:ind w:firstLine="321"/>
        <w:jc w:val="center"/>
        <w:spacing w:line="56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ind w:firstLine="321"/>
        <w:jc w:val="center"/>
        <w:spacing w:line="56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ind w:firstLine="321"/>
        <w:jc w:val="center"/>
        <w:spacing w:line="56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ind w:firstLine="321"/>
        <w:jc w:val="center"/>
        <w:spacing w:line="56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ind w:firstLine="321"/>
        <w:jc w:val="center"/>
        <w:spacing w:line="56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 xml:space="preserve">七、小微企业声明函（货物）（分包号：）</w:t>
      </w:r>
      <w:r/>
    </w:p>
    <w:p>
      <w:pPr>
        <w:ind w:firstLine="36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本公司（联合体）郑重声明，根据《政府采购促进中小企业发展管理办法》(财库[2020]46号)的规定，本公司（联合体）参加常州市教育基本建设与装备管理中心组织的</w:t>
      </w:r>
      <w:r>
        <w:rPr>
          <w:rFonts w:hint="eastAsia" w:asciiTheme="minorEastAsia" w:hAnsiTheme="minorEastAsia" w:eastAsiaTheme="minorEastAsia" w:cstheme="minorEastAsia"/>
          <w:sz w:val="24"/>
          <w:szCs w:val="24"/>
          <w:u w:val="single"/>
        </w:rPr>
        <w:t xml:space="preserve">（采购单位名称）</w:t>
      </w:r>
      <w:r>
        <w:rPr>
          <w:rFonts w:hint="eastAsia" w:asciiTheme="minorEastAsia" w:hAnsiTheme="minorEastAsia" w:eastAsiaTheme="minorEastAsia" w:cstheme="minorEastAsia"/>
          <w:sz w:val="24"/>
          <w:szCs w:val="24"/>
        </w:rPr>
        <w:t xml:space="preserve">采购编号为</w:t>
      </w:r>
      <w:r>
        <w:rPr>
          <w:rFonts w:hint="eastAsia" w:asciiTheme="minorEastAsia" w:hAnsiTheme="minorEastAsia" w:eastAsiaTheme="minorEastAsia" w:cstheme="minorEastAsia"/>
          <w:sz w:val="24"/>
          <w:szCs w:val="24"/>
          <w:u w:val="single"/>
        </w:rPr>
        <w:t xml:space="preserve">*</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u w:val="single"/>
        </w:rPr>
        <w:t xml:space="preserve">（项目名称）（分包号：）</w:t>
      </w:r>
      <w:r>
        <w:rPr>
          <w:rFonts w:hint="eastAsia" w:asciiTheme="minorEastAsia" w:hAnsiTheme="minorEastAsia" w:eastAsiaTheme="minorEastAsia" w:cstheme="minorEastAsia"/>
          <w:sz w:val="24"/>
          <w:szCs w:val="24"/>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560" w:lineRule="exact"/>
        <w:rPr>
          <w:rFonts w:hint="eastAsia" w:asciiTheme="minorEastAsia" w:hAnsiTheme="minorEastAsia" w:eastAsiaTheme="minorEastAsia" w:cstheme="minorEastAsia"/>
          <w:i/>
          <w:sz w:val="24"/>
          <w:szCs w:val="24"/>
          <w:u w:val="single"/>
        </w:rPr>
      </w:pPr>
      <w:r>
        <w:rPr>
          <w:rFonts w:hint="eastAsia" w:asciiTheme="minorEastAsia" w:hAnsiTheme="minorEastAsia" w:eastAsiaTheme="minorEastAsia" w:cstheme="minorEastAsia"/>
          <w:sz w:val="24"/>
          <w:szCs w:val="24"/>
        </w:rPr>
        <w:t xml:space="preserve">1.</w:t>
      </w:r>
      <w:r>
        <w:rPr>
          <w:rFonts w:hint="eastAsia" w:asciiTheme="minorEastAsia" w:hAnsiTheme="minorEastAsia" w:eastAsiaTheme="minorEastAsia" w:cstheme="minorEastAsia"/>
          <w:sz w:val="24"/>
          <w:szCs w:val="24"/>
          <w:u w:val="single"/>
        </w:rPr>
        <w:t xml:space="preserve">（标的名称）</w:t>
      </w:r>
      <w:r>
        <w:rPr>
          <w:rFonts w:hint="eastAsia" w:asciiTheme="minorEastAsia" w:hAnsiTheme="minorEastAsia" w:eastAsiaTheme="minorEastAsia" w:cstheme="minorEastAsia"/>
          <w:i/>
          <w:sz w:val="24"/>
          <w:szCs w:val="24"/>
        </w:rPr>
        <w:t xml:space="preserve">，</w:t>
      </w:r>
      <w:r>
        <w:rPr>
          <w:rFonts w:hint="eastAsia" w:asciiTheme="minorEastAsia" w:hAnsiTheme="minorEastAsia" w:eastAsiaTheme="minorEastAsia" w:cstheme="minorEastAsia"/>
          <w:sz w:val="24"/>
          <w:szCs w:val="24"/>
        </w:rPr>
        <w:t xml:space="preserve">属于</w:t>
      </w:r>
      <w:r>
        <w:rPr>
          <w:rFonts w:hint="eastAsia" w:asciiTheme="minorEastAsia" w:hAnsiTheme="minorEastAsia" w:eastAsiaTheme="minorEastAsia" w:cstheme="minorEastAsia"/>
          <w:sz w:val="24"/>
          <w:szCs w:val="24"/>
          <w:u w:val="single"/>
        </w:rPr>
        <w:t xml:space="preserve">工业</w:t>
      </w:r>
      <w:r>
        <w:rPr>
          <w:rFonts w:hint="eastAsia" w:asciiTheme="minorEastAsia" w:hAnsiTheme="minorEastAsia" w:eastAsiaTheme="minorEastAsia" w:cstheme="minorEastAsia"/>
          <w:sz w:val="24"/>
          <w:szCs w:val="24"/>
        </w:rPr>
        <w:t xml:space="preserve">行业；制造商为</w:t>
      </w:r>
      <w:r>
        <w:rPr>
          <w:rFonts w:hint="eastAsia" w:asciiTheme="minorEastAsia" w:hAnsiTheme="minorEastAsia" w:eastAsiaTheme="minorEastAsia" w:cstheme="minorEastAsia"/>
          <w:sz w:val="24"/>
          <w:szCs w:val="24"/>
          <w:u w:val="single"/>
        </w:rPr>
        <w:t xml:space="preserve">（企业名称）</w:t>
      </w:r>
      <w:r>
        <w:rPr>
          <w:rFonts w:hint="eastAsia" w:asciiTheme="minorEastAsia" w:hAnsiTheme="minorEastAsia" w:eastAsiaTheme="minorEastAsia" w:cstheme="minorEastAsia"/>
          <w:sz w:val="24"/>
          <w:szCs w:val="24"/>
        </w:rPr>
        <w:t xml:space="preserve">，从业人员</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人，营业收入为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万元，资产总额为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万元，属于</w:t>
      </w:r>
      <w:r>
        <w:rPr>
          <w:rFonts w:hint="eastAsia" w:asciiTheme="minorEastAsia" w:hAnsiTheme="minorEastAsia" w:eastAsiaTheme="minorEastAsia" w:cstheme="minorEastAsia"/>
          <w:sz w:val="24"/>
          <w:szCs w:val="24"/>
          <w:u w:val="single"/>
        </w:rPr>
        <w:t xml:space="preserve">（小型企业、微型企业）；</w:t>
      </w:r>
      <w:r/>
    </w:p>
    <w:p>
      <w:pPr>
        <w:ind w:firstLine="360"/>
        <w:spacing w:line="560" w:lineRule="exact"/>
        <w:rPr>
          <w:rFonts w:hint="eastAsia" w:asciiTheme="minorEastAsia" w:hAnsiTheme="minorEastAsia" w:eastAsiaTheme="minorEastAsia" w:cstheme="minorEastAsia"/>
          <w:i/>
          <w:sz w:val="24"/>
          <w:szCs w:val="24"/>
          <w:u w:val="single"/>
        </w:rPr>
      </w:pPr>
      <w:r>
        <w:rPr>
          <w:rFonts w:hint="eastAsia" w:asciiTheme="minorEastAsia" w:hAnsiTheme="minorEastAsia" w:eastAsiaTheme="minorEastAsia" w:cstheme="minorEastAsia"/>
          <w:sz w:val="24"/>
          <w:szCs w:val="24"/>
        </w:rPr>
        <w:t xml:space="preserve">2.</w:t>
      </w:r>
      <w:r>
        <w:rPr>
          <w:rFonts w:hint="eastAsia" w:asciiTheme="minorEastAsia" w:hAnsiTheme="minorEastAsia" w:eastAsiaTheme="minorEastAsia" w:cstheme="minorEastAsia"/>
          <w:sz w:val="24"/>
          <w:szCs w:val="24"/>
          <w:u w:val="single"/>
        </w:rPr>
        <w:t xml:space="preserve">（标的名称）</w:t>
      </w:r>
      <w:r>
        <w:rPr>
          <w:rFonts w:hint="eastAsia" w:asciiTheme="minorEastAsia" w:hAnsiTheme="minorEastAsia" w:eastAsiaTheme="minorEastAsia" w:cstheme="minorEastAsia"/>
          <w:i/>
          <w:sz w:val="24"/>
          <w:szCs w:val="24"/>
        </w:rPr>
        <w:t xml:space="preserve">，</w:t>
      </w:r>
      <w:r>
        <w:rPr>
          <w:rFonts w:hint="eastAsia" w:asciiTheme="minorEastAsia" w:hAnsiTheme="minorEastAsia" w:eastAsiaTheme="minorEastAsia" w:cstheme="minorEastAsia"/>
          <w:sz w:val="24"/>
          <w:szCs w:val="24"/>
        </w:rPr>
        <w:t xml:space="preserve">属于</w:t>
      </w:r>
      <w:r>
        <w:rPr>
          <w:rFonts w:hint="eastAsia" w:asciiTheme="minorEastAsia" w:hAnsiTheme="minorEastAsia" w:eastAsiaTheme="minorEastAsia" w:cstheme="minorEastAsia"/>
          <w:sz w:val="24"/>
          <w:szCs w:val="24"/>
          <w:u w:val="single"/>
        </w:rPr>
        <w:t xml:space="preserve">工业</w:t>
      </w:r>
      <w:r>
        <w:rPr>
          <w:rFonts w:hint="eastAsia" w:asciiTheme="minorEastAsia" w:hAnsiTheme="minorEastAsia" w:eastAsiaTheme="minorEastAsia" w:cstheme="minorEastAsia"/>
          <w:sz w:val="24"/>
          <w:szCs w:val="24"/>
        </w:rPr>
        <w:t xml:space="preserve">行业；制造商为</w:t>
      </w:r>
      <w:r>
        <w:rPr>
          <w:rFonts w:hint="eastAsia" w:asciiTheme="minorEastAsia" w:hAnsiTheme="minorEastAsia" w:eastAsiaTheme="minorEastAsia" w:cstheme="minorEastAsia"/>
          <w:sz w:val="24"/>
          <w:szCs w:val="24"/>
          <w:u w:val="single"/>
        </w:rPr>
        <w:t xml:space="preserve">（企业名称）</w:t>
      </w:r>
      <w:r>
        <w:rPr>
          <w:rFonts w:hint="eastAsia" w:asciiTheme="minorEastAsia" w:hAnsiTheme="minorEastAsia" w:eastAsiaTheme="minorEastAsia" w:cstheme="minorEastAsia"/>
          <w:sz w:val="24"/>
          <w:szCs w:val="24"/>
        </w:rPr>
        <w:t xml:space="preserve">，从业人员</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人，营业收入为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万元，资产总额为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万元，属于</w:t>
      </w:r>
      <w:r>
        <w:rPr>
          <w:rFonts w:hint="eastAsia" w:asciiTheme="minorEastAsia" w:hAnsiTheme="minorEastAsia" w:eastAsiaTheme="minorEastAsia" w:cstheme="minorEastAsia"/>
          <w:sz w:val="24"/>
          <w:szCs w:val="24"/>
          <w:u w:val="single"/>
        </w:rPr>
        <w:t xml:space="preserve">（小型企业、微型企业）；</w:t>
      </w:r>
      <w:r/>
    </w:p>
    <w:p>
      <w:pPr>
        <w:jc w:val="left"/>
        <w:spacing w:line="4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w:t>
      </w:r>
      <w:r/>
    </w:p>
    <w:p>
      <w:pPr>
        <w:ind w:firstLine="36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以上企业，不属于大企业的分支机构，不存在控股股东为大企业的情形，也不存在与大企业的负责人为同一人的情形。</w:t>
      </w:r>
      <w:r/>
    </w:p>
    <w:p>
      <w:pPr>
        <w:ind w:firstLine="36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本企业对上述声明内容的真实性负责。如有虚假，将依法承担相应责任</w:t>
      </w:r>
      <w:r/>
    </w:p>
    <w:p>
      <w:pPr>
        <w:ind w:right="72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right="180" w:firstLine="360"/>
        <w:jc w:val="right"/>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企业名称（加盖CA电子公章）：</w:t>
      </w:r>
      <w:r/>
    </w:p>
    <w:p>
      <w:pPr>
        <w:ind w:right="480" w:firstLine="540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日  期：</w:t>
      </w:r>
      <w:r/>
    </w:p>
    <w:p>
      <w:pPr>
        <w:ind w:firstLine="24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48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备注1：从业人员、营业收入、资产总额填报上一年度数据，无上一年度数据的新成立企业可不填报。</w:t>
      </w:r>
      <w:r/>
    </w:p>
    <w:p>
      <w:pPr>
        <w:ind w:firstLine="48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备注2：供应商如不提供此声明函，价格将不做相应扣除。</w:t>
      </w:r>
      <w:r>
        <w:rPr>
          <w:rFonts w:hint="eastAsia" w:asciiTheme="minorEastAsia" w:hAnsiTheme="minorEastAsia" w:eastAsiaTheme="minorEastAsia" w:cstheme="minorEastAsia"/>
          <w:sz w:val="24"/>
        </w:rPr>
        <w:t xml:space="preserve">中标人为小微企业的，此声明函将随中标结果同时公告，接受社会监督。</w:t>
      </w:r>
      <w:r/>
    </w:p>
    <w:p>
      <w:pPr>
        <w:jc w:val="center"/>
        <w:spacing w:line="46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br w:type="page" w:clear="all"/>
      </w:r>
      <w:r>
        <w:rPr>
          <w:rFonts w:hint="eastAsia" w:asciiTheme="minorEastAsia" w:hAnsiTheme="minorEastAsia" w:eastAsiaTheme="minorEastAsia" w:cstheme="minorEastAsia"/>
          <w:b/>
          <w:sz w:val="32"/>
          <w:szCs w:val="32"/>
        </w:rPr>
        <w:t xml:space="preserve">八、残疾人福利性单位声明函（分包号：）</w:t>
      </w:r>
      <w:r/>
    </w:p>
    <w:p>
      <w:pPr>
        <w:ind w:firstLine="480"/>
        <w:spacing w:line="588"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项目（分包号：）采购活动提供本单位制造的货物，或者提供其他残疾人福利性单位制造的货物（不包括使用非残疾人福利性单位注册商标的货物）。</w:t>
      </w:r>
      <w:r/>
    </w:p>
    <w:p>
      <w:pPr>
        <w:ind w:firstLine="480"/>
        <w:spacing w:line="588"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本单位对上述声明的真实性负责。如有虚假，将依法承担相应责任。</w:t>
      </w:r>
      <w:r/>
    </w:p>
    <w:p>
      <w:pPr>
        <w:ind w:firstLine="480"/>
        <w:spacing w:line="588"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spacing w:line="588"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（备注：1、供应商如不提供此声明函，价格将不做相应扣除。2、中标人为残疾人福利单位的，此声明函将随中标结果同时公告，接受社会监督）</w:t>
      </w:r>
      <w:r/>
    </w:p>
    <w:p>
      <w:pPr>
        <w:ind w:firstLine="624"/>
        <w:spacing w:line="588" w:lineRule="exact"/>
        <w:rPr>
          <w:rFonts w:hint="eastAsia" w:asciiTheme="minorEastAsia" w:hAnsiTheme="minorEastAsia" w:eastAsiaTheme="minorEastAsia" w:cstheme="minorEastAsia"/>
          <w:spacing w:val="6"/>
          <w:sz w:val="30"/>
          <w:szCs w:val="30"/>
        </w:rPr>
      </w:pPr>
      <w:r>
        <w:rPr>
          <w:rFonts w:hint="eastAsia" w:asciiTheme="minorEastAsia" w:hAnsiTheme="minorEastAsia" w:eastAsiaTheme="minorEastAsia" w:cstheme="minorEastAsia"/>
          <w:spacing w:val="6"/>
          <w:sz w:val="30"/>
          <w:szCs w:val="30"/>
        </w:rPr>
      </w:r>
      <w:r/>
    </w:p>
    <w:p>
      <w:pPr>
        <w:ind w:right="1560" w:firstLine="624"/>
        <w:jc w:val="center"/>
        <w:spacing w:line="588" w:lineRule="exact"/>
        <w:tabs>
          <w:tab w:val="left" w:pos="4860" w:leader="none"/>
        </w:tabs>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6"/>
          <w:sz w:val="30"/>
          <w:szCs w:val="30"/>
        </w:rPr>
        <w:t xml:space="preserve">             </w:t>
      </w:r>
      <w:r>
        <w:rPr>
          <w:rFonts w:hint="eastAsia" w:asciiTheme="minorEastAsia" w:hAnsiTheme="minorEastAsia" w:eastAsiaTheme="minorEastAsia" w:cstheme="minorEastAsia"/>
          <w:sz w:val="24"/>
        </w:rPr>
        <w:t xml:space="preserve">         供应商全称（加盖CA电子公章）：</w:t>
      </w:r>
      <w:r/>
    </w:p>
    <w:p>
      <w:pPr>
        <w:ind w:right="1560" w:firstLine="480"/>
        <w:jc w:val="center"/>
        <w:spacing w:line="588" w:lineRule="exact"/>
        <w:tabs>
          <w:tab w:val="left" w:pos="4860" w:leader="none"/>
        </w:tabs>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日  期：</w:t>
      </w:r>
      <w:r/>
    </w:p>
    <w:p>
      <w:pPr>
        <w:jc w:val="center"/>
        <w:spacing w:line="56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jc w:val="center"/>
        <w:spacing w:line="56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jc w:val="center"/>
        <w:spacing w:line="56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jc w:val="center"/>
        <w:spacing w:line="56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jc w:val="center"/>
        <w:spacing w:line="56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ind w:firstLine="643"/>
        <w:spacing w:line="588"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
          <w:sz w:val="32"/>
          <w:szCs w:val="32"/>
        </w:rPr>
        <w:t xml:space="preserve">监狱企业证明文件。</w:t>
      </w:r>
      <w:r>
        <w:rPr>
          <w:rFonts w:hint="eastAsia" w:asciiTheme="minorEastAsia" w:hAnsiTheme="minorEastAsia" w:eastAsiaTheme="minorEastAsia" w:cstheme="minorEastAsia"/>
          <w:sz w:val="24"/>
        </w:rPr>
        <w:t xml:space="preserve">监狱企业须提供由省级以上监狱管理局、戒毒管理局（含新疆生产建设兵团）出具的属于监狱企业的证明文件。（备注：如是监狱企业的应提供，否则</w:t>
      </w:r>
      <w:r>
        <w:rPr>
          <w:rFonts w:hint="eastAsia" w:asciiTheme="minorEastAsia" w:hAnsiTheme="minorEastAsia" w:eastAsiaTheme="minorEastAsia" w:cstheme="minorEastAsia"/>
          <w:sz w:val="24"/>
          <w:szCs w:val="24"/>
        </w:rPr>
        <w:t xml:space="preserve">资格审查不予通过，作为无效投标。</w:t>
      </w:r>
      <w:r>
        <w:rPr>
          <w:rFonts w:hint="eastAsia" w:asciiTheme="minorEastAsia" w:hAnsiTheme="minorEastAsia" w:eastAsiaTheme="minorEastAsia" w:cstheme="minorEastAsia"/>
          <w:sz w:val="24"/>
        </w:rPr>
        <w:t xml:space="preserve">）</w:t>
      </w:r>
      <w:r/>
    </w:p>
    <w:p>
      <w:pPr>
        <w:jc w:val="center"/>
        <w:spacing w:line="56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jc w:val="center"/>
        <w:spacing w:line="56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pStyle w:val="810"/>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numPr>
          <w:ilvl w:val="0"/>
          <w:numId w:val="20"/>
        </w:numPr>
        <w:jc w:val="center"/>
        <w:rPr>
          <w:rFonts w:hint="eastAsia" w:asciiTheme="minorEastAsia" w:hAnsiTheme="minorEastAsia" w:eastAsiaTheme="minorEastAsia" w:cstheme="minorEastAsia"/>
          <w:b/>
          <w:i/>
          <w:sz w:val="32"/>
          <w:szCs w:val="32"/>
          <w:u w:val="single"/>
        </w:rPr>
      </w:pPr>
      <w:r>
        <w:rPr>
          <w:rFonts w:hint="eastAsia" w:asciiTheme="minorEastAsia" w:hAnsiTheme="minorEastAsia" w:eastAsiaTheme="minorEastAsia" w:cstheme="minorEastAsia"/>
          <w:b/>
          <w:i/>
          <w:sz w:val="32"/>
          <w:szCs w:val="32"/>
          <w:u w:val="single"/>
        </w:rPr>
        <w:t xml:space="preserve">关于符合本国产品标准的声明函（采购包号：**）</w:t>
      </w:r>
      <w:r/>
    </w:p>
    <w:p>
      <w:pPr>
        <w:pStyle w:val="827"/>
        <w:ind w:firstLine="420"/>
        <w:spacing w:beforeAutospacing="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p>
      <w:pPr>
        <w:pStyle w:val="827"/>
        <w:ind w:firstLine="420"/>
        <w:spacing w:beforeAutospacing="0" w:afterAutospacing="0" w:line="360" w:lineRule="auto"/>
        <w:rPr>
          <w:rFonts w:hint="eastAsia" w:ascii="方正魏碑_GBK" w:hAnsi="方正魏碑_GBK" w:eastAsia="方正魏碑_GBK" w:cs="方正魏碑_GBK"/>
        </w:rPr>
      </w:pPr>
      <w:r>
        <w:rPr>
          <w:rFonts w:hint="eastAsia" w:ascii="方正魏碑_GBK" w:hAnsi="方正魏碑_GBK" w:eastAsia="方正魏碑_GBK" w:cs="方正魏碑_GBK"/>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27"/>
        <w:ind w:firstLine="420"/>
        <w:spacing w:before="30" w:beforeAutospacing="0" w:after="30" w:afterAutospacing="0" w:line="360" w:lineRule="auto"/>
        <w:rPr>
          <w:rFonts w:hint="eastAsia" w:ascii="方正魏碑_GBK" w:hAnsi="方正魏碑_GBK" w:eastAsia="方正魏碑_GBK" w:cs="方正魏碑_GBK"/>
        </w:rPr>
      </w:pP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2451100</wp:posOffset>
                </wp:positionH>
                <wp:positionV relativeFrom="paragraph">
                  <wp:posOffset>606425</wp:posOffset>
                </wp:positionV>
                <wp:extent cx="816610" cy="147320"/>
                <wp:effectExtent l="635" t="4445" r="1905" b="19685"/>
                <wp:wrapNone/>
                <wp:docPr id="1" name="直接箭头连接符 8"/>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0" o:spid="_x0000_s0" o:spt="32" type="#_x0000_t32" style="position:absolute;z-index:251667456;o:allowoverlap:true;o:allowincell:true;mso-position-horizontal-relative:text;margin-left:193.0pt;mso-position-horizontal:absolute;mso-position-vertical-relative:text;margin-top:47.8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1294130</wp:posOffset>
                </wp:positionH>
                <wp:positionV relativeFrom="paragraph">
                  <wp:posOffset>617855</wp:posOffset>
                </wp:positionV>
                <wp:extent cx="876300" cy="120015"/>
                <wp:effectExtent l="635" t="4445" r="18415" b="8890"/>
                <wp:wrapNone/>
                <wp:docPr id="2" name="直接箭头连接符 9"/>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 o:spid="_x0000_s1" o:spt="32" type="#_x0000_t32" style="position:absolute;z-index:251661312;o:allowoverlap:true;o:allowincell:true;mso-position-horizontal-relative:text;margin-left:101.9pt;mso-position-horizontal:absolute;mso-position-vertical-relative:text;margin-top:48.6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3645535</wp:posOffset>
                </wp:positionH>
                <wp:positionV relativeFrom="paragraph">
                  <wp:posOffset>335915</wp:posOffset>
                </wp:positionV>
                <wp:extent cx="816610" cy="103505"/>
                <wp:effectExtent l="635" t="4445" r="1905" b="6350"/>
                <wp:wrapNone/>
                <wp:docPr id="3" name="直接箭头连接符 2"/>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0288;o:allowoverlap:true;o:allowincell:true;mso-position-horizontal-relative:text;margin-left:287.1pt;mso-position-horizontal:absolute;mso-position-vertical-relative:text;margin-top:26.4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2454910</wp:posOffset>
                </wp:positionH>
                <wp:positionV relativeFrom="paragraph">
                  <wp:posOffset>368300</wp:posOffset>
                </wp:positionV>
                <wp:extent cx="816610" cy="76200"/>
                <wp:effectExtent l="635" t="4445" r="1905" b="14604"/>
                <wp:wrapNone/>
                <wp:docPr id="4" name="直接箭头连接符 4"/>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59264;o:allowoverlap:true;o:allowincell:true;mso-position-horizontal-relative:text;margin-left:193.3pt;mso-position-horizontal:absolute;mso-position-vertical-relative:text;margin-top:29.0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4778375</wp:posOffset>
                </wp:positionH>
                <wp:positionV relativeFrom="paragraph">
                  <wp:posOffset>86995</wp:posOffset>
                </wp:positionV>
                <wp:extent cx="577215" cy="92075"/>
                <wp:effectExtent l="635" t="4445" r="12700" b="17780"/>
                <wp:wrapNone/>
                <wp:docPr id="5" name="直接箭头连接符 11"/>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6432;o:allowoverlap:true;o:allowincell:true;mso-position-horizontal-relative:text;margin-left:376.2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6" name="直接箭头连接符 5"/>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8480;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shd w:val="clear" w:color="auto" w:fill="ffffff"/>
        </w:rPr>
        <w:t xml:space="preserve">1.</w:t>
      </w:r>
      <w:r>
        <w:rPr>
          <w:rStyle w:val="832"/>
          <w:rFonts w:hint="eastAsia" w:ascii="方正魏碑_GBK" w:hAnsi="方正魏碑_GBK" w:eastAsia="方正魏碑_GBK" w:cs="方正魏碑_GBK"/>
          <w:i w:val="0"/>
          <w:u w:val="single"/>
          <w:shd w:val="clear" w:color="auto" w:fill="ffffff"/>
        </w:rPr>
        <w:t xml:space="preserve">（产品名称1）</w:t>
      </w:r>
      <w:r>
        <w:rPr>
          <w:rStyle w:val="832"/>
          <w:rFonts w:hint="eastAsia" w:ascii="方正魏碑_GBK" w:hAnsi="方正魏碑_GBK" w:eastAsia="方正魏碑_GBK" w:cs="方正魏碑_GBK"/>
          <w:i w:val="0"/>
          <w:shd w:val="clear" w:color="auto" w:fill="ffffff"/>
          <w:vertAlign w:val="superscript"/>
        </w:rPr>
        <w:t xml:space="preserve">1</w:t>
      </w:r>
      <w:r>
        <w:rPr>
          <w:rFonts w:hint="eastAsia" w:ascii="方正魏碑_GBK" w:hAnsi="方正魏碑_GBK" w:eastAsia="方正魏碑_GBK" w:cs="方正魏碑_GBK"/>
          <w:shd w:val="clear" w:color="auto" w:fill="ffffff"/>
        </w:rPr>
        <w:t xml:space="preserve">，生产厂为</w:t>
      </w:r>
      <w:r>
        <w:rPr>
          <w:rStyle w:val="832"/>
          <w:rFonts w:hint="eastAsia" w:ascii="方正魏碑_GBK" w:hAnsi="方正魏碑_GBK" w:eastAsia="方正魏碑_GBK" w:cs="方正魏碑_GBK"/>
          <w:i w:val="0"/>
          <w:u w:val="single"/>
          <w:shd w:val="clear" w:color="auto" w:fill="ffffff"/>
        </w:rPr>
        <w:t xml:space="preserve">（厂名）</w:t>
      </w:r>
      <w:r>
        <w:rPr>
          <w:rStyle w:val="832"/>
          <w:rFonts w:hint="eastAsia" w:ascii="方正魏碑_GBK" w:hAnsi="方正魏碑_GBK" w:eastAsia="方正魏碑_GBK" w:cs="方正魏碑_GBK"/>
          <w:i w:val="0"/>
          <w:shd w:val="clear" w:color="auto" w:fill="ffffff"/>
          <w:vertAlign w:val="superscript"/>
        </w:rPr>
        <w:t xml:space="preserve">2</w:t>
      </w:r>
      <w:r>
        <w:rPr>
          <w:rFonts w:hint="eastAsia" w:ascii="方正魏碑_GBK" w:hAnsi="方正魏碑_GBK" w:eastAsia="方正魏碑_GBK" w:cs="方正魏碑_GBK"/>
          <w:shd w:val="clear" w:color="auto" w:fill="ffffff"/>
        </w:rPr>
        <w:t xml:space="preserve">，厂址为</w:t>
      </w:r>
      <w:r>
        <w:rPr>
          <w:rStyle w:val="832"/>
          <w:rFonts w:hint="eastAsia" w:ascii="方正魏碑_GBK" w:hAnsi="方正魏碑_GBK" w:eastAsia="方正魏碑_GBK" w:cs="方正魏碑_GBK"/>
          <w:i w:val="0"/>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Fonts w:hint="eastAsia" w:ascii="方正魏碑_GBK" w:hAnsi="方正魏碑_GBK" w:eastAsia="方正魏碑_GBK" w:cs="方正魏碑_GBK"/>
          <w:u w:val="single"/>
          <w:shd w:val="clear" w:color="auto" w:fill="ffffff"/>
        </w:rPr>
        <w:t xml:space="preserve"> </w:t>
      </w:r>
      <w:r>
        <w:rPr>
          <w:rStyle w:val="832"/>
          <w:rFonts w:hint="eastAsia" w:ascii="方正魏碑_GBK" w:hAnsi="方正魏碑_GBK" w:eastAsia="方正魏碑_GBK" w:cs="方正魏碑_GBK"/>
          <w:i w:val="0"/>
          <w:u w:val="single"/>
          <w:shd w:val="clear" w:color="auto" w:fill="ffffff"/>
        </w:rPr>
        <w:t xml:space="preserve">（产品名称1） </w:t>
      </w:r>
      <w:r>
        <w:rPr>
          <w:rFonts w:hint="eastAsia" w:ascii="方正魏碑_GBK" w:hAnsi="方正魏碑_GBK" w:eastAsia="方正魏碑_GBK" w:cs="方正魏碑_GBK"/>
          <w:shd w:val="clear" w:color="auto" w:fill="ffffff"/>
        </w:rPr>
        <w:t xml:space="preserve">的中国境内生产的组件成本占比≥</w:t>
      </w:r>
      <w:r>
        <w:rPr>
          <w:rStyle w:val="832"/>
          <w:rFonts w:hint="eastAsia" w:ascii="方正魏碑_GBK" w:hAnsi="方正魏碑_GBK" w:eastAsia="方正魏碑_GBK" w:cs="方正魏碑_GBK"/>
          <w:i w:val="0"/>
          <w:u w:val="single"/>
          <w:shd w:val="clear" w:color="auto" w:fill="ffffff"/>
        </w:rPr>
        <w:t xml:space="preserve">（规定</w:t>
      </w:r>
      <w:r>
        <w:rPr>
          <w:rStyle w:val="832"/>
          <w:rFonts w:ascii="方正魏碑_GBK" w:hAnsi="方正魏碑_GBK" w:eastAsia="方正魏碑_GBK" w:cs="方正魏碑_GBK"/>
          <w:i w:val="0"/>
          <w:u w:val="single"/>
          <w:shd w:val="clear" w:color="auto" w:fill="ffffff"/>
        </w:rPr>
        <w:t xml:space="preserve">比例</w:t>
      </w:r>
      <w:r>
        <w:rPr>
          <w:rStyle w:val="832"/>
          <w:rFonts w:hint="eastAsia" w:ascii="方正魏碑_GBK" w:hAnsi="方正魏碑_GBK" w:eastAsia="方正魏碑_GBK" w:cs="方正魏碑_GBK"/>
          <w:i w:val="0"/>
          <w:u w:val="single"/>
          <w:shd w:val="clear" w:color="auto" w:fill="ffffff"/>
        </w:rPr>
        <w:t xml:space="preserve">）</w:t>
      </w:r>
      <w:r>
        <w:rPr>
          <w:rStyle w:val="832"/>
          <w:rFonts w:hint="eastAsia" w:ascii="方正魏碑_GBK" w:hAnsi="方正魏碑_GBK" w:eastAsia="方正魏碑_GBK" w:cs="方正魏碑_GBK"/>
          <w:i w:val="0"/>
          <w:shd w:val="clear" w:color="auto" w:fill="ffffff"/>
          <w:vertAlign w:val="superscript"/>
        </w:rPr>
        <w:t xml:space="preserve">3</w:t>
      </w:r>
      <w:r>
        <w:rPr>
          <w:rFonts w:hint="eastAsia" w:ascii="方正魏碑_GBK" w:hAnsi="方正魏碑_GBK" w:eastAsia="方正魏碑_GBK" w:cs="方正魏碑_GBK"/>
          <w:shd w:val="clear" w:color="auto" w:fill="ffffff"/>
        </w:rPr>
        <w:t xml:space="preserve">。</w:t>
      </w:r>
      <w:r>
        <w:rPr>
          <w:rStyle w:val="832"/>
          <w:rFonts w:hint="eastAsia" w:ascii="方正魏碑_GBK" w:hAnsi="方正魏碑_GBK" w:eastAsia="方正魏碑_GBK" w:cs="方正魏碑_GBK"/>
          <w:i w:val="0"/>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832"/>
          <w:rFonts w:hint="eastAsia" w:ascii="方正魏碑_GBK" w:hAnsi="方正魏碑_GBK" w:eastAsia="方正魏碑_GBK" w:cs="方正魏碑_GBK"/>
          <w:i w:val="0"/>
          <w:u w:val="single"/>
          <w:shd w:val="clear" w:color="auto" w:fill="ffffff"/>
        </w:rPr>
        <w:t xml:space="preserve">（关键</w:t>
      </w:r>
      <w:r>
        <w:rPr>
          <w:rStyle w:val="832"/>
          <w:rFonts w:ascii="方正魏碑_GBK" w:hAnsi="方正魏碑_GBK" w:eastAsia="方正魏碑_GBK" w:cs="方正魏碑_GBK"/>
          <w:i w:val="0"/>
          <w:u w:val="single"/>
          <w:shd w:val="clear" w:color="auto" w:fill="ffffff"/>
        </w:rPr>
        <w:t xml:space="preserve">组件</w:t>
      </w:r>
      <w:r>
        <w:rPr>
          <w:rStyle w:val="832"/>
          <w:rFonts w:hint="eastAsia" w:ascii="方正魏碑_GBK" w:hAnsi="方正魏碑_GBK" w:eastAsia="方正魏碑_GBK" w:cs="方正魏碑_GBK"/>
          <w:i w:val="0"/>
          <w:u w:val="single"/>
          <w:shd w:val="clear" w:color="auto" w:fill="ffffff"/>
        </w:rPr>
        <w:t xml:space="preserve">）</w:t>
      </w:r>
      <w:r>
        <w:rPr>
          <w:rStyle w:val="832"/>
          <w:rFonts w:hint="eastAsia" w:ascii="方正魏碑_GBK" w:hAnsi="方正魏碑_GBK" w:eastAsia="方正魏碑_GBK" w:cs="方正魏碑_GBK"/>
          <w:i w:val="0"/>
          <w:shd w:val="clear" w:color="auto" w:fill="ffffff"/>
          <w:vertAlign w:val="superscript"/>
        </w:rPr>
        <w:t xml:space="preserve">4</w:t>
      </w:r>
      <w:r>
        <w:rPr>
          <w:rFonts w:hint="eastAsia" w:ascii="方正魏碑_GBK" w:hAnsi="方正魏碑_GBK" w:eastAsia="方正魏碑_GBK" w:cs="方正魏碑_GBK"/>
          <w:shd w:val="clear" w:color="auto" w:fill="ffffff"/>
        </w:rPr>
        <w:t xml:space="preserve">在中国境内生产。</w:t>
      </w:r>
      <w:r>
        <w:rPr>
          <w:rStyle w:val="832"/>
          <w:rFonts w:hint="eastAsia" w:ascii="方正魏碑_GBK" w:hAnsi="方正魏碑_GBK" w:eastAsia="方正魏碑_GBK" w:cs="方正魏碑_GBK"/>
          <w:i w:val="0"/>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832"/>
          <w:rFonts w:hint="eastAsia" w:ascii="方正魏碑_GBK" w:hAnsi="方正魏碑_GBK" w:eastAsia="方正魏碑_GBK" w:cs="方正魏碑_GBK"/>
          <w:i w:val="0"/>
          <w:u w:val="single"/>
          <w:shd w:val="clear" w:color="auto" w:fill="ffffff"/>
        </w:rPr>
        <w:t xml:space="preserve">（关键工序）</w:t>
      </w:r>
      <w:r>
        <w:rPr>
          <w:rStyle w:val="832"/>
          <w:rFonts w:hint="eastAsia" w:ascii="方正魏碑_GBK" w:hAnsi="方正魏碑_GBK" w:eastAsia="方正魏碑_GBK" w:cs="方正魏碑_GBK"/>
          <w:i w:val="0"/>
          <w:shd w:val="clear" w:color="auto" w:fill="ffffff"/>
          <w:vertAlign w:val="superscript"/>
        </w:rPr>
        <w:t xml:space="preserve">5</w:t>
      </w:r>
      <w:r>
        <w:rPr>
          <w:rFonts w:hint="eastAsia" w:ascii="方正魏碑_GBK" w:hAnsi="方正魏碑_GBK" w:eastAsia="方正魏碑_GBK" w:cs="方正魏碑_GBK"/>
          <w:shd w:val="clear" w:color="auto" w:fill="ffffff"/>
        </w:rPr>
        <w:t xml:space="preserve">在中国境内完成。</w:t>
      </w:r>
      <w:r/>
    </w:p>
    <w:p>
      <w:pPr>
        <w:pStyle w:val="827"/>
        <w:ind w:firstLine="420"/>
        <w:spacing w:before="30" w:beforeAutospacing="0" w:after="30" w:afterAutospacing="0" w:line="360" w:lineRule="auto"/>
        <w:rPr>
          <w:rFonts w:hint="eastAsia" w:ascii="方正魏碑_GBK" w:hAnsi="方正魏碑_GBK" w:eastAsia="方正魏碑_GBK" w:cs="方正魏碑_GBK"/>
        </w:rPr>
      </w:pP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988060</wp:posOffset>
                </wp:positionH>
                <wp:positionV relativeFrom="paragraph">
                  <wp:posOffset>626110</wp:posOffset>
                </wp:positionV>
                <wp:extent cx="908685" cy="140970"/>
                <wp:effectExtent l="635" t="4445" r="5080" b="6985"/>
                <wp:wrapNone/>
                <wp:docPr id="7" name="直接箭头连接符 13"/>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4384;o:allowoverlap:true;o:allowincell:true;mso-position-horizontal-relative:text;margin-left:77.8pt;mso-position-horizontal:absolute;mso-position-vertical-relative:text;margin-top:49.3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2207260</wp:posOffset>
                </wp:positionH>
                <wp:positionV relativeFrom="paragraph">
                  <wp:posOffset>622935</wp:posOffset>
                </wp:positionV>
                <wp:extent cx="821690" cy="102870"/>
                <wp:effectExtent l="635" t="4445" r="15875" b="6985"/>
                <wp:wrapNone/>
                <wp:docPr id="8" name="直接箭头连接符 16"/>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5408;o:allowoverlap:true;o:allowincell:true;mso-position-horizontal-relative:text;margin-left:173.8pt;mso-position-horizontal:absolute;mso-position-vertical-relative:text;margin-top:49.0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4685665</wp:posOffset>
                </wp:positionH>
                <wp:positionV relativeFrom="paragraph">
                  <wp:posOffset>271780</wp:posOffset>
                </wp:positionV>
                <wp:extent cx="462280" cy="147320"/>
                <wp:effectExtent l="1270" t="4445" r="12700" b="19685"/>
                <wp:wrapNone/>
                <wp:docPr id="9" name="直接箭头连接符 1"/>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70528;o:allowoverlap:true;o:allowincell:true;mso-position-horizontal-relative:text;margin-left:368.9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3481070</wp:posOffset>
                </wp:positionH>
                <wp:positionV relativeFrom="paragraph">
                  <wp:posOffset>293370</wp:posOffset>
                </wp:positionV>
                <wp:extent cx="849630" cy="120015"/>
                <wp:effectExtent l="635" t="4445" r="6985" b="8890"/>
                <wp:wrapNone/>
                <wp:docPr id="10"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3360;o:allowoverlap:true;o:allowincell:true;mso-position-horizontal-relative:text;margin-left:274.1pt;mso-position-horizontal:absolute;mso-position-vertical-relative:text;margin-top:23.1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2379980</wp:posOffset>
                </wp:positionH>
                <wp:positionV relativeFrom="paragraph">
                  <wp:posOffset>280035</wp:posOffset>
                </wp:positionV>
                <wp:extent cx="843915" cy="125730"/>
                <wp:effectExtent l="635" t="4445" r="12700" b="22225"/>
                <wp:wrapNone/>
                <wp:docPr id="11" name="直接箭头连接符 12"/>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2336;o:allowoverlap:true;o:allowincell:true;mso-position-horizontal-relative:text;margin-left:187.4pt;mso-position-horizontal:absolute;mso-position-vertical-relative:text;margin-top:22.1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2" name="直接箭头连接符 14"/>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9504;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shd w:val="clear" w:color="auto" w:fill="ffffff"/>
        </w:rPr>
        <w:t xml:space="preserve">2.</w:t>
      </w:r>
      <w:r>
        <w:rPr>
          <w:rStyle w:val="832"/>
          <w:rFonts w:hint="eastAsia" w:ascii="方正魏碑_GBK" w:hAnsi="方正魏碑_GBK" w:eastAsia="方正魏碑_GBK" w:cs="方正魏碑_GBK"/>
          <w:i w:val="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，生产厂为</w:t>
      </w:r>
      <w:r>
        <w:rPr>
          <w:rStyle w:val="832"/>
          <w:rFonts w:hint="eastAsia" w:ascii="方正魏碑_GBK" w:hAnsi="方正魏碑_GBK" w:eastAsia="方正魏碑_GBK" w:cs="方正魏碑_GBK"/>
          <w:i w:val="0"/>
          <w:u w:val="single"/>
          <w:shd w:val="clear" w:color="auto" w:fill="ffffff"/>
        </w:rPr>
        <w:t xml:space="preserve">（厂名）</w:t>
      </w:r>
      <w:r>
        <w:rPr>
          <w:rFonts w:hint="eastAsia" w:ascii="方正魏碑_GBK" w:hAnsi="方正魏碑_GBK" w:eastAsia="方正魏碑_GBK" w:cs="方正魏碑_GBK"/>
          <w:shd w:val="clear" w:color="auto" w:fill="ffffff"/>
        </w:rPr>
        <w:t xml:space="preserve">，厂址为</w:t>
      </w:r>
      <w:r>
        <w:rPr>
          <w:rStyle w:val="832"/>
          <w:rFonts w:hint="eastAsia" w:ascii="方正魏碑_GBK" w:hAnsi="方正魏碑_GBK" w:eastAsia="方正魏碑_GBK" w:cs="方正魏碑_GBK"/>
          <w:i w:val="0"/>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Style w:val="832"/>
          <w:rFonts w:hint="eastAsia" w:ascii="方正魏碑_GBK" w:hAnsi="方正魏碑_GBK" w:eastAsia="方正魏碑_GBK" w:cs="方正魏碑_GBK"/>
          <w:i w:val="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的中国境内生产的组件成本占比≥</w:t>
      </w:r>
      <w:r>
        <w:rPr>
          <w:rStyle w:val="832"/>
          <w:rFonts w:hint="eastAsia" w:ascii="方正魏碑_GBK" w:hAnsi="方正魏碑_GBK" w:eastAsia="方正魏碑_GBK" w:cs="方正魏碑_GBK"/>
          <w:i w:val="0"/>
          <w:u w:val="single"/>
          <w:shd w:val="clear" w:color="auto" w:fill="ffffff"/>
        </w:rPr>
        <w:t xml:space="preserve">（规定</w:t>
      </w:r>
      <w:r>
        <w:rPr>
          <w:rStyle w:val="832"/>
          <w:rFonts w:ascii="方正魏碑_GBK" w:hAnsi="方正魏碑_GBK" w:eastAsia="方正魏碑_GBK" w:cs="方正魏碑_GBK"/>
          <w:i w:val="0"/>
          <w:u w:val="single"/>
          <w:shd w:val="clear" w:color="auto" w:fill="ffffff"/>
        </w:rPr>
        <w:t xml:space="preserve">比例</w:t>
      </w:r>
      <w:r>
        <w:rPr>
          <w:rStyle w:val="832"/>
          <w:rFonts w:hint="eastAsia" w:ascii="方正魏碑_GBK" w:hAnsi="方正魏碑_GBK" w:eastAsia="方正魏碑_GBK" w:cs="方正魏碑_GBK"/>
          <w:i w:val="0"/>
          <w:u w:val="single"/>
          <w:shd w:val="clear" w:color="auto" w:fill="ffffff"/>
        </w:rPr>
        <w:t xml:space="preserve">）</w:t>
      </w:r>
      <w:r>
        <w:rPr>
          <w:rFonts w:hint="eastAsia" w:ascii="方正魏碑_GBK" w:hAnsi="方正魏碑_GBK" w:eastAsia="方正魏碑_GBK" w:cs="方正魏碑_GBK"/>
          <w:shd w:val="clear" w:color="auto" w:fill="ffffff"/>
        </w:rPr>
        <w:t xml:space="preserve">。</w:t>
      </w:r>
      <w:r>
        <w:rPr>
          <w:rStyle w:val="832"/>
          <w:rFonts w:hint="eastAsia" w:ascii="方正魏碑_GBK" w:hAnsi="方正魏碑_GBK" w:eastAsia="方正魏碑_GBK" w:cs="方正魏碑_GBK"/>
          <w:i w:val="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w:t>
      </w:r>
      <w:r>
        <w:rPr>
          <w:rStyle w:val="832"/>
          <w:rFonts w:hint="eastAsia" w:ascii="方正魏碑_GBK" w:hAnsi="方正魏碑_GBK" w:eastAsia="方正魏碑_GBK" w:cs="方正魏碑_GBK"/>
          <w:i w:val="0"/>
          <w:u w:val="single"/>
          <w:shd w:val="clear" w:color="auto" w:fill="ffffff"/>
        </w:rPr>
        <w:t xml:space="preserve">（关键</w:t>
      </w:r>
      <w:r>
        <w:rPr>
          <w:rStyle w:val="832"/>
          <w:rFonts w:ascii="方正魏碑_GBK" w:hAnsi="方正魏碑_GBK" w:eastAsia="方正魏碑_GBK" w:cs="方正魏碑_GBK"/>
          <w:i w:val="0"/>
          <w:u w:val="single"/>
          <w:shd w:val="clear" w:color="auto" w:fill="ffffff"/>
        </w:rPr>
        <w:t xml:space="preserve">组件</w:t>
      </w:r>
      <w:r>
        <w:rPr>
          <w:rStyle w:val="832"/>
          <w:rFonts w:hint="eastAsia" w:ascii="方正魏碑_GBK" w:hAnsi="方正魏碑_GBK" w:eastAsia="方正魏碑_GBK" w:cs="方正魏碑_GBK"/>
          <w:i w:val="0"/>
          <w:u w:val="single"/>
          <w:shd w:val="clear" w:color="auto" w:fill="ffffff"/>
        </w:rPr>
        <w:t xml:space="preserve">）</w:t>
      </w:r>
      <w:r>
        <w:rPr>
          <w:rFonts w:hint="eastAsia" w:ascii="方正魏碑_GBK" w:hAnsi="方正魏碑_GBK" w:eastAsia="方正魏碑_GBK" w:cs="方正魏碑_GBK"/>
          <w:shd w:val="clear" w:color="auto" w:fill="ffffff"/>
        </w:rPr>
        <w:t xml:space="preserve">在中国境内生产。</w:t>
      </w:r>
      <w:r>
        <w:rPr>
          <w:rStyle w:val="832"/>
          <w:rFonts w:hint="eastAsia" w:ascii="方正魏碑_GBK" w:hAnsi="方正魏碑_GBK" w:eastAsia="方正魏碑_GBK" w:cs="方正魏碑_GBK"/>
          <w:i w:val="0"/>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832"/>
          <w:rFonts w:hint="eastAsia" w:ascii="方正魏碑_GBK" w:hAnsi="方正魏碑_GBK" w:eastAsia="方正魏碑_GBK" w:cs="方正魏碑_GBK"/>
          <w:i w:val="0"/>
          <w:u w:val="single"/>
          <w:shd w:val="clear" w:color="auto" w:fill="ffffff"/>
        </w:rPr>
        <w:t xml:space="preserve">（关键工序）</w:t>
      </w:r>
      <w:r>
        <w:rPr>
          <w:rFonts w:hint="eastAsia" w:ascii="方正魏碑_GBK" w:hAnsi="方正魏碑_GBK" w:eastAsia="方正魏碑_GBK" w:cs="方正魏碑_GBK"/>
          <w:shd w:val="clear" w:color="auto" w:fill="ffffff"/>
        </w:rPr>
        <w:t xml:space="preserve">在中国境内完成。</w:t>
      </w:r>
      <w:r/>
    </w:p>
    <w:p>
      <w:pPr>
        <w:pStyle w:val="827"/>
        <w:ind w:firstLine="420"/>
        <w:spacing w:before="30" w:beforeAutospacing="0" w:after="30" w:afterAutospacing="0" w:line="360" w:lineRule="auto"/>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w:t>
      </w:r>
      <w:r/>
    </w:p>
    <w:p>
      <w:pPr>
        <w:pStyle w:val="827"/>
        <w:ind w:firstLine="420"/>
        <w:spacing w:before="30" w:beforeAutospacing="0" w:after="30" w:afterAutospacing="0" w:line="360" w:lineRule="auto"/>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本公司（单位）对上述声明内容的真实性负责。如有虚假，愿承担相应法律责任。</w:t>
      </w:r>
      <w:r/>
    </w:p>
    <w:p>
      <w:pPr>
        <w:pStyle w:val="827"/>
        <w:spacing w:before="30" w:beforeAutospacing="0" w:after="30" w:afterAutospacing="0" w:line="360" w:lineRule="auto"/>
        <w:rPr>
          <w:rFonts w:hint="eastAsia" w:ascii="方正魏碑_GBK" w:hAnsi="方正魏碑_GBK" w:eastAsia="方正魏碑_GBK" w:cs="方正魏碑_GBK"/>
        </w:rPr>
      </w:pPr>
      <w:r>
        <w:rPr>
          <w:rFonts w:hint="eastAsia" w:ascii="方正魏碑_GBK" w:hAnsi="方正魏碑_GBK" w:eastAsia="方正魏碑_GBK" w:cs="方正魏碑_GBK"/>
        </w:rPr>
      </w:r>
      <w:r/>
    </w:p>
    <w:p>
      <w:pPr>
        <w:pStyle w:val="827"/>
        <w:ind w:right="480" w:firstLine="3720"/>
        <w:spacing w:before="30" w:beforeAutospacing="0" w:after="30" w:afterAutospacing="0" w:line="360" w:lineRule="auto"/>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公司（单位）名称（盖章）：　        </w:t>
      </w:r>
      <w:r/>
    </w:p>
    <w:p>
      <w:pPr>
        <w:pStyle w:val="827"/>
        <w:jc w:val="center"/>
        <w:spacing w:before="30" w:beforeAutospacing="0" w:after="30" w:afterAutospacing="0" w:line="360" w:lineRule="auto"/>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                    </w:t>
      </w:r>
      <w:r>
        <w:rPr>
          <w:rFonts w:ascii="方正魏碑_GBK" w:hAnsi="方正魏碑_GBK" w:eastAsia="方正魏碑_GBK" w:cs="方正魏碑_GBK"/>
          <w:shd w:val="clear" w:color="auto" w:fill="ffffff"/>
        </w:rPr>
        <w:t xml:space="preserve">            </w:t>
      </w:r>
      <w:r>
        <w:rPr>
          <w:rFonts w:hint="eastAsia" w:ascii="方正魏碑_GBK" w:hAnsi="方正魏碑_GBK" w:eastAsia="方正魏碑_GBK" w:cs="方正魏碑_GBK"/>
          <w:shd w:val="clear" w:color="auto" w:fill="ffffff"/>
        </w:rPr>
        <w:t xml:space="preserve">日期：　   年　  月　  日         </w:t>
      </w:r>
      <w:r/>
    </w:p>
    <w:p>
      <w:pPr>
        <w:pStyle w:val="827"/>
        <w:spacing w:before="30" w:beforeAutospacing="0" w:after="30" w:afterAutospacing="0" w:line="360" w:lineRule="auto"/>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__________________</w:t>
      </w:r>
      <w:r/>
    </w:p>
    <w:p>
      <w:pPr>
        <w:pStyle w:val="827"/>
        <w:spacing w:before="30" w:beforeAutospacing="0" w:after="30" w:afterAutospacing="0" w:line="360" w:lineRule="auto"/>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1.产品如有型号，请在“产品名称”栏一并填写。</w:t>
      </w:r>
      <w:r/>
    </w:p>
    <w:p>
      <w:pPr>
        <w:pStyle w:val="827"/>
        <w:spacing w:before="30" w:beforeAutospacing="0" w:after="30" w:afterAutospacing="0" w:line="360" w:lineRule="auto"/>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2.生产厂名与厂址应与生产厂营业执照载明的相关信息保持一致。</w:t>
      </w:r>
      <w:r/>
    </w:p>
    <w:p>
      <w:pPr>
        <w:pStyle w:val="827"/>
        <w:spacing w:before="30" w:beforeAutospacing="0" w:after="30" w:afterAutospacing="0" w:line="360" w:lineRule="auto"/>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3.该产品的中国境内生产的组件成本占比相关要求实施前，“规定比例”栏可不填，下同。</w:t>
      </w:r>
      <w:r/>
    </w:p>
    <w:p>
      <w:pPr>
        <w:pStyle w:val="827"/>
        <w:spacing w:before="30" w:beforeAutospacing="0" w:after="30" w:afterAutospacing="0" w:line="360" w:lineRule="auto"/>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4.该产品的关键组件要求实施前，“关键组件”栏可不填，下同。</w:t>
      </w:r>
      <w:r/>
    </w:p>
    <w:p>
      <w:pPr>
        <w:pStyle w:val="827"/>
        <w:spacing w:before="30" w:beforeAutospacing="0" w:after="30" w:afterAutospacing="0" w:line="360" w:lineRule="auto"/>
        <w:rPr>
          <w:rFonts w:hint="eastAsia"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5.该产品的关键工序要求实施前，“关键工序”栏可不填，下同。</w:t>
      </w:r>
      <w:r/>
    </w:p>
    <w:p>
      <w:pPr>
        <w:pStyle w:val="827"/>
        <w:spacing w:before="30" w:beforeAutospacing="0" w:after="30" w:afterAutospacing="0" w:line="360" w:lineRule="auto"/>
        <w:rPr>
          <w:rFonts w:hint="eastAsia"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6.用斜线划除的地方无需填写。</w:t>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numPr>
          <w:ilvl w:val="0"/>
          <w:numId w:val="20"/>
        </w:numPr>
        <w:jc w:val="center"/>
        <w:rPr>
          <w:rFonts w:hint="eastAsia" w:asciiTheme="minorEastAsia" w:hAnsiTheme="minorEastAsia" w:eastAsiaTheme="minorEastAsia" w:cstheme="minorEastAsia"/>
          <w:b/>
          <w:i/>
          <w:sz w:val="32"/>
          <w:szCs w:val="32"/>
          <w:u w:val="single"/>
        </w:rPr>
      </w:pPr>
      <w:r>
        <w:rPr>
          <w:rFonts w:hint="eastAsia" w:asciiTheme="minorEastAsia" w:hAnsiTheme="minorEastAsia" w:eastAsiaTheme="minorEastAsia" w:cstheme="minorEastAsia"/>
          <w:b/>
          <w:i/>
          <w:sz w:val="32"/>
          <w:szCs w:val="32"/>
          <w:u w:val="single"/>
        </w:rPr>
        <w:t xml:space="preserve">投标分项报价表（分包号：）</w:t>
      </w:r>
      <w:r/>
    </w:p>
    <w:p>
      <w:pPr>
        <w:pStyle w:val="810"/>
        <w:ind w:firstLine="0"/>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bl>
      <w:tblPr>
        <w:tblStyle w:val="806"/>
        <w:tblW w:w="9263"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1106"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5</w:t>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6</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7</w:t>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8</w:t>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9</w:t>
            </w:r>
            <w:r/>
          </w:p>
        </w:tc>
      </w:tr>
      <w:tr>
        <w:trPr>
          <w:cantSplit/>
          <w:trHeight w:val="294"/>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产品</w:t>
            </w:r>
            <w:r/>
          </w:p>
          <w:p>
            <w:pPr>
              <w:jc w:val="center"/>
              <w:spacing w:line="0" w:lineRule="atLeast"/>
              <w:rPr>
                <w:rFonts w:hint="eastAsia" w:ascii="宋体" w:hAnsi="宋体"/>
                <w:sz w:val="24"/>
                <w:szCs w:val="24"/>
              </w:rPr>
            </w:pPr>
            <w:r>
              <w:rPr>
                <w:rFonts w:hint="eastAsia" w:ascii="宋体" w:hAnsi="宋体"/>
                <w:sz w:val="24"/>
                <w:szCs w:val="24"/>
              </w:rPr>
              <w:t xml:space="preserve">名称</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品牌</w:t>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规格</w:t>
            </w:r>
            <w:r/>
          </w:p>
          <w:p>
            <w:pPr>
              <w:jc w:val="center"/>
              <w:spacing w:line="0" w:lineRule="atLeast"/>
              <w:rPr>
                <w:rFonts w:hint="eastAsia" w:ascii="宋体" w:hAnsi="宋体"/>
                <w:sz w:val="24"/>
                <w:szCs w:val="24"/>
              </w:rPr>
            </w:pPr>
            <w:r>
              <w:rPr>
                <w:rFonts w:hint="eastAsia" w:ascii="宋体" w:hAnsi="宋体"/>
                <w:sz w:val="24"/>
                <w:szCs w:val="24"/>
              </w:rPr>
              <w:t xml:space="preserve">型号</w:t>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制造商名称</w:t>
            </w:r>
            <w:r/>
          </w:p>
        </w:tc>
        <w:tc>
          <w:tcPr>
            <w:tcW w:w="110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产地</w:t>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交付期</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单价</w:t>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96"/>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724"/>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40"/>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580"/>
        </w:trPr>
        <w:tc>
          <w:tcPr>
            <w:tcW w:w="500"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728"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434"/>
        </w:trPr>
        <w:tc>
          <w:tcPr>
            <w:gridSpan w:val="10"/>
            <w:tcW w:w="9263" w:type="dxa"/>
            <w:textDirection w:val="lrTb"/>
            <w:noWrap w:val="false"/>
          </w:tcPr>
          <w:p>
            <w:pPr>
              <w:rPr>
                <w:rFonts w:hint="eastAsia" w:ascii="宋体" w:hAnsi="宋体"/>
                <w:sz w:val="24"/>
                <w:szCs w:val="24"/>
                <w:u w:val="single"/>
              </w:rPr>
            </w:pPr>
            <w:r>
              <w:rPr>
                <w:rFonts w:hint="eastAsia" w:ascii="宋体" w:hAnsi="宋体"/>
                <w:sz w:val="24"/>
                <w:szCs w:val="24"/>
              </w:rPr>
              <w:t xml:space="preserve">投标总报价（人民币：元）</w:t>
            </w:r>
            <w:r>
              <w:rPr>
                <w:rFonts w:hint="eastAsia" w:ascii="宋体" w:hAnsi="宋体"/>
                <w:sz w:val="24"/>
                <w:szCs w:val="24"/>
                <w:u w:val="single"/>
              </w:rPr>
              <w:t xml:space="preserve">                             </w:t>
            </w:r>
            <w:r/>
          </w:p>
        </w:tc>
      </w:tr>
      <w:tr>
        <w:trPr>
          <w:cantSplit/>
          <w:trHeight w:val="767"/>
        </w:trPr>
        <w:tc>
          <w:tcPr>
            <w:gridSpan w:val="10"/>
            <w:tcW w:w="9263" w:type="dxa"/>
            <w:textDirection w:val="lrTb"/>
            <w:noWrap w:val="false"/>
          </w:tcPr>
          <w:p>
            <w:pPr>
              <w:pStyle w:val="827"/>
              <w:spacing w:beforeAutospacing="0" w:afterAutospacing="0" w:line="0" w:lineRule="atLeast"/>
            </w:pPr>
            <w:r>
              <w:rPr>
                <w:rFonts w:hint="eastAsia" w:ascii="方正魏碑_GBK" w:hAnsi="方正魏碑_GBK" w:eastAsia="方正魏碑_GBK" w:cs="方正魏碑_GBK"/>
                <w:szCs w:val="24"/>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szCs w:val="24"/>
                <w:u w:val="single"/>
              </w:rPr>
              <w:t xml:space="preserve">***</w:t>
            </w:r>
            <w:r>
              <w:rPr>
                <w:rFonts w:hint="eastAsia" w:ascii="方正魏碑_GBK" w:hAnsi="方正魏碑_GBK" w:eastAsia="方正魏碑_GBK" w:cs="方正魏碑_GBK"/>
                <w:szCs w:val="24"/>
              </w:rPr>
              <w:t xml:space="preserve">%。</w:t>
            </w:r>
            <w:r/>
          </w:p>
        </w:tc>
      </w:tr>
    </w:tbl>
    <w:p>
      <w:pPr>
        <w:pStyle w:val="810"/>
        <w:ind w:firstLine="0"/>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备注：</w:t>
      </w:r>
      <w:r/>
    </w:p>
    <w:p>
      <w:pP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2.“投标分项报价表”中“投标总报价”数额应当与“开标一览表”中“投标总报价”数额一致。</w:t>
      </w:r>
      <w:r/>
    </w:p>
    <w:p>
      <w:pP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00" w:lineRule="exact"/>
        <w:rPr>
          <w:rFonts w:hint="eastAsia" w:asciiTheme="minorEastAsia" w:hAnsiTheme="minorEastAsia" w:eastAsiaTheme="minorEastAsia" w:cstheme="minorEastAsia"/>
          <w:b/>
          <w:i/>
          <w:iCs/>
          <w:sz w:val="24"/>
          <w:szCs w:val="24"/>
          <w:u w:val="single"/>
        </w:rPr>
      </w:pPr>
      <w:r>
        <w:rPr>
          <w:rFonts w:hint="eastAsia" w:asciiTheme="minorEastAsia" w:hAnsiTheme="minorEastAsia" w:eastAsiaTheme="minorEastAsia" w:cstheme="minorEastAsia"/>
          <w:b/>
          <w:i/>
          <w:iCs/>
          <w:sz w:val="24"/>
          <w:szCs w:val="24"/>
          <w:u w:val="single"/>
        </w:rPr>
        <w:t xml:space="preserve">4.投标人需认真填写本报价表，尤其注意规格型号的准确填写。</w:t>
      </w:r>
      <w:r/>
    </w:p>
    <w:p>
      <w:pPr>
        <w:spacing w:line="400" w:lineRule="exact"/>
        <w:rPr>
          <w:rFonts w:hint="eastAsia" w:asciiTheme="minorEastAsia" w:hAnsiTheme="minorEastAsia" w:eastAsiaTheme="minorEastAsia" w:cstheme="minorEastAsia"/>
          <w:b/>
          <w:i/>
          <w:iCs/>
          <w:sz w:val="24"/>
          <w:szCs w:val="24"/>
          <w:u w:val="single"/>
        </w:rPr>
      </w:pPr>
      <w:r>
        <w:rPr>
          <w:rFonts w:hint="eastAsia" w:asciiTheme="minorEastAsia" w:hAnsiTheme="minorEastAsia" w:eastAsiaTheme="minorEastAsia" w:cstheme="minorEastAsia"/>
          <w:b/>
          <w:i/>
          <w:iCs/>
          <w:sz w:val="24"/>
          <w:szCs w:val="24"/>
          <w:u w:val="single"/>
        </w:rPr>
      </w:r>
      <w:r/>
    </w:p>
    <w:p>
      <w:pPr>
        <w:spacing w:line="400" w:lineRule="exact"/>
        <w:rPr>
          <w:rFonts w:hint="eastAsia" w:ascii="方正魏碑_GBK" w:hAnsi="方正魏碑_GBK" w:eastAsia="方正魏碑_GBK" w:cs="方正魏碑_GBK"/>
          <w:color w:val="ff0000"/>
          <w:sz w:val="24"/>
          <w:szCs w:val="24"/>
        </w:rPr>
      </w:pPr>
      <w:r>
        <w:rPr>
          <w:rFonts w:hint="eastAsia" w:ascii="方正魏碑_GBK" w:hAnsi="方正魏碑_GBK" w:eastAsia="方正魏碑_GBK" w:cs="方正魏碑_GBK"/>
          <w:color w:val="ff0000"/>
          <w:sz w:val="24"/>
          <w:szCs w:val="24"/>
          <w:lang w:val="en-US" w:eastAsia="zh-CN"/>
        </w:rPr>
        <w:t xml:space="preserve">5.</w:t>
      </w:r>
      <w:r>
        <w:rPr>
          <w:rFonts w:hint="eastAsia" w:ascii="方正魏碑_GBK" w:hAnsi="方正魏碑_GBK" w:eastAsia="方正魏碑_GBK" w:cs="方正魏碑_GBK"/>
          <w:color w:val="ff0000"/>
          <w:sz w:val="24"/>
          <w:szCs w:val="24"/>
        </w:rPr>
        <w:t xml:space="preserve">投标时应根据所有单位的基本要求汇总表提供采购包的总的报价表，同时根据附件中各单位的采购清单提供各个单位的报价表。</w:t>
      </w:r>
      <w:r/>
    </w:p>
    <w:p>
      <w:pPr>
        <w:jc w:val="center"/>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jc w:val="center"/>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jc w:val="center"/>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jc w:val="center"/>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numPr>
          <w:ilvl w:val="0"/>
          <w:numId w:val="20"/>
        </w:numPr>
        <w:jc w:val="center"/>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 xml:space="preserve">技术要求响应及偏离表（分包号：）</w:t>
      </w:r>
      <w:r/>
    </w:p>
    <w:p>
      <w:pPr>
        <w:pStyle w:val="810"/>
        <w:ind w:firstLine="0"/>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bl>
      <w:tblPr>
        <w:tblStyle w:val="80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714"/>
        <w:gridCol w:w="1527"/>
        <w:gridCol w:w="1092"/>
      </w:tblGrid>
      <w:tr>
        <w:trPr>
          <w:cantSplit/>
        </w:trPr>
        <w:tc>
          <w:tcPr>
            <w:gridSpan w:val="5"/>
            <w:tcW w:w="9169" w:type="dxa"/>
            <w:vAlign w:val="center"/>
            <w:textDirection w:val="lrTb"/>
            <w:noWrap w:val="false"/>
          </w:tcPr>
          <w:p>
            <w:pPr>
              <w:jc w:val="lef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对本项目技术要求条款的偏离情况（请进行勾选）：</w:t>
            </w:r>
            <w:r/>
          </w:p>
          <w:p>
            <w:pPr>
              <w:jc w:val="lef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□无偏离</w:t>
            </w:r>
            <w:r>
              <w:rPr>
                <w:rFonts w:hint="eastAsia" w:asciiTheme="minorEastAsia" w:hAnsiTheme="minorEastAsia" w:eastAsiaTheme="minorEastAsia" w:cstheme="minorEastAsia"/>
                <w:sz w:val="24"/>
              </w:rPr>
              <w:t xml:space="preserve">（如无偏离，仅勾选无偏离即可）</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rPr>
              <w:t xml:space="preserve">□有偏离</w:t>
            </w:r>
            <w:r>
              <w:rPr>
                <w:rFonts w:hint="eastAsia" w:asciiTheme="minorEastAsia" w:hAnsiTheme="minorEastAsia" w:eastAsiaTheme="minorEastAsia" w:cstheme="minorEastAsia"/>
                <w:sz w:val="24"/>
              </w:rPr>
              <w:t xml:space="preserve">（如有超出或者偏离，则须在本表中对超出或者偏离项逐一列明）</w:t>
            </w:r>
            <w:r/>
          </w:p>
        </w:tc>
      </w:tr>
      <w:tr>
        <w:trPr>
          <w:cantSplit/>
        </w:trPr>
        <w:tc>
          <w:tcPr>
            <w:tcW w:w="545"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序号</w:t>
            </w:r>
            <w:r/>
          </w:p>
        </w:tc>
        <w:tc>
          <w:tcPr>
            <w:tcW w:w="3291"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招标文件要求</w:t>
            </w:r>
            <w:r/>
          </w:p>
        </w:tc>
        <w:tc>
          <w:tcPr>
            <w:tcW w:w="2714"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投标响应情况</w:t>
            </w:r>
            <w:r/>
          </w:p>
        </w:tc>
        <w:tc>
          <w:tcPr>
            <w:tcW w:w="1527"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超出、符合</w:t>
            </w:r>
            <w:r/>
          </w:p>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或偏离</w:t>
            </w:r>
            <w:r/>
          </w:p>
        </w:tc>
        <w:tc>
          <w:tcPr>
            <w:tcW w:w="1092"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证明</w:t>
            </w:r>
            <w:r/>
          </w:p>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材料</w:t>
            </w:r>
            <w:r/>
          </w:p>
        </w:tc>
      </w:tr>
      <w:tr>
        <w:trPr>
          <w:cantSplit/>
          <w:trHeight w:val="640"/>
        </w:trPr>
        <w:tc>
          <w:tcPr>
            <w:tcW w:w="54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29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714"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527"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092"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29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714"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527"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092"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29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714"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527"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092"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29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714"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527"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092"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29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714"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527"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092"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29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714"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527"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092"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29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714"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527"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092"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29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w:t>
            </w:r>
            <w:r/>
          </w:p>
        </w:tc>
        <w:tc>
          <w:tcPr>
            <w:tcW w:w="2714"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527"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092"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技术要求响应及偏离表附件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numPr>
          <w:ilvl w:val="0"/>
          <w:numId w:val="21"/>
        </w:numP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行数不够，可自行添加。</w:t>
      </w:r>
      <w:r/>
    </w:p>
    <w:p>
      <w:pPr>
        <w:numPr>
          <w:ilvl w:val="0"/>
          <w:numId w:val="21"/>
        </w:numPr>
        <w:spacing w:line="400" w:lineRule="exact"/>
        <w:rPr>
          <w:rFonts w:hint="eastAsia" w:ascii="宋体" w:hAnsi="宋体"/>
          <w:sz w:val="24"/>
          <w:szCs w:val="24"/>
        </w:rPr>
      </w:pPr>
      <w:r>
        <w:rPr>
          <w:rFonts w:hint="eastAsia" w:ascii="宋体" w:hAnsi="宋体" w:cs="宋体"/>
          <w:sz w:val="24"/>
          <w:szCs w:val="24"/>
        </w:rPr>
        <w:t xml:space="preserve">投标人需对招标文件技术要求中非实质性要求（</w:t>
      </w:r>
      <w:r>
        <w:rPr>
          <w:rFonts w:hint="eastAsia" w:ascii="宋体" w:hAnsi="宋体" w:cs="宋体"/>
          <w:b/>
          <w:sz w:val="24"/>
          <w:szCs w:val="24"/>
        </w:rPr>
        <w:t xml:space="preserve">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numPr>
          <w:ilvl w:val="0"/>
          <w:numId w:val="21"/>
        </w:numPr>
        <w:spacing w:line="400" w:lineRule="exact"/>
        <w:rPr>
          <w:rFonts w:hint="eastAsia" w:asciiTheme="minorEastAsia" w:hAnsiTheme="minorEastAsia" w:eastAsiaTheme="minorEastAsia" w:cstheme="minorEastAsia"/>
          <w:sz w:val="24"/>
          <w:szCs w:val="24"/>
        </w:rPr>
      </w:pPr>
      <w:r>
        <w:rPr>
          <w:rFonts w:hint="eastAsia" w:ascii="宋体" w:hAnsi="宋体"/>
          <w:sz w:val="24"/>
          <w:szCs w:val="24"/>
        </w:rPr>
        <w:t xml:space="preserve">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numPr>
          <w:ilvl w:val="0"/>
          <w:numId w:val="21"/>
        </w:numP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为便于评审，投标人在偏离表中逐条列出相关技术参数证明材料所在页码。</w:t>
      </w:r>
      <w:r/>
    </w:p>
    <w:p>
      <w:pPr>
        <w:jc w:val="center"/>
        <w:rPr>
          <w:rFonts w:hint="eastAsia" w:asciiTheme="minorEastAsia" w:hAnsiTheme="minorEastAsia" w:eastAsiaTheme="minorEastAsia" w:cstheme="minorEastAsia"/>
          <w:b/>
          <w:sz w:val="36"/>
        </w:rPr>
      </w:pPr>
      <w:r>
        <w:rPr>
          <w:rFonts w:hint="eastAsia" w:asciiTheme="minorEastAsia" w:hAnsiTheme="minorEastAsia" w:eastAsiaTheme="minorEastAsia" w:cstheme="minorEastAsia"/>
          <w:b/>
          <w:sz w:val="36"/>
        </w:rPr>
      </w:r>
      <w:r/>
    </w:p>
    <w:p>
      <w:pPr>
        <w:jc w:val="center"/>
        <w:rPr>
          <w:rFonts w:hint="eastAsia" w:asciiTheme="minorEastAsia" w:hAnsiTheme="minorEastAsia" w:eastAsiaTheme="minorEastAsia" w:cstheme="minorEastAsia"/>
          <w:b/>
          <w:sz w:val="36"/>
        </w:rPr>
      </w:pPr>
      <w:r>
        <w:rPr>
          <w:rFonts w:hint="eastAsia" w:asciiTheme="minorEastAsia" w:hAnsiTheme="minorEastAsia" w:eastAsiaTheme="minorEastAsia" w:cstheme="minorEastAsia"/>
          <w:b/>
          <w:sz w:val="36"/>
        </w:rPr>
      </w:r>
      <w:r/>
    </w:p>
    <w:p>
      <w:pPr>
        <w:jc w:val="center"/>
        <w:rPr>
          <w:rFonts w:hint="eastAsia" w:asciiTheme="minorEastAsia" w:hAnsiTheme="minorEastAsia" w:eastAsiaTheme="minorEastAsia" w:cstheme="minorEastAsia"/>
          <w:b/>
          <w:sz w:val="36"/>
        </w:rPr>
      </w:pPr>
      <w:r>
        <w:rPr>
          <w:rFonts w:hint="eastAsia" w:asciiTheme="minorEastAsia" w:hAnsiTheme="minorEastAsia" w:eastAsiaTheme="minorEastAsia" w:cstheme="minorEastAsia"/>
          <w:b/>
          <w:sz w:val="36"/>
        </w:rPr>
      </w:r>
      <w:r/>
    </w:p>
    <w:p>
      <w:pPr>
        <w:jc w:val="center"/>
        <w:rPr>
          <w:rFonts w:hint="eastAsia" w:asciiTheme="minorEastAsia" w:hAnsiTheme="minorEastAsia" w:eastAsiaTheme="minorEastAsia" w:cstheme="minorEastAsia"/>
          <w:b/>
          <w:sz w:val="36"/>
        </w:rPr>
      </w:pPr>
      <w:r>
        <w:rPr>
          <w:rFonts w:hint="eastAsia" w:asciiTheme="minorEastAsia" w:hAnsiTheme="minorEastAsia" w:eastAsiaTheme="minorEastAsia" w:cstheme="minorEastAsia"/>
          <w:b/>
          <w:sz w:val="36"/>
        </w:rPr>
      </w:r>
      <w:r/>
    </w:p>
    <w:p>
      <w:pPr>
        <w:rPr>
          <w:rFonts w:hint="eastAsia" w:asciiTheme="minorEastAsia" w:hAnsiTheme="minorEastAsia" w:eastAsiaTheme="minorEastAsia" w:cstheme="minorEastAsia"/>
          <w:sz w:val="32"/>
        </w:rPr>
      </w:pPr>
      <w:r>
        <w:rPr>
          <w:rFonts w:hint="eastAsia" w:asciiTheme="minorEastAsia" w:hAnsiTheme="minorEastAsia" w:eastAsiaTheme="minorEastAsia" w:cstheme="minorEastAsia"/>
          <w:sz w:val="32"/>
        </w:rPr>
      </w:r>
      <w:r/>
    </w:p>
    <w:p>
      <w:pPr>
        <w:rPr>
          <w:rFonts w:hint="eastAsia" w:asciiTheme="minorEastAsia" w:hAnsiTheme="minorEastAsia" w:eastAsiaTheme="minorEastAsia" w:cstheme="minorEastAsia"/>
          <w:sz w:val="32"/>
        </w:rPr>
      </w:pPr>
      <w:r>
        <w:rPr>
          <w:rFonts w:hint="eastAsia" w:asciiTheme="minorEastAsia" w:hAnsiTheme="minorEastAsia" w:eastAsiaTheme="minorEastAsia" w:cstheme="minorEastAsia"/>
          <w:sz w:val="32"/>
        </w:rPr>
      </w:r>
      <w:r/>
    </w:p>
    <w:p>
      <w:pP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rPr>
          <w:rFonts w:hint="eastAsia" w:asciiTheme="minorEastAsia" w:hAnsiTheme="minorEastAsia" w:eastAsiaTheme="minorEastAsia" w:cstheme="minorEastAsia"/>
          <w:sz w:val="32"/>
        </w:rPr>
      </w:pPr>
      <w:r>
        <w:rPr>
          <w:rFonts w:hint="eastAsia" w:asciiTheme="minorEastAsia" w:hAnsiTheme="minorEastAsia" w:eastAsiaTheme="minorEastAsia" w:cstheme="minorEastAsia"/>
          <w:sz w:val="32"/>
        </w:rPr>
      </w:r>
      <w:bookmarkEnd w:id="206"/>
      <w:r/>
      <w:r/>
    </w:p>
    <w:p>
      <w:pPr>
        <w:numPr>
          <w:ilvl w:val="0"/>
          <w:numId w:val="20"/>
        </w:numPr>
        <w:jc w:val="center"/>
        <w:rPr>
          <w:rFonts w:hint="eastAsia" w:asciiTheme="minorEastAsia" w:hAnsiTheme="minorEastAsia" w:eastAsiaTheme="minorEastAsia" w:cstheme="minorEastAsia"/>
          <w:b/>
          <w:sz w:val="32"/>
          <w:szCs w:val="32"/>
        </w:rPr>
      </w:pPr>
      <w:r/>
      <w:bookmarkStart w:id="210" w:name="_Hlt26955054"/>
      <w:r/>
      <w:bookmarkEnd w:id="210"/>
      <w:r>
        <w:rPr>
          <w:rFonts w:hint="eastAsia" w:asciiTheme="minorEastAsia" w:hAnsiTheme="minorEastAsia" w:eastAsiaTheme="minorEastAsia" w:cstheme="minorEastAsia"/>
          <w:b/>
          <w:sz w:val="32"/>
          <w:szCs w:val="32"/>
        </w:rPr>
        <w:t xml:space="preserve">合同及商务条款偏离表（分包号：）</w:t>
      </w:r>
      <w:r/>
    </w:p>
    <w:p>
      <w:pPr>
        <w:pStyle w:val="810"/>
        <w:ind w:firstLine="0"/>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bl>
      <w:tblPr>
        <w:tblStyle w:val="80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416"/>
        <w:gridCol w:w="1065"/>
      </w:tblGrid>
      <w:tr>
        <w:trPr>
          <w:cantSplit/>
        </w:trPr>
        <w:tc>
          <w:tcPr>
            <w:gridSpan w:val="5"/>
            <w:tcW w:w="9169" w:type="dxa"/>
            <w:vAlign w:val="center"/>
            <w:textDirection w:val="lrTb"/>
            <w:noWrap w:val="false"/>
          </w:tcPr>
          <w:p>
            <w:pPr>
              <w:jc w:val="left"/>
              <w:rPr>
                <w:rFonts w:hint="eastAsia" w:asciiTheme="minorEastAsia" w:hAnsiTheme="minorEastAsia" w:eastAsiaTheme="minorEastAsia" w:cstheme="minorEastAsia"/>
                <w:b/>
                <w:sz w:val="24"/>
              </w:rPr>
            </w:pPr>
            <w:r/>
            <w:bookmarkStart w:id="211" w:name="_Hlt26955056"/>
            <w:r/>
            <w:bookmarkEnd w:id="211"/>
            <w:r/>
            <w:bookmarkStart w:id="212" w:name="_Hlt26671343"/>
            <w:r/>
            <w:bookmarkEnd w:id="212"/>
            <w:r/>
            <w:bookmarkStart w:id="213" w:name="_Hlt24879081"/>
            <w:r/>
            <w:bookmarkEnd w:id="213"/>
            <w:r/>
            <w:bookmarkStart w:id="214" w:name="_Hlt26782999"/>
            <w:r/>
            <w:bookmarkEnd w:id="214"/>
            <w:r/>
            <w:bookmarkStart w:id="215" w:name="_Hlt26955064"/>
            <w:r/>
            <w:bookmarkEnd w:id="215"/>
            <w:r/>
            <w:bookmarkStart w:id="216" w:name="_Hlt26580838"/>
            <w:r/>
            <w:bookmarkEnd w:id="216"/>
            <w:r/>
            <w:bookmarkStart w:id="217" w:name="_Hlt26671372"/>
            <w:r/>
            <w:bookmarkEnd w:id="217"/>
            <w:r/>
            <w:bookmarkStart w:id="218" w:name="_Hlt26609391"/>
            <w:r/>
            <w:bookmarkEnd w:id="218"/>
            <w:r>
              <w:rPr>
                <w:rFonts w:hint="eastAsia" w:asciiTheme="minorEastAsia" w:hAnsiTheme="minorEastAsia" w:eastAsiaTheme="minorEastAsia" w:cstheme="minorEastAsia"/>
                <w:b/>
                <w:sz w:val="24"/>
              </w:rPr>
              <w:t xml:space="preserve">对本项目商务要求条款的偏离情况（请进行勾选）：</w:t>
            </w:r>
            <w:r/>
          </w:p>
          <w:p>
            <w:pPr>
              <w:jc w:val="lef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□无偏离</w:t>
            </w:r>
            <w:r>
              <w:rPr>
                <w:rFonts w:hint="eastAsia" w:asciiTheme="minorEastAsia" w:hAnsiTheme="minorEastAsia" w:eastAsiaTheme="minorEastAsia" w:cstheme="minorEastAsia"/>
                <w:sz w:val="24"/>
              </w:rPr>
              <w:t xml:space="preserve">（如无偏离，仅勾选无偏离即可）</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rPr>
              <w:t xml:space="preserve">□有偏离</w:t>
            </w:r>
            <w:r>
              <w:rPr>
                <w:rFonts w:hint="eastAsia" w:asciiTheme="minorEastAsia" w:hAnsiTheme="minorEastAsia" w:eastAsiaTheme="minorEastAsia" w:cstheme="minorEastAsia"/>
                <w:sz w:val="24"/>
              </w:rPr>
              <w:t xml:space="preserve">（如有超出或者偏离，则须在本表中对超出或者偏离项逐一列明）</w:t>
            </w:r>
            <w:r/>
          </w:p>
        </w:tc>
      </w:tr>
      <w:tr>
        <w:trPr>
          <w:cantSplit/>
        </w:trPr>
        <w:tc>
          <w:tcPr>
            <w:tcW w:w="545"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序号</w:t>
            </w:r>
            <w:r/>
          </w:p>
        </w:tc>
        <w:tc>
          <w:tcPr>
            <w:tcW w:w="3291"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招标文件要求</w:t>
            </w:r>
            <w:r/>
          </w:p>
        </w:tc>
        <w:tc>
          <w:tcPr>
            <w:tcW w:w="2852"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投标响应情况</w:t>
            </w:r>
            <w:r/>
          </w:p>
        </w:tc>
        <w:tc>
          <w:tcPr>
            <w:tcW w:w="1416"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超出、符合</w:t>
            </w:r>
            <w:r/>
          </w:p>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或偏离</w:t>
            </w:r>
            <w:r/>
          </w:p>
        </w:tc>
        <w:tc>
          <w:tcPr>
            <w:tcW w:w="1065"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证明</w:t>
            </w:r>
            <w:r/>
          </w:p>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材料</w:t>
            </w:r>
            <w:r/>
          </w:p>
        </w:tc>
      </w:tr>
      <w:tr>
        <w:trPr>
          <w:cantSplit/>
          <w:trHeight w:val="640"/>
        </w:trPr>
        <w:tc>
          <w:tcPr>
            <w:tcW w:w="54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29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852"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41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06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29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852"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41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06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29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852"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41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06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29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852"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41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06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29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852"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41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06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29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852"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41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06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29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852"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41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06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29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w:t>
            </w:r>
            <w:r/>
          </w:p>
        </w:tc>
        <w:tc>
          <w:tcPr>
            <w:tcW w:w="2852"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41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06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合同及商务条款偏离表附件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numPr>
          <w:ilvl w:val="0"/>
          <w:numId w:val="21"/>
        </w:numP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行数不够，可自行添加。</w:t>
      </w:r>
      <w:r/>
    </w:p>
    <w:p>
      <w:pPr>
        <w:numPr>
          <w:ilvl w:val="0"/>
          <w:numId w:val="21"/>
        </w:numPr>
        <w:spacing w:line="400" w:lineRule="exact"/>
        <w:rPr>
          <w:rFonts w:hint="eastAsia" w:ascii="宋体" w:hAnsi="宋体"/>
          <w:sz w:val="24"/>
          <w:szCs w:val="24"/>
        </w:rPr>
      </w:pPr>
      <w:r>
        <w:rPr>
          <w:rFonts w:hint="eastAsia" w:ascii="宋体" w:hAnsi="宋体" w:cs="宋体"/>
          <w:sz w:val="24"/>
          <w:szCs w:val="24"/>
        </w:rPr>
        <w:t xml:space="preserve">投标人需对招标文件技术要求中非实质性要求（</w:t>
      </w:r>
      <w:r>
        <w:rPr>
          <w:rFonts w:hint="eastAsia" w:ascii="宋体" w:hAnsi="宋体" w:cs="宋体"/>
          <w:b/>
          <w:sz w:val="24"/>
          <w:szCs w:val="24"/>
        </w:rPr>
        <w:t xml:space="preserve">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3.如果招标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8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spacing w:line="480" w:lineRule="auto"/>
        <w:rPr>
          <w:rFonts w:hint="eastAsia" w:asciiTheme="minorEastAsia" w:hAnsiTheme="minorEastAsia" w:eastAsiaTheme="minorEastAsia" w:cstheme="minorEastAsia"/>
          <w:sz w:val="30"/>
        </w:rPr>
      </w:pPr>
      <w:r>
        <w:rPr>
          <w:rFonts w:hint="eastAsia" w:asciiTheme="minorEastAsia" w:hAnsiTheme="minorEastAsia" w:eastAsiaTheme="minorEastAsia" w:cstheme="minorEastAsia"/>
          <w:sz w:val="30"/>
        </w:rPr>
      </w:r>
      <w:r/>
    </w:p>
    <w:p>
      <w:pPr>
        <w:pStyle w:val="1001"/>
        <w:ind w:firstLine="0"/>
        <w:rPr>
          <w:rFonts w:hint="eastAsia" w:asciiTheme="minorEastAsia" w:hAnsiTheme="minorEastAsia" w:eastAsiaTheme="minorEastAsia" w:cstheme="minorEastAsia"/>
          <w:sz w:val="24"/>
        </w:rPr>
      </w:pPr>
      <w:r/>
      <w:bookmarkStart w:id="219" w:name="_Hlt26671374"/>
      <w:r/>
      <w:bookmarkEnd w:id="219"/>
      <w:r/>
      <w:bookmarkStart w:id="220" w:name="_Hlt26955066"/>
      <w:r/>
      <w:bookmarkEnd w:id="220"/>
      <w:r/>
      <w:bookmarkStart w:id="221" w:name="_Hlt26609389"/>
      <w:r/>
      <w:bookmarkEnd w:id="221"/>
      <w:r/>
      <w:bookmarkStart w:id="222" w:name="_Toc462564146"/>
      <w:r/>
      <w:bookmarkEnd w:id="195"/>
      <w:r/>
      <w:bookmarkEnd w:id="196"/>
      <w:r/>
      <w:bookmarkEnd w:id="222"/>
      <w:r/>
      <w:r/>
    </w:p>
    <w:p>
      <w:pPr>
        <w:jc w:val="center"/>
        <w:rPr>
          <w:rFonts w:hint="eastAsia" w:asciiTheme="minorEastAsia" w:hAnsiTheme="minorEastAsia" w:eastAsiaTheme="minorEastAsia" w:cstheme="minorEastAsia"/>
          <w:b/>
          <w:sz w:val="32"/>
          <w:szCs w:val="32"/>
        </w:rPr>
      </w:pPr>
      <w:r/>
      <w:bookmarkStart w:id="223" w:name="_格式2__法定代表人授权书"/>
      <w:r/>
      <w:bookmarkEnd w:id="223"/>
      <w:r/>
      <w:r/>
    </w:p>
    <w:p>
      <w:pPr>
        <w:jc w:val="center"/>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jc w:val="center"/>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b/>
          <w:i/>
          <w:sz w:val="32"/>
          <w:szCs w:val="32"/>
          <w:u w:val="single"/>
        </w:rPr>
        <w:t xml:space="preserve">十三、开标一览表</w:t>
      </w:r>
      <w:r/>
    </w:p>
    <w:p>
      <w:pPr>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投标人全称（加盖CA电子签章）：</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项目名称：</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招标编号：                                   分包号：</w:t>
      </w:r>
      <w:r/>
    </w:p>
    <w:tbl>
      <w:tblPr>
        <w:tblStyle w:val="80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投标总报价</w:t>
            </w:r>
            <w:r/>
          </w:p>
        </w:tc>
      </w:tr>
      <w:tr>
        <w:trPr>
          <w:cantSplit/>
          <w:trHeight w:val="612"/>
        </w:trPr>
        <w:tc>
          <w:tcPr>
            <w:gridSpan w:val="2"/>
            <w:tcW w:w="8886" w:type="dxa"/>
            <w:vAlign w:val="center"/>
            <w:textDirection w:val="lrTb"/>
            <w:noWrap w:val="false"/>
          </w:tcPr>
          <w:p>
            <w:pPr>
              <w:jc w:val="left"/>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szCs w:val="24"/>
              </w:rPr>
              <w:t xml:space="preserve">小写：                             （人民币：元）</w:t>
            </w:r>
            <w:r/>
          </w:p>
        </w:tc>
      </w:tr>
      <w:tr>
        <w:trPr>
          <w:cantSplit/>
          <w:trHeight w:val="612"/>
        </w:trPr>
        <w:tc>
          <w:tcPr>
            <w:tcW w:w="2481" w:type="dxa"/>
            <w:vAlign w:val="center"/>
            <w:textDirection w:val="lrTb"/>
            <w:noWrap w:val="false"/>
          </w:tcPr>
          <w:p>
            <w:pPr>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核心产品品牌</w:t>
            </w:r>
            <w:r/>
          </w:p>
        </w:tc>
        <w:tc>
          <w:tcPr>
            <w:tcW w:w="6405" w:type="dxa"/>
            <w:vAlign w:val="center"/>
            <w:textDirection w:val="lrTb"/>
            <w:noWrap w:val="false"/>
          </w:tcPr>
          <w:p>
            <w:pPr>
              <w:jc w:val="left"/>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bl>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日期：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年</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月</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日</w:t>
      </w:r>
      <w:r/>
    </w:p>
    <w:p>
      <w:pPr>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spacing w:line="46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 xml:space="preserve">十四、投标人关于检测报告合规性的承诺函（实质性格式）</w:t>
      </w:r>
      <w:r/>
    </w:p>
    <w:p>
      <w:pPr>
        <w:ind w:firstLine="420"/>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page">
                  <wp:posOffset>533400</wp:posOffset>
                </wp:positionH>
                <wp:positionV relativeFrom="paragraph">
                  <wp:posOffset>140970</wp:posOffset>
                </wp:positionV>
                <wp:extent cx="38100" cy="222885"/>
                <wp:effectExtent l="0" t="0" r="0" b="5715"/>
                <wp:wrapNone/>
                <wp:docPr id="13" name="矩形 6"/>
                <wp:cNvGraphicFramePr/>
                <a:graphic xmlns:a="http://schemas.openxmlformats.org/drawingml/2006/main">
                  <a:graphicData uri="http://schemas.microsoft.com/office/word/2010/wordprocessingShape">
                    <wps:wsp>
                      <wps:cNvPr id="0" name=""/>
                      <wps:cNvSpPr/>
                      <wps:spPr bwMode="auto">
                        <a:xfrm>
                          <a:off x="0" y="0"/>
                          <a:ext cx="38100" cy="222885"/>
                        </a:xfrm>
                        <a:prstGeom prst="rect">
                          <a:avLst/>
                        </a:prstGeom>
                        <a:solidFill>
                          <a:srgbClr val="DDDDDD"/>
                        </a:solidFill>
                        <a:ln>
                          <a:noFill/>
                        </a:ln>
                      </wps:spPr>
                      <wps:bodyPr rot="0">
                        <a:prstTxWarp prst="textNoShape">
                          <a:avLst/>
                        </a:prstTxWarp>
                        <a:noAutofit/>
                      </wps:bodyPr>
                    </wps:wsp>
                  </a:graphicData>
                </a:graphic>
              </wp:anchor>
            </w:drawing>
          </mc:Choice>
          <mc:Fallback>
            <w:pict>
              <v:shape id="shape 12" o:spid="_x0000_s12" o:spt="1" type="#_x0000_t1" style="position:absolute;z-index:251671552;o:allowoverlap:true;o:allowincell:true;mso-position-horizontal-relative:page;margin-left:42.0pt;mso-position-horizontal:absolute;mso-position-vertical-relative:text;margin-top:11.1pt;mso-position-vertical:absolute;width:3.0pt;height:17.6pt;mso-wrap-distance-left:9.0pt;mso-wrap-distance-top:0.0pt;mso-wrap-distance-right:9.0pt;mso-wrap-distance-bottom:0.0pt;visibility:visible;" fillcolor="#DDDDDD" stroked="f"/>
            </w:pict>
          </mc:Fallback>
        </mc:AlternateContent>
      </w:r>
      <w:r>
        <w:rPr>
          <w:rFonts w:hint="eastAsia" w:asciiTheme="minorEastAsia" w:hAnsiTheme="minorEastAsia" w:eastAsiaTheme="minorEastAsia" w:cstheme="minorEastAsia"/>
          <w:sz w:val="24"/>
          <w:szCs w:val="24"/>
        </w:rPr>
        <w:t xml:space="preserve">（本承诺书须加盖投标人公章，随投标文件一并提交）</w:t>
      </w:r>
      <w:r/>
    </w:p>
    <w:p>
      <w:pPr>
        <w:pStyle w:val="809"/>
        <w:spacing w:before="17"/>
        <w:rPr>
          <w:rFonts w:hint="eastAsia" w:asciiTheme="minorEastAsia" w:hAnsiTheme="minorEastAsia" w:eastAsiaTheme="minorEastAsia" w:cstheme="minorEastAsia"/>
          <w:b/>
          <w:sz w:val="10"/>
        </w:rPr>
      </w:pPr>
      <w:r>
        <w:rPr>
          <w:rFonts w:hint="eastAsia" w:asciiTheme="minorEastAsia" w:hAnsiTheme="minorEastAsia" w:eastAsiaTheme="minorEastAsia" w:cstheme="minorEastAsia"/>
          <w:b/>
          <w:sz w:val="10"/>
        </w:rPr>
      </w:r>
      <w:r/>
    </w:p>
    <w:p>
      <w:pPr>
        <w:ind w:left="100"/>
        <w:jc w:val="center"/>
        <w:spacing w:before="201" w:line="400" w:lineRule="exact"/>
        <w:rPr>
          <w:rFonts w:hint="eastAsia" w:asciiTheme="minorEastAsia" w:hAnsiTheme="minorEastAsia" w:eastAsiaTheme="minorEastAsia" w:cstheme="minorEastAsia"/>
          <w:b/>
          <w:sz w:val="24"/>
          <w:szCs w:val="24"/>
        </w:rPr>
      </w:pPr>
      <w:r/>
      <w:bookmarkStart w:id="224" w:name="投标人关于检测报告合规性的承诺书"/>
      <w:r/>
      <w:bookmarkEnd w:id="224"/>
      <w:r>
        <w:rPr>
          <w:rFonts w:hint="eastAsia" w:asciiTheme="minorEastAsia" w:hAnsiTheme="minorEastAsia" w:eastAsiaTheme="minorEastAsia" w:cstheme="minorEastAsia"/>
          <w:b/>
          <w:sz w:val="24"/>
          <w:szCs w:val="24"/>
        </w:rPr>
        <w:t xml:space="preserve">投标人关于检测报告合规性的承诺函</w:t>
      </w:r>
      <w:r/>
    </w:p>
    <w:p>
      <w:pPr>
        <w:pStyle w:val="809"/>
        <w:ind w:left="100"/>
        <w:spacing w:before="116" w:line="400" w:lineRule="exact"/>
        <w:tabs>
          <w:tab w:val="clear" w:pos="567" w:leader="none"/>
          <w:tab w:val="left" w:pos="1888"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致：</w:t>
      </w:r>
      <w:r>
        <w:rPr>
          <w:rFonts w:hint="eastAsia" w:asciiTheme="minorEastAsia" w:hAnsiTheme="minorEastAsia" w:eastAsiaTheme="minorEastAsia" w:cstheme="minorEastAsia"/>
          <w:szCs w:val="24"/>
          <w:u w:val="single"/>
        </w:rPr>
        <w:t xml:space="preserve"> </w:t>
      </w:r>
      <w:r>
        <w:rPr>
          <w:rFonts w:hint="eastAsia" w:asciiTheme="minorEastAsia" w:hAnsiTheme="minorEastAsia" w:eastAsiaTheme="minorEastAsia" w:cstheme="minorEastAsia"/>
          <w:szCs w:val="24"/>
          <w:u w:val="single"/>
        </w:rPr>
        <w:tab/>
      </w:r>
      <w:r>
        <w:rPr>
          <w:rFonts w:hint="eastAsia" w:asciiTheme="minorEastAsia" w:hAnsiTheme="minorEastAsia" w:eastAsiaTheme="minorEastAsia" w:cstheme="minorEastAsia"/>
          <w:szCs w:val="24"/>
        </w:rPr>
        <w:t xml:space="preserve">（采购人/采购代理机构）</w:t>
      </w:r>
      <w:r/>
    </w:p>
    <w:p>
      <w:pPr>
        <w:pStyle w:val="809"/>
        <w:ind w:left="100" w:firstLine="504"/>
        <w:spacing w:before="116" w:line="400" w:lineRule="exact"/>
        <w:tabs>
          <w:tab w:val="clear" w:pos="567" w:leader="none"/>
          <w:tab w:val="left" w:pos="1888"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我单位（投标人全称：</w:t>
      </w:r>
      <w:r>
        <w:rPr>
          <w:rFonts w:hint="eastAsia" w:asciiTheme="minorEastAsia" w:hAnsiTheme="minorEastAsia" w:eastAsiaTheme="minorEastAsia" w:cstheme="minorEastAsia"/>
          <w:szCs w:val="24"/>
          <w:u w:val="single"/>
        </w:rPr>
        <w:t xml:space="preserve">   </w:t>
      </w:r>
      <w:r>
        <w:rPr>
          <w:rFonts w:hint="eastAsia" w:asciiTheme="minorEastAsia" w:hAnsiTheme="minorEastAsia" w:eastAsiaTheme="minorEastAsia" w:cstheme="minorEastAsia"/>
          <w:szCs w:val="24"/>
          <w:u w:val="single"/>
        </w:rPr>
        <w:tab/>
      </w:r>
      <w:r>
        <w:rPr>
          <w:rFonts w:hint="eastAsia" w:asciiTheme="minorEastAsia" w:hAnsiTheme="minorEastAsia" w:eastAsiaTheme="minorEastAsia" w:cstheme="minorEastAsia"/>
          <w:szCs w:val="24"/>
        </w:rPr>
        <w:t xml:space="preserve">，统一社会信用代码：</w:t>
      </w:r>
      <w:r>
        <w:rPr>
          <w:rFonts w:hint="eastAsia" w:asciiTheme="minorEastAsia" w:hAnsiTheme="minorEastAsia" w:eastAsiaTheme="minorEastAsia" w:cstheme="minorEastAsia"/>
          <w:szCs w:val="24"/>
          <w:u w:val="single"/>
        </w:rPr>
        <w:t xml:space="preserve">    </w:t>
      </w:r>
      <w:r>
        <w:rPr>
          <w:rFonts w:hint="eastAsia" w:asciiTheme="minorEastAsia" w:hAnsiTheme="minorEastAsia" w:eastAsiaTheme="minorEastAsia" w:cstheme="minorEastAsia"/>
          <w:szCs w:val="24"/>
          <w:u w:val="single"/>
        </w:rPr>
        <w:tab/>
      </w:r>
      <w:r>
        <w:rPr>
          <w:rFonts w:hint="eastAsia" w:asciiTheme="minorEastAsia" w:hAnsiTheme="minorEastAsia" w:eastAsiaTheme="minorEastAsia" w:cstheme="minorEastAsia"/>
          <w:szCs w:val="24"/>
        </w:rPr>
        <w:t xml:space="preserve">）就参与贵单位组织的“</w:t>
      </w:r>
      <w:r>
        <w:rPr>
          <w:rFonts w:hint="eastAsia" w:asciiTheme="minorEastAsia" w:hAnsiTheme="minorEastAsia" w:eastAsiaTheme="minorEastAsia" w:cstheme="minorEastAsia"/>
          <w:szCs w:val="24"/>
          <w:u w:val="single"/>
        </w:rPr>
        <w:t xml:space="preserve"> </w:t>
      </w:r>
      <w:r>
        <w:rPr>
          <w:rFonts w:hint="eastAsia" w:asciiTheme="minorEastAsia" w:hAnsiTheme="minorEastAsia" w:eastAsiaTheme="minorEastAsia" w:cstheme="minorEastAsia"/>
          <w:szCs w:val="24"/>
          <w:u w:val="single"/>
        </w:rPr>
        <w:tab/>
      </w:r>
      <w:r>
        <w:rPr>
          <w:rFonts w:hint="eastAsia" w:asciiTheme="minorEastAsia" w:hAnsiTheme="minorEastAsia" w:eastAsiaTheme="minorEastAsia" w:cstheme="minorEastAsia"/>
          <w:szCs w:val="24"/>
        </w:rPr>
        <w:t xml:space="preserve">”项目（项目编号：</w:t>
      </w:r>
      <w:r>
        <w:rPr>
          <w:rFonts w:hint="eastAsia" w:asciiTheme="minorEastAsia" w:hAnsiTheme="minorEastAsia" w:eastAsiaTheme="minorEastAsia" w:cstheme="minorEastAsia"/>
          <w:szCs w:val="24"/>
          <w:u w:val="single"/>
        </w:rPr>
        <w:t xml:space="preserve"> </w:t>
      </w:r>
      <w:r>
        <w:rPr>
          <w:rFonts w:hint="eastAsia" w:asciiTheme="minorEastAsia" w:hAnsiTheme="minorEastAsia" w:eastAsiaTheme="minorEastAsia" w:cstheme="minorEastAsia"/>
          <w:szCs w:val="24"/>
          <w:u w:val="single"/>
        </w:rPr>
        <w:tab/>
      </w:r>
      <w:r>
        <w:rPr>
          <w:rFonts w:hint="eastAsia" w:asciiTheme="minorEastAsia" w:hAnsiTheme="minorEastAsia" w:eastAsiaTheme="minorEastAsia" w:cstheme="minorEastAsia"/>
          <w:szCs w:val="24"/>
        </w:rPr>
        <w:t xml:space="preserve">）投标（响应），现就所提交的检测报告及相关证明材料郑重承诺</w:t>
      </w:r>
      <w:r>
        <w:rPr>
          <w:rFonts w:hint="eastAsia" w:asciiTheme="minorEastAsia" w:hAnsiTheme="minorEastAsia" w:eastAsiaTheme="minorEastAsia" w:cstheme="minorEastAsia"/>
          <w:spacing w:val="-17"/>
          <w:szCs w:val="24"/>
        </w:rPr>
        <w:t xml:space="preserve">如</w:t>
      </w:r>
      <w:r>
        <w:rPr>
          <w:rFonts w:hint="eastAsia" w:asciiTheme="minorEastAsia" w:hAnsiTheme="minorEastAsia" w:eastAsiaTheme="minorEastAsia" w:cstheme="minorEastAsia"/>
          <w:szCs w:val="24"/>
        </w:rPr>
        <w:t xml:space="preserve">下：</w:t>
      </w:r>
      <w:r/>
    </w:p>
    <w:p>
      <w:pPr>
        <w:pStyle w:val="803"/>
        <w:numPr>
          <w:ilvl w:val="0"/>
          <w:numId w:val="22"/>
        </w:numPr>
        <w:keepLines w:val="0"/>
        <w:keepNext w:val="0"/>
        <w:spacing w:before="122" w:after="0" w:line="400" w:lineRule="exact"/>
        <w:tabs>
          <w:tab w:val="left" w:pos="49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检测报告真实性</w:t>
      </w:r>
      <w:r/>
    </w:p>
    <w:p>
      <w:pPr>
        <w:pStyle w:val="809"/>
        <w:ind w:right="180" w:firstLine="504"/>
        <w:spacing w:before="0" w:line="400" w:lineRule="exact"/>
        <w:tabs>
          <w:tab w:val="clear" w:pos="567" w:leader="none"/>
          <w:tab w:val="left" w:pos="4483"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我单位提交的检测报告（报告编号：</w:t>
      </w:r>
      <w:r>
        <w:rPr>
          <w:rFonts w:hint="eastAsia" w:asciiTheme="minorEastAsia" w:hAnsiTheme="minorEastAsia" w:eastAsiaTheme="minorEastAsia" w:cstheme="minorEastAsia"/>
          <w:szCs w:val="24"/>
          <w:u w:val="single"/>
        </w:rPr>
        <w:t xml:space="preserve"> </w:t>
      </w:r>
      <w:r>
        <w:rPr>
          <w:rFonts w:hint="eastAsia" w:asciiTheme="minorEastAsia" w:hAnsiTheme="minorEastAsia" w:eastAsiaTheme="minorEastAsia" w:cstheme="minorEastAsia"/>
          <w:szCs w:val="24"/>
          <w:u w:val="single"/>
        </w:rPr>
        <w:tab/>
      </w:r>
      <w:r>
        <w:rPr>
          <w:rFonts w:hint="eastAsia" w:asciiTheme="minorEastAsia" w:hAnsiTheme="minorEastAsia" w:eastAsiaTheme="minorEastAsia" w:cstheme="minorEastAsia"/>
          <w:szCs w:val="24"/>
        </w:rPr>
        <w:t xml:space="preserve">）系由具备有效CMA资质的检验检测机构依法出具，内容真实、完整</w:t>
      </w:r>
      <w:r>
        <w:rPr>
          <w:rFonts w:hint="eastAsia" w:asciiTheme="minorEastAsia" w:hAnsiTheme="minorEastAsia" w:eastAsiaTheme="minorEastAsia" w:cstheme="minorEastAsia"/>
          <w:spacing w:val="-17"/>
          <w:szCs w:val="24"/>
        </w:rPr>
        <w:t xml:space="preserve">， </w:t>
      </w:r>
      <w:r>
        <w:rPr>
          <w:rFonts w:hint="eastAsia" w:asciiTheme="minorEastAsia" w:hAnsiTheme="minorEastAsia" w:eastAsiaTheme="minorEastAsia" w:cstheme="minorEastAsia"/>
          <w:szCs w:val="24"/>
        </w:rPr>
        <w:t xml:space="preserve">未作任何篡改或伪造。</w:t>
      </w:r>
      <w:r/>
    </w:p>
    <w:p>
      <w:pPr>
        <w:pStyle w:val="803"/>
        <w:numPr>
          <w:ilvl w:val="0"/>
          <w:numId w:val="22"/>
        </w:numPr>
        <w:keepLines w:val="0"/>
        <w:keepNext w:val="0"/>
        <w:spacing w:before="41" w:after="0" w:line="400" w:lineRule="exact"/>
        <w:tabs>
          <w:tab w:val="left" w:pos="49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检测机构资质有效性</w:t>
      </w:r>
      <w:r/>
    </w:p>
    <w:p>
      <w:pPr>
        <w:pStyle w:val="809"/>
        <w:ind w:right="308" w:firstLine="480"/>
        <w:spacing w:line="400" w:lineRule="exact"/>
        <w:tabs>
          <w:tab w:val="clear" w:pos="567" w:leader="none"/>
          <w:tab w:val="left" w:pos="7739"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出具机构持有有效的《检验检测机构资质认定证书》（CMA证书编号：</w:t>
      </w:r>
      <w:r>
        <w:rPr>
          <w:rFonts w:hint="eastAsia" w:asciiTheme="minorEastAsia" w:hAnsiTheme="minorEastAsia" w:eastAsiaTheme="minorEastAsia" w:cstheme="minorEastAsia"/>
          <w:szCs w:val="24"/>
          <w:u w:val="single"/>
        </w:rPr>
        <w:t xml:space="preserve"> </w:t>
      </w:r>
      <w:r>
        <w:rPr>
          <w:rFonts w:hint="eastAsia" w:asciiTheme="minorEastAsia" w:hAnsiTheme="minorEastAsia" w:eastAsiaTheme="minorEastAsia" w:cstheme="minorEastAsia"/>
          <w:szCs w:val="24"/>
        </w:rPr>
        <w:t xml:space="preserve">），且所检项目、依据标准及</w:t>
      </w:r>
      <w:r>
        <w:rPr>
          <w:rFonts w:hint="eastAsia" w:asciiTheme="minorEastAsia" w:hAnsiTheme="minorEastAsia" w:eastAsiaTheme="minorEastAsia" w:cstheme="minorEastAsia"/>
          <w:spacing w:val="-18"/>
          <w:szCs w:val="24"/>
        </w:rPr>
        <w:t xml:space="preserve">方</w:t>
      </w:r>
      <w:r>
        <w:rPr>
          <w:rFonts w:hint="eastAsia" w:asciiTheme="minorEastAsia" w:hAnsiTheme="minorEastAsia" w:eastAsiaTheme="minorEastAsia" w:cstheme="minorEastAsia"/>
          <w:szCs w:val="24"/>
        </w:rPr>
        <w:t xml:space="preserve">法均在其《资质认定能力附表》核准范围内。</w:t>
      </w:r>
      <w:r/>
    </w:p>
    <w:p>
      <w:pPr>
        <w:pStyle w:val="803"/>
        <w:numPr>
          <w:ilvl w:val="0"/>
          <w:numId w:val="22"/>
        </w:numPr>
        <w:keepLines w:val="0"/>
        <w:keepNext w:val="0"/>
        <w:spacing w:before="121" w:after="0" w:line="400" w:lineRule="exact"/>
        <w:tabs>
          <w:tab w:val="left" w:pos="49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材料一致性</w:t>
      </w:r>
      <w:r/>
    </w:p>
    <w:p>
      <w:pPr>
        <w:pStyle w:val="809"/>
        <w:ind w:firstLine="504"/>
        <w:spacing w:line="400" w:lineRule="exact"/>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所投产品品牌、型号、技术参数与检测报告完全一致。</w:t>
      </w:r>
      <w:r/>
    </w:p>
    <w:p>
      <w:pPr>
        <w:pStyle w:val="803"/>
        <w:numPr>
          <w:ilvl w:val="0"/>
          <w:numId w:val="22"/>
        </w:numPr>
        <w:jc w:val="both"/>
        <w:keepLines w:val="0"/>
        <w:keepNext w:val="0"/>
        <w:spacing w:before="122" w:after="0" w:line="400" w:lineRule="exact"/>
        <w:tabs>
          <w:tab w:val="left" w:pos="49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法律责任承担</w:t>
      </w:r>
      <w:r/>
    </w:p>
    <w:p>
      <w:pPr>
        <w:pStyle w:val="809"/>
        <w:ind w:firstLine="504"/>
        <w:spacing w:line="400" w:lineRule="exact"/>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如上述承诺不实，或经核查发现存在提供虚假材料谋取中标行为，我单位自愿接受以下处理：投标无效或中标无效；列入政府采购不良行为记录；承担由此造成的一切法律责任及经济损失。</w:t>
      </w:r>
      <w:r/>
    </w:p>
    <w:p>
      <w:pPr>
        <w:pStyle w:val="809"/>
        <w:spacing w:line="400" w:lineRule="exact"/>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p>
      <w:pPr>
        <w:pStyle w:val="809"/>
        <w:ind w:left="100"/>
        <w:spacing w:before="56" w:line="400" w:lineRule="exact"/>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本承诺函自签署之日起生效，具有法律约束力。</w:t>
      </w:r>
      <w:r/>
    </w:p>
    <w:p>
      <w:pPr>
        <w:pStyle w:val="809"/>
        <w:ind w:left="100"/>
        <w:spacing w:before="121" w:line="400" w:lineRule="exact"/>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投标人（盖章）：</w:t>
      </w:r>
      <w:r/>
    </w:p>
    <w:p>
      <w:pPr>
        <w:pStyle w:val="809"/>
        <w:ind w:left="100"/>
        <w:spacing w:before="121" w:line="400" w:lineRule="exact"/>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法定代表人或授权代表（签字）</w:t>
      </w:r>
      <w:r/>
    </w:p>
    <w:p>
      <w:pPr>
        <w:pStyle w:val="809"/>
        <w:ind w:left="100"/>
        <w:spacing w:before="121" w:line="400" w:lineRule="exact"/>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日期：    年      月     日</w:t>
      </w:r>
      <w:r/>
    </w:p>
    <w:p>
      <w:pPr>
        <w:pStyle w:val="809"/>
        <w:spacing w:before="18" w:line="400" w:lineRule="exact"/>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p>
      <w:pPr>
        <w:pStyle w:val="802"/>
        <w:spacing w:line="400" w:lineRule="exact"/>
        <w:rPr>
          <w:rFonts w:hint="eastAsia" w:asciiTheme="minorEastAsia" w:hAnsiTheme="minorEastAsia" w:eastAsiaTheme="minorEastAsia" w:cstheme="minorEastAsia"/>
          <w:sz w:val="24"/>
          <w:szCs w:val="24"/>
        </w:rPr>
      </w:pPr>
      <w:r/>
      <w:bookmarkStart w:id="225" w:name="使用说明："/>
      <w:r/>
      <w:bookmarkEnd w:id="225"/>
      <w:r>
        <w:rPr>
          <w:rFonts w:hint="eastAsia" w:asciiTheme="minorEastAsia" w:hAnsiTheme="minorEastAsia" w:eastAsiaTheme="minorEastAsia" w:cstheme="minorEastAsia"/>
          <w:sz w:val="24"/>
          <w:szCs w:val="24"/>
        </w:rPr>
        <w:t xml:space="preserve">使用说明：</w:t>
      </w:r>
      <w:r/>
    </w:p>
    <w:p>
      <w:pPr>
        <w:pStyle w:val="809"/>
        <w:ind w:left="100"/>
        <w:spacing w:before="121" w:line="400" w:lineRule="exact"/>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本承诺函为强制性投标文件组成部分 ，未提供或未盖章视为未实质性响应采购要求； 采购人有权依据本承诺书启动核查程序，并作为后续处理依据。</w:t>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spacing w:line="460" w:lineRule="exact"/>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sz w:val="32"/>
          <w:szCs w:val="32"/>
        </w:rPr>
        <w:t xml:space="preserve">十五、投标文件通用模版编制和评审要求</w:t>
      </w:r>
      <w:r/>
    </w:p>
    <w:tbl>
      <w:tblPr>
        <w:tblStyle w:val="806"/>
        <w:tblpPr w:horzAnchor="page" w:tblpX="1358" w:vertAnchor="text" w:tblpY="398" w:leftFromText="180" w:topFromText="0" w:rightFromText="180" w:bottomFromText="0"/>
        <w:tblW w:w="935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99"/>
        <w:gridCol w:w="2946"/>
        <w:gridCol w:w="5311"/>
      </w:tblGrid>
      <w:tr>
        <w:trPr>
          <w:trHeight w:val="405"/>
        </w:trPr>
        <w:tc>
          <w:tcPr>
            <w:tcW w:w="1099" w:type="dxa"/>
            <w:vAlign w:val="center"/>
            <w:textDirection w:val="lrTb"/>
            <w:noWrap w:val="false"/>
          </w:tcPr>
          <w:p>
            <w:pPr>
              <w:jc w:val="center"/>
              <w:widowControl/>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类型</w:t>
            </w:r>
            <w:r/>
          </w:p>
        </w:tc>
        <w:tc>
          <w:tcPr>
            <w:tcW w:w="2946" w:type="dxa"/>
            <w:vAlign w:val="center"/>
            <w:textDirection w:val="lrTb"/>
            <w:noWrap w:val="false"/>
          </w:tcPr>
          <w:p>
            <w:pPr>
              <w:jc w:val="center"/>
              <w:widowControl/>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栏目名称</w:t>
            </w:r>
            <w:r/>
          </w:p>
        </w:tc>
        <w:tc>
          <w:tcPr>
            <w:tcW w:w="5311" w:type="dxa"/>
            <w:vAlign w:val="center"/>
            <w:textDirection w:val="lrTb"/>
            <w:noWrap w:val="false"/>
          </w:tcPr>
          <w:p>
            <w:pPr>
              <w:jc w:val="center"/>
              <w:widowControl/>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编制和评审要求</w:t>
            </w:r>
            <w:r/>
          </w:p>
        </w:tc>
      </w:tr>
      <w:tr>
        <w:trPr>
          <w:trHeight w:val="54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基本目录</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投标文件封面</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按照招标（采购）文件的规定格式。(格式见</w:t>
            </w:r>
            <w:r>
              <w:rPr>
                <w:rFonts w:hint="eastAsia" w:asciiTheme="minorEastAsia" w:hAnsiTheme="minorEastAsia" w:eastAsiaTheme="minorEastAsia" w:cstheme="minorEastAsia"/>
                <w:b/>
                <w:bCs/>
              </w:rPr>
              <w:t xml:space="preserve">《投标文件格式》</w:t>
            </w:r>
            <w:r>
              <w:rPr>
                <w:rFonts w:hint="eastAsia" w:asciiTheme="minorEastAsia" w:hAnsiTheme="minorEastAsia" w:eastAsiaTheme="minorEastAsia" w:cstheme="minorEastAsia"/>
              </w:rPr>
              <w:t xml:space="preserve">)</w:t>
            </w:r>
            <w:r/>
          </w:p>
        </w:tc>
      </w:tr>
      <w:tr>
        <w:trPr>
          <w:trHeight w:val="54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基本目录</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开标一览表</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按照招标（采购）文件的规定格式提供</w:t>
            </w:r>
            <w:r>
              <w:rPr>
                <w:rFonts w:hint="eastAsia" w:asciiTheme="minorEastAsia" w:hAnsiTheme="minorEastAsia" w:eastAsiaTheme="minorEastAsia" w:cstheme="minorEastAsia"/>
                <w:b/>
                <w:bCs/>
              </w:rPr>
              <w:t xml:space="preserve">《开标一览表》</w:t>
            </w:r>
            <w:r>
              <w:rPr>
                <w:rFonts w:hint="eastAsia" w:asciiTheme="minorEastAsia" w:hAnsiTheme="minorEastAsia" w:eastAsiaTheme="minorEastAsia" w:cstheme="minorEastAsia"/>
              </w:rPr>
              <w:t xml:space="preserve">。(格式见《投标文件格式》)</w:t>
            </w:r>
            <w:r/>
          </w:p>
        </w:tc>
      </w:tr>
      <w:tr>
        <w:trPr>
          <w:trHeight w:val="54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基本目录</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技术要求响应及偏离表</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按照招标（采购）文件的规定格式提供</w:t>
            </w:r>
            <w:r>
              <w:rPr>
                <w:rFonts w:hint="eastAsia" w:asciiTheme="minorEastAsia" w:hAnsiTheme="minorEastAsia" w:eastAsiaTheme="minorEastAsia" w:cstheme="minorEastAsia"/>
                <w:b/>
                <w:bCs/>
              </w:rPr>
              <w:t xml:space="preserve">《技术要求响应及偏离表》</w:t>
            </w:r>
            <w:r>
              <w:rPr>
                <w:rFonts w:hint="eastAsia" w:asciiTheme="minorEastAsia" w:hAnsiTheme="minorEastAsia" w:eastAsiaTheme="minorEastAsia" w:cstheme="minorEastAsia"/>
              </w:rPr>
              <w:t xml:space="preserve">。(格式见《投标文件格式》)</w:t>
            </w:r>
            <w:r/>
          </w:p>
        </w:tc>
      </w:tr>
      <w:tr>
        <w:trPr>
          <w:trHeight w:val="54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基本目录</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商务要求响应及偏离表</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按照招标（采购）文件的规定格式提供</w:t>
            </w:r>
            <w:r>
              <w:rPr>
                <w:rFonts w:hint="eastAsia" w:asciiTheme="minorEastAsia" w:hAnsiTheme="minorEastAsia" w:eastAsiaTheme="minorEastAsia" w:cstheme="minorEastAsia"/>
                <w:b/>
                <w:bCs/>
              </w:rPr>
              <w:t xml:space="preserve">《商务要求响应及偏离表》</w:t>
            </w:r>
            <w:r>
              <w:rPr>
                <w:rFonts w:hint="eastAsia" w:asciiTheme="minorEastAsia" w:hAnsiTheme="minorEastAsia" w:eastAsiaTheme="minorEastAsia" w:cstheme="minorEastAsia"/>
              </w:rPr>
              <w:t xml:space="preserve">。(格式见《投标文件格式》)</w:t>
            </w:r>
            <w:r/>
          </w:p>
        </w:tc>
      </w:tr>
      <w:tr>
        <w:trPr>
          <w:trHeight w:val="81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基本目录</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项目完整技术和实施方案</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本项目的完整的技术和实施方案，包括但不限于：项目技术、组织、实施方案；项目管理方案；拟达到的标准，配备的人员、设备配置等；培训方案、技术支持等方案；优惠条款或承诺；其他。</w:t>
            </w:r>
            <w:r/>
          </w:p>
        </w:tc>
      </w:tr>
      <w:tr>
        <w:trPr>
          <w:trHeight w:val="54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资格审查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投标人（供应商）资格声明函</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提供符合招标（采购）文件要求的</w:t>
            </w:r>
            <w:r>
              <w:rPr>
                <w:rFonts w:hint="eastAsia" w:asciiTheme="minorEastAsia" w:hAnsiTheme="minorEastAsia" w:eastAsiaTheme="minorEastAsia" w:cstheme="minorEastAsia"/>
                <w:b/>
                <w:bCs/>
              </w:rPr>
              <w:t xml:space="preserve">《投标人（供应商）资格声明函》</w:t>
            </w:r>
            <w:r>
              <w:rPr>
                <w:rFonts w:hint="eastAsia" w:asciiTheme="minorEastAsia" w:hAnsiTheme="minorEastAsia" w:eastAsiaTheme="minorEastAsia" w:cstheme="minorEastAsia"/>
              </w:rPr>
              <w:t xml:space="preserve">。(格式见《投标文件格式》)</w:t>
            </w:r>
            <w:r/>
          </w:p>
        </w:tc>
      </w:tr>
      <w:tr>
        <w:trPr>
          <w:trHeight w:val="216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资格审查</w:t>
            </w:r>
            <w:r/>
          </w:p>
        </w:tc>
        <w:tc>
          <w:tcPr>
            <w:tcW w:w="2946"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rPr>
              <w:t xml:space="preserve">投标人（供应商）信用记录: 在信用中国网站或中国政府采购网（www.creditchina.gov.cn、www.ccgp.gov.cn）查询，无被列入失信被执行人、重大税收违法案件当事人名单、政府采购严重失信行为记录名单及其他不符合《中华人民共和国政府采购法》第二十二条规定条件的信用记录</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无需投标人（供应</w:t>
            </w:r>
            <w:r>
              <w:rPr>
                <w:rFonts w:hint="eastAsia" w:asciiTheme="minorEastAsia" w:hAnsiTheme="minorEastAsia" w:eastAsiaTheme="minorEastAsia" w:cstheme="minorEastAsia"/>
              </w:rPr>
              <w:t xml:space="preserve">商）提供材料。由采购人授权代表审查。查询渠道：信用中国网站或中国政府采购网（www.creditchina.gov.cn、www.ccgp.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p>
        </w:tc>
      </w:tr>
      <w:tr>
        <w:trPr>
          <w:trHeight w:val="108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资格审查</w:t>
            </w:r>
            <w:r/>
          </w:p>
        </w:tc>
        <w:tc>
          <w:tcPr>
            <w:tcW w:w="2946"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rPr>
              <w:t xml:space="preserve">中小企业声明函等</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提供符合招标（采购）文件要求的</w:t>
            </w:r>
            <w:r>
              <w:rPr>
                <w:rFonts w:hint="eastAsia" w:asciiTheme="minorEastAsia" w:hAnsiTheme="minorEastAsia" w:eastAsiaTheme="minorEastAsia" w:cstheme="minorEastAsia"/>
                <w:b/>
                <w:bCs/>
              </w:rPr>
              <w:t xml:space="preserve">《中小企业声明函》或者《残疾人福利性单位声明函》或者监狱企业证明文件</w:t>
            </w:r>
            <w:r>
              <w:rPr>
                <w:rFonts w:hint="eastAsia" w:asciiTheme="minorEastAsia" w:hAnsiTheme="minorEastAsia" w:eastAsiaTheme="minorEastAsia" w:cstheme="minorEastAsia"/>
              </w:rPr>
              <w:t xml:space="preserve">。(格式见《投标文件格式》)</w:t>
            </w:r>
            <w:r/>
          </w:p>
        </w:tc>
      </w:tr>
      <w:tr>
        <w:trPr>
          <w:trHeight w:val="81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资格审查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其他落实政府采购政策的资格要求</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如有的提供，否则无需提供。详见第一章《投标邀请》相关要求。</w:t>
            </w:r>
            <w:r/>
          </w:p>
        </w:tc>
      </w:tr>
      <w:tr>
        <w:trPr>
          <w:trHeight w:val="81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资格审查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是否接受联合体投标</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如是接受联合体投标，且投标人（供应商）组成联合体投标的必须提供</w:t>
            </w:r>
            <w:r>
              <w:rPr>
                <w:rFonts w:hint="eastAsia" w:asciiTheme="minorEastAsia" w:hAnsiTheme="minorEastAsia" w:eastAsiaTheme="minorEastAsia" w:cstheme="minorEastAsia"/>
                <w:b/>
                <w:bCs/>
              </w:rPr>
              <w:t xml:space="preserve">《联合体协议》</w:t>
            </w:r>
            <w:r>
              <w:rPr>
                <w:rFonts w:hint="eastAsia" w:asciiTheme="minorEastAsia" w:hAnsiTheme="minorEastAsia" w:eastAsiaTheme="minorEastAsia" w:cstheme="minorEastAsia"/>
              </w:rPr>
              <w:t xml:space="preserve">原件的电子件，格式见《投标文件格式》)，否则无需提供。</w:t>
            </w:r>
            <w:r/>
          </w:p>
        </w:tc>
      </w:tr>
      <w:tr>
        <w:trPr>
          <w:trHeight w:val="81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资格审查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本项目的特定资格要求</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如有特定资格要求的提供，详见第一章《投标邀请》本项目的特定资格要求中规定要求提供的证明文件或材料，否则无需提供。</w:t>
            </w:r>
            <w:r/>
          </w:p>
        </w:tc>
      </w:tr>
      <w:tr>
        <w:trPr>
          <w:trHeight w:val="27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符合性审　</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政府采购供应商信用承诺书（实质性格式）</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提供符合招标（采购）文件要求的</w:t>
            </w:r>
            <w:r>
              <w:rPr>
                <w:rFonts w:hint="eastAsia" w:asciiTheme="minorEastAsia" w:hAnsiTheme="minorEastAsia" w:eastAsiaTheme="minorEastAsia" w:cstheme="minorEastAsia"/>
                <w:b/>
                <w:bCs/>
              </w:rPr>
              <w:t xml:space="preserve">《政府采购供应商信用承诺书（实质性格式）》</w:t>
            </w:r>
            <w:r>
              <w:rPr>
                <w:rFonts w:hint="eastAsia" w:asciiTheme="minorEastAsia" w:hAnsiTheme="minorEastAsia" w:eastAsiaTheme="minorEastAsia" w:cstheme="minorEastAsia"/>
              </w:rPr>
              <w:t xml:space="preserve">。(格式见《投标文件格式》)　</w:t>
            </w:r>
            <w:r/>
          </w:p>
        </w:tc>
      </w:tr>
      <w:tr>
        <w:trPr>
          <w:trHeight w:val="54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法定代表人资格证明书、法人授权书、投标函</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按招标（采购）文件要求提供</w:t>
            </w:r>
            <w:r>
              <w:rPr>
                <w:rFonts w:hint="eastAsia" w:asciiTheme="minorEastAsia" w:hAnsiTheme="minorEastAsia" w:eastAsiaTheme="minorEastAsia" w:cstheme="minorEastAsia"/>
                <w:b/>
                <w:bCs/>
              </w:rPr>
              <w:t xml:space="preserve">《法定代表人资格证明书》、《法人授权书》、《投标函》</w:t>
            </w:r>
            <w:r>
              <w:rPr>
                <w:rFonts w:hint="eastAsia" w:asciiTheme="minorEastAsia" w:hAnsiTheme="minorEastAsia" w:eastAsiaTheme="minorEastAsia" w:cstheme="minorEastAsia"/>
              </w:rPr>
              <w:t xml:space="preserve">。(格式见《投标文件格式》)</w:t>
            </w:r>
            <w:r/>
          </w:p>
        </w:tc>
      </w:tr>
      <w:tr>
        <w:trPr>
          <w:trHeight w:val="81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投标报价</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由评委审查，无需供应商提供材料。开标一览表、投标报价、未超过招标（采购）文件中规定的项目/采购包预算金额或者项目/采购包最高限价。</w:t>
            </w:r>
            <w:r/>
          </w:p>
        </w:tc>
      </w:tr>
      <w:tr>
        <w:trPr>
          <w:trHeight w:val="81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报价唯一性</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投标（响应）文件未出现可选择性或可调整的报价（招标（采购）文件另有规定的除外）；提供</w:t>
            </w:r>
            <w:r>
              <w:rPr>
                <w:rFonts w:hint="eastAsia" w:asciiTheme="minorEastAsia" w:hAnsiTheme="minorEastAsia" w:eastAsiaTheme="minorEastAsia" w:cstheme="minorEastAsia"/>
                <w:b/>
                <w:bCs/>
              </w:rPr>
              <w:t xml:space="preserve">《分项报价表》</w:t>
            </w:r>
            <w:r>
              <w:rPr>
                <w:rFonts w:hint="eastAsia" w:asciiTheme="minorEastAsia" w:hAnsiTheme="minorEastAsia" w:eastAsiaTheme="minorEastAsia" w:cstheme="minorEastAsia"/>
              </w:rPr>
              <w:t xml:space="preserve">。(格式见《投标文件格式》)</w:t>
            </w:r>
            <w:r/>
          </w:p>
        </w:tc>
      </w:tr>
      <w:tr>
        <w:trPr>
          <w:trHeight w:val="108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报价合理性</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由评委审查，无需供应商提供材料。报价合理，或投标人（供应商）的报价明显低于其他通过符合性审查投标人（供应商）的报价，有可能影响产品质量或诚信履约的，能够应评标委员会要求在规定时间内证明其报价合理性的。</w:t>
            </w:r>
            <w:r/>
          </w:p>
        </w:tc>
      </w:tr>
      <w:tr>
        <w:trPr>
          <w:trHeight w:val="81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报价的修正（如有）</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由评委审查，无需供应商提供材料。不涉及报价修正，或投标（响应）文件报价出现前后不一致时，投标人（供应商）对修正后的报价予以确认。</w:t>
            </w:r>
            <w:r/>
          </w:p>
        </w:tc>
      </w:tr>
      <w:tr>
        <w:trPr>
          <w:trHeight w:val="54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签署、加盖公章</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由评委审查，无需供应商提供材料。按照招标（采购）文件要求签署、加盖公章的。</w:t>
            </w:r>
            <w:r/>
          </w:p>
        </w:tc>
      </w:tr>
      <w:tr>
        <w:trPr>
          <w:trHeight w:val="54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进口产品（如有）</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由评委审查，无需供应商提供材料。招标（采购）文件不接受进口产品投标的内容时，投标人（供应商）所投产品均为非进口产品。</w:t>
            </w:r>
            <w:r/>
          </w:p>
        </w:tc>
      </w:tr>
      <w:tr>
        <w:trPr>
          <w:trHeight w:val="54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投标完整性</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由评委审查，无需供应商提供材料。投标人（供应商）未将一个采购包中的内容拆开投标。</w:t>
            </w:r>
            <w:r/>
          </w:p>
        </w:tc>
      </w:tr>
      <w:tr>
        <w:trPr>
          <w:trHeight w:val="135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公平竞争</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p>
        </w:tc>
      </w:tr>
      <w:tr>
        <w:trPr>
          <w:trHeight w:val="243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国家有关部门对投标产品有强制性规定或要求的</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p>
        </w:tc>
      </w:tr>
      <w:tr>
        <w:trPr>
          <w:trHeight w:val="54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附加条件</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由评委审查，无需供应商提供材料。投标文件未含有采购人不能接受的附加条件的。</w:t>
            </w:r>
            <w:r/>
          </w:p>
        </w:tc>
      </w:tr>
      <w:tr>
        <w:trPr>
          <w:trHeight w:val="81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其他无效情形</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由评委审查，无需供应商提供材料。投标人（供应商）、投标文件不存在不符合法律、法规和招标（采购）文件规定的其他无效情形。</w:t>
            </w:r>
            <w:r/>
          </w:p>
        </w:tc>
      </w:tr>
      <w:tr>
        <w:trPr>
          <w:trHeight w:val="108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实质性条款响应</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投标（响应）文件满足招标（采购）文件第四章《采购需求》中实质性条款（斜体且有下划线部分的、或者加“★”号的、或者以文字说明属于实质性要求的内容）要求的，在下列表单逐项提供相关证明材料。</w:t>
            </w:r>
            <w:r/>
          </w:p>
        </w:tc>
      </w:tr>
      <w:tr>
        <w:trPr>
          <w:trHeight w:val="27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实质性条款响应1</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逐项提供相关证明材料</w:t>
            </w:r>
            <w:r/>
          </w:p>
        </w:tc>
      </w:tr>
      <w:tr>
        <w:trPr>
          <w:trHeight w:val="27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实质性条款响应2</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逐项提供相关证明材料</w:t>
            </w:r>
            <w:r/>
          </w:p>
        </w:tc>
      </w:tr>
      <w:tr>
        <w:trPr>
          <w:trHeight w:val="27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实质性条款响应3</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逐项提供相关证明材料</w:t>
            </w:r>
            <w:r/>
          </w:p>
        </w:tc>
      </w:tr>
      <w:tr>
        <w:trPr>
          <w:trHeight w:val="27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实质性条款响应4</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逐项提供相关证明材料</w:t>
            </w:r>
            <w:r/>
          </w:p>
        </w:tc>
      </w:tr>
      <w:tr>
        <w:trPr>
          <w:trHeight w:val="27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实质性条款响应5</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逐项提供相关证明材料</w:t>
            </w:r>
            <w:r/>
          </w:p>
        </w:tc>
      </w:tr>
      <w:tr>
        <w:trPr>
          <w:trHeight w:val="27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spacing w:line="360" w:lineRule="auto"/>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其他实质性条款响应</w:t>
            </w:r>
            <w:r/>
          </w:p>
        </w:tc>
        <w:tc>
          <w:tcPr>
            <w:tcW w:w="5311" w:type="dxa"/>
            <w:vAlign w:val="center"/>
            <w:textDirection w:val="lrTb"/>
            <w:noWrap w:val="false"/>
          </w:tcPr>
          <w:p>
            <w:pPr>
              <w:jc w:val="center"/>
              <w:spacing w:line="360" w:lineRule="auto"/>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w:t>
            </w:r>
            <w:r/>
          </w:p>
        </w:tc>
      </w:tr>
      <w:tr>
        <w:trPr>
          <w:trHeight w:val="108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价格折扣文件格式</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小微企业声明函</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属于小微企业的提供符合招标（采购）文件要求的</w:t>
            </w:r>
            <w:r>
              <w:rPr>
                <w:rFonts w:hint="eastAsia" w:asciiTheme="minorEastAsia" w:hAnsiTheme="minorEastAsia" w:eastAsiaTheme="minorEastAsia" w:cstheme="minorEastAsia"/>
                <w:b/>
                <w:bCs/>
              </w:rPr>
              <w:t xml:space="preserve">《小微企业声明函》</w:t>
            </w:r>
            <w:r>
              <w:rPr>
                <w:rFonts w:hint="eastAsia" w:asciiTheme="minorEastAsia" w:hAnsiTheme="minorEastAsia" w:eastAsiaTheme="minorEastAsia" w:cstheme="minorEastAsia"/>
              </w:rPr>
              <w:t xml:space="preserve">或者</w:t>
            </w:r>
            <w:r>
              <w:rPr>
                <w:rFonts w:hint="eastAsia" w:asciiTheme="minorEastAsia" w:hAnsiTheme="minorEastAsia" w:eastAsiaTheme="minorEastAsia" w:cstheme="minorEastAsia"/>
                <w:b/>
                <w:bCs/>
              </w:rPr>
              <w:t xml:space="preserve">《残疾人福利性单位声明函》</w:t>
            </w:r>
            <w:r>
              <w:rPr>
                <w:rFonts w:hint="eastAsia" w:asciiTheme="minorEastAsia" w:hAnsiTheme="minorEastAsia" w:eastAsiaTheme="minorEastAsia" w:cstheme="minorEastAsia"/>
              </w:rPr>
              <w:t xml:space="preserve">或者</w:t>
            </w:r>
            <w:r>
              <w:rPr>
                <w:rFonts w:hint="eastAsia" w:asciiTheme="minorEastAsia" w:hAnsiTheme="minorEastAsia" w:eastAsiaTheme="minorEastAsia" w:cstheme="minorEastAsia"/>
                <w:b/>
                <w:bCs/>
              </w:rPr>
              <w:t xml:space="preserve">监狱企业证明文件</w:t>
            </w:r>
            <w:r>
              <w:rPr>
                <w:rFonts w:hint="eastAsia" w:asciiTheme="minorEastAsia" w:hAnsiTheme="minorEastAsia" w:eastAsiaTheme="minorEastAsia" w:cstheme="minorEastAsia"/>
              </w:rPr>
              <w:t xml:space="preserve">。(格式见《投标文件格式》)</w:t>
            </w:r>
            <w:r/>
          </w:p>
        </w:tc>
      </w:tr>
    </w:tbl>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pStyle w:val="810"/>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pStyle w:val="810"/>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pStyle w:val="810"/>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t xml:space="preserve">质疑函范本</w:t>
      </w:r>
      <w:r/>
    </w:p>
    <w:p>
      <w:pPr>
        <w:spacing w:before="290"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一、质疑供应商基本信息</w:t>
      </w:r>
      <w:r/>
    </w:p>
    <w:p>
      <w:pPr>
        <w:spacing w:line="360" w:lineRule="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质疑供应商：</w:t>
      </w: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地址：</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邮编：</w:t>
      </w: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联系人：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联系电话：</w:t>
      </w: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授权代表：</w:t>
      </w: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联系电话：</w:t>
      </w: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地址：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邮编：</w:t>
      </w: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二、质疑项目基本情况</w:t>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质疑项目的名称：</w:t>
      </w: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质疑项目的编号：</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包号：</w:t>
      </w: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采购人名称：</w:t>
      </w: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采购文件获取日期：</w:t>
      </w: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三、质疑事项具体内容</w:t>
      </w:r>
      <w:r/>
    </w:p>
    <w:p>
      <w:pPr>
        <w:spacing w:line="360" w:lineRule="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质疑事项1：</w:t>
      </w: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事实依据：</w:t>
      </w: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法律依据：</w:t>
      </w: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质疑事项2</w:t>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w:t>
      </w:r>
      <w:r/>
    </w:p>
    <w:p>
      <w:pPr>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四、与质疑事项相关的质疑请求</w:t>
      </w:r>
      <w:r/>
    </w:p>
    <w:p>
      <w:pPr>
        <w:spacing w:line="360" w:lineRule="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请求：</w:t>
      </w:r>
      <w:r>
        <w:rPr>
          <w:rFonts w:hint="eastAsia" w:asciiTheme="minorEastAsia" w:hAnsiTheme="minorEastAsia" w:eastAsiaTheme="minorEastAsia" w:cstheme="minorEastAsia"/>
          <w:sz w:val="24"/>
          <w:szCs w:val="24"/>
          <w:u w:val="single"/>
        </w:rPr>
        <w:t xml:space="preserve">                                                                     </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签字(签章)：                   公章：                      </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日期：    </w:t>
      </w:r>
      <w:r/>
    </w:p>
    <w:p>
      <w:pPr>
        <w:spacing w:line="40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r>
      <w:r/>
    </w:p>
    <w:p>
      <w:pPr>
        <w:spacing w:line="40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r>
      <w:r/>
    </w:p>
    <w:p>
      <w:pPr>
        <w:spacing w:line="40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r>
      <w:r/>
    </w:p>
    <w:p>
      <w:pPr>
        <w:spacing w:line="40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r>
      <w:r/>
    </w:p>
    <w:p>
      <w:pPr>
        <w:spacing w:line="40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质疑函制作说明：</w:t>
      </w:r>
      <w:r/>
    </w:p>
    <w:p>
      <w:pPr>
        <w:ind w:firstLine="480"/>
        <w:jc w:val="left"/>
        <w:spacing w:line="40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1.供应商提出质疑时，应提交质疑函和必要的证明材料。</w:t>
      </w:r>
      <w:r/>
    </w:p>
    <w:p>
      <w:pPr>
        <w:ind w:firstLine="480"/>
        <w:jc w:val="left"/>
        <w:spacing w:line="40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3.质疑供应商若对项目的某一分包进行质疑，质疑函中应列明具体分包号。</w:t>
      </w:r>
      <w:r/>
    </w:p>
    <w:p>
      <w:pPr>
        <w:ind w:firstLine="480"/>
        <w:jc w:val="left"/>
        <w:spacing w:line="40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4.质疑函的质疑事项应具体、明确，并有必要的事实依据和法律依据。</w:t>
      </w:r>
      <w:r/>
    </w:p>
    <w:p>
      <w:pPr>
        <w:ind w:firstLine="480"/>
        <w:jc w:val="left"/>
        <w:spacing w:line="40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5.质疑函的质疑请求应与质疑事项相关。</w:t>
      </w:r>
      <w:r/>
    </w:p>
    <w:p>
      <w:pPr>
        <w:ind w:firstLine="480"/>
        <w:jc w:val="left"/>
        <w:spacing w:line="40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1001"/>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001"/>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001"/>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001"/>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001"/>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001"/>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001"/>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001"/>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001"/>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001"/>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001"/>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001"/>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001"/>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001"/>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001"/>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001"/>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001"/>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001"/>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001"/>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001"/>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001"/>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001"/>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001"/>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001"/>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001"/>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001"/>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001"/>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001"/>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001"/>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华文楷体">
    <w:panose1 w:val="02010600040101010101"/>
  </w:font>
  <w:font w:name="方正黑体_GBK">
    <w:panose1 w:val="020B0503020202020204"/>
  </w:font>
  <w:font w:name="Tahoma">
    <w:panose1 w:val="020B0604030504040204"/>
  </w:font>
  <w:font w:name="楷体_GB2312">
    <w:panose1 w:val="02010609060101010101"/>
  </w:font>
  <w:font w:name="Courier New">
    <w:panose1 w:val="02070309020205020404"/>
  </w:font>
  <w:font w:name="仿宋_GB2312">
    <w:panose1 w:val="02010609060101010101"/>
  </w:font>
  <w:font w:name="Verdana">
    <w:panose1 w:val="020B0604030504040204"/>
  </w:font>
  <w:font w:name="黑体">
    <w:panose1 w:val="02010609060101010101"/>
  </w:font>
  <w:font w:name="幼圆">
    <w:panose1 w:val="020105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jc w:val="right"/>
    </w:pPr>
    <w:r>
      <w:fldChar w:fldCharType="begin"/>
    </w:r>
    <w:r>
      <w:instrText xml:space="preserve">PAGE   \* MERGEFORMAT</w:instrText>
    </w:r>
    <w:r>
      <w:fldChar w:fldCharType="separate"/>
    </w:r>
    <w:r>
      <w:rPr>
        <w:lang w:val="zh-CN"/>
      </w:rPr>
      <w:t xml:space="preserve">58</w:t>
    </w:r>
    <w:r>
      <w:fldChar w:fldCharType="end"/>
    </w:r>
    <w:r/>
  </w:p>
  <w:p>
    <w:pPr>
      <w:pStyle w:val="1044"/>
    </w:pPr>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jc w:val="right"/>
    </w:pPr>
    <w:r>
      <w:fldChar w:fldCharType="begin"/>
    </w:r>
    <w:r>
      <w:instrText xml:space="preserve">PAGE   \* MERGEFORMAT</w:instrText>
    </w:r>
    <w:r>
      <w:fldChar w:fldCharType="separate"/>
    </w:r>
    <w:r>
      <w:rPr>
        <w:lang w:val="zh-CN"/>
      </w:rPr>
      <w:t xml:space="preserve">59</w:t>
    </w:r>
    <w:r>
      <w:fldChar w:fldCharType="end"/>
    </w:r>
    <w:r/>
  </w:p>
  <w:p>
    <w:pPr>
      <w:pStyle w:val="1044"/>
    </w:pPr>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jc w:val="right"/>
    </w:pPr>
    <w:r>
      <w:fldChar w:fldCharType="begin"/>
    </w:r>
    <w:r>
      <w:instrText xml:space="preserve">PAGE   \* MERGEFORMAT</w:instrText>
    </w:r>
    <w:r>
      <w:fldChar w:fldCharType="separate"/>
    </w:r>
    <w:r>
      <w:rPr>
        <w:lang w:val="zh-CN"/>
      </w:rPr>
      <w:t xml:space="preserve">61</w:t>
    </w:r>
    <w:r>
      <w:fldChar w:fldCharType="end"/>
    </w:r>
    <w:r/>
  </w:p>
  <w:p>
    <w:pPr>
      <w:pStyle w:val="1044"/>
      <w:jc w:val="center"/>
      <w:rPr>
        <w:b/>
        <w:i/>
      </w:rPr>
    </w:pPr>
    <w:r>
      <w:rPr>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rPr>
        <w:rStyle w:val="1069"/>
      </w:rPr>
      <w:framePr w:wrap="around" w:vAnchor="text" w:hAnchor="margin" w:xAlign="center" w:y="1"/>
    </w:pPr>
    <w:r>
      <w:fldChar w:fldCharType="begin"/>
    </w:r>
    <w:r>
      <w:rPr>
        <w:rStyle w:val="1069"/>
      </w:rPr>
      <w:instrText xml:space="preserve">PAGE  </w:instrText>
    </w:r>
    <w:r>
      <w:fldChar w:fldCharType="separate"/>
    </w:r>
    <w:r>
      <w:rPr>
        <w:rStyle w:val="1069"/>
      </w:rPr>
      <w:t xml:space="preserve">1</w:t>
    </w:r>
    <w:r>
      <w:fldChar w:fldCharType="end"/>
    </w:r>
    <w:r/>
  </w:p>
  <w:p>
    <w:pPr>
      <w:pStyle w:val="104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decimal"/>
      <w:isLgl w:val="false"/>
      <w:suff w:val="tab"/>
      <w:lvlText w:val="(%2)"/>
      <w:lvlJc w:val="left"/>
      <w:pPr>
        <w:ind w:left="840" w:hanging="420"/>
        <w:tabs>
          <w:tab w:val="left" w:pos="840" w:leader="none"/>
        </w:tabs>
      </w:pPr>
      <w:rPr>
        <w:rFonts w:hint="default"/>
      </w:rPr>
    </w:lvl>
    <w:lvl w:ilvl="2">
      <w:start w:val="1"/>
      <w:numFmt w:val="decimalEnclosedCircleChinese"/>
      <w:isLgl w:val="false"/>
      <w:suff w:val="tab"/>
      <w:lvlText w:val="%3"/>
      <w:lvlJc w:val="left"/>
      <w:pPr>
        <w:ind w:left="1260" w:hanging="420"/>
        <w:tabs>
          <w:tab w:val="left" w:pos="1260" w:leader="none"/>
        </w:tabs>
      </w:pPr>
      <w:rPr>
        <w:rFonts w:hint="default"/>
      </w:rPr>
    </w:lvl>
    <w:lvl w:ilvl="3">
      <w:start w:val="1"/>
      <w:numFmt w:val="decimal"/>
      <w:isLgl w:val="false"/>
      <w:suff w:val="tab"/>
      <w:lvlText w:val="%4)"/>
      <w:lvlJc w:val="left"/>
      <w:pPr>
        <w:ind w:left="1680" w:hanging="420"/>
        <w:tabs>
          <w:tab w:val="left" w:pos="1680" w:leader="none"/>
        </w:tabs>
      </w:pPr>
      <w:rPr>
        <w:rFonts w:hint="default"/>
      </w:rPr>
    </w:lvl>
    <w:lvl w:ilvl="4">
      <w:start w:val="1"/>
      <w:numFmt w:val="lowerLetter"/>
      <w:isLgl w:val="false"/>
      <w:suff w:val="tab"/>
      <w:lvlText w:val="%5."/>
      <w:lvlJc w:val="left"/>
      <w:pPr>
        <w:ind w:left="2100" w:hanging="420"/>
        <w:tabs>
          <w:tab w:val="left" w:pos="2100" w:leader="none"/>
        </w:tabs>
      </w:pPr>
      <w:rPr>
        <w:rFonts w:hint="default"/>
      </w:rPr>
    </w:lvl>
    <w:lvl w:ilvl="5">
      <w:start w:val="1"/>
      <w:numFmt w:val="lowerLetter"/>
      <w:isLgl w:val="false"/>
      <w:suff w:val="tab"/>
      <w:lvlText w:val="%6)"/>
      <w:lvlJc w:val="left"/>
      <w:pPr>
        <w:ind w:left="2520" w:hanging="420"/>
        <w:tabs>
          <w:tab w:val="left" w:pos="2520" w:leader="none"/>
        </w:tabs>
      </w:pPr>
      <w:rPr>
        <w:rFonts w:hint="default"/>
      </w:rPr>
    </w:lvl>
    <w:lvl w:ilvl="6">
      <w:start w:val="1"/>
      <w:numFmt w:val="lowerRoman"/>
      <w:isLgl w:val="false"/>
      <w:suff w:val="tab"/>
      <w:lvlText w:val="%7."/>
      <w:lvlJc w:val="left"/>
      <w:pPr>
        <w:ind w:left="2940" w:hanging="420"/>
        <w:tabs>
          <w:tab w:val="left" w:pos="2940" w:leader="none"/>
        </w:tabs>
      </w:pPr>
      <w:rPr>
        <w:rFonts w:hint="default"/>
      </w:rPr>
    </w:lvl>
    <w:lvl w:ilvl="7">
      <w:start w:val="1"/>
      <w:numFmt w:val="lowerRoman"/>
      <w:isLgl w:val="false"/>
      <w:suff w:val="tab"/>
      <w:lvlText w:val="%8)"/>
      <w:lvlJc w:val="left"/>
      <w:pPr>
        <w:ind w:left="3360" w:hanging="420"/>
        <w:tabs>
          <w:tab w:val="left" w:pos="3360" w:leader="none"/>
        </w:tabs>
      </w:pPr>
      <w:rPr>
        <w:rFonts w:hint="default"/>
      </w:rPr>
    </w:lvl>
    <w:lvl w:ilvl="8">
      <w:start w:val="1"/>
      <w:numFmt w:val="lowerLetter"/>
      <w:isLgl w:val="false"/>
      <w:suff w:val="tab"/>
      <w:lvlText w:val="%9."/>
      <w:lvlJc w:val="left"/>
      <w:pPr>
        <w:ind w:left="3780" w:hanging="420"/>
        <w:tabs>
          <w:tab w:val="left" w:pos="3780" w:leader="none"/>
        </w:tabs>
      </w:pPr>
      <w:rPr>
        <w:rFonts w:hint="default"/>
      </w:rPr>
    </w:lvl>
  </w:abstractNum>
  <w:abstractNum w:abstractNumId="4">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ind w:left="0" w:firstLine="0"/>
      </w:pPr>
      <w:rPr>
        <w:rFonts w:hint="default"/>
      </w:rPr>
    </w:lvl>
    <w:lvl w:ilvl="1">
      <w:start w:val="1"/>
      <w:numFmt w:val="decimal"/>
      <w:isLgl w:val="false"/>
      <w:suff w:val="space"/>
      <w:lvlText w:val="%1.%2"/>
      <w:lvlJc w:val="left"/>
      <w:pPr>
        <w:ind w:left="0" w:firstLine="0"/>
      </w:pPr>
      <w:rPr>
        <w:rFonts w:hint="default"/>
      </w:rPr>
    </w:lvl>
    <w:lvl w:ilvl="2">
      <w:start w:val="1"/>
      <w:numFmt w:val="decimal"/>
      <w:isLgl w:val="false"/>
      <w:suff w:val="space"/>
      <w:lvlText w:val="%1.%2.%3"/>
      <w:lvlJc w:val="left"/>
      <w:pPr>
        <w:ind w:left="0" w:firstLine="0"/>
      </w:pPr>
      <w:rPr>
        <w:rFonts w:hint="default"/>
      </w:rPr>
    </w:lvl>
    <w:lvl w:ilvl="3">
      <w:start w:val="1"/>
      <w:numFmt w:val="decimal"/>
      <w:isLgl w:val="false"/>
      <w:suff w:val="space"/>
      <w:lvlText w:val="%1.%2.%3.%4"/>
      <w:lvlJc w:val="left"/>
      <w:pPr>
        <w:ind w:left="0" w:firstLine="0"/>
      </w:pPr>
      <w:rPr>
        <w:rFonts w:hint="default"/>
      </w:rPr>
    </w:lvl>
    <w:lvl w:ilvl="4">
      <w:start w:val="1"/>
      <w:numFmt w:val="decimal"/>
      <w:isLgl w:val="false"/>
      <w:suff w:val="space"/>
      <w:lvlText w:val="%1.%2.%3.%4.%5"/>
      <w:lvlJc w:val="left"/>
      <w:pPr>
        <w:ind w:left="0" w:firstLine="0"/>
      </w:pPr>
      <w:rPr>
        <w:rFonts w:hint="default"/>
      </w:rPr>
    </w:lvl>
    <w:lvl w:ilvl="5">
      <w:start w:val="1"/>
      <w:numFmt w:val="decimal"/>
      <w:isLgl w:val="false"/>
      <w:suff w:val="space"/>
      <w:lvlText w:val="%1.%2.%3.%4.%5.%6"/>
      <w:lvlJc w:val="left"/>
      <w:pPr>
        <w:ind w:left="0" w:firstLine="0"/>
      </w:pPr>
      <w:rPr>
        <w:rFonts w:hint="default"/>
      </w:rPr>
    </w:lvl>
    <w:lvl w:ilvl="6">
      <w:start w:val="1"/>
      <w:numFmt w:val="decimal"/>
      <w:isLgl w:val="false"/>
      <w:suff w:val="space"/>
      <w:lvlText w:val="%1.%2.%3.%4.%5.%6.%7"/>
      <w:lvlJc w:val="left"/>
      <w:pPr>
        <w:ind w:left="0" w:firstLine="0"/>
      </w:pPr>
      <w:rPr>
        <w:rFonts w:hint="default"/>
      </w:rPr>
    </w:lvl>
    <w:lvl w:ilvl="7">
      <w:start w:val="1"/>
      <w:numFmt w:val="decimal"/>
      <w:isLgl w:val="false"/>
      <w:suff w:val="space"/>
      <w:lvlText w:val="%1.%2.%3.%4.%5.%6.%7.%8"/>
      <w:lvlJc w:val="left"/>
      <w:pPr>
        <w:ind w:left="0" w:firstLine="0"/>
      </w:pPr>
      <w:rPr>
        <w:rFonts w:hint="default"/>
      </w:rPr>
    </w:lvl>
    <w:lvl w:ilvl="8">
      <w:start w:val="1"/>
      <w:numFmt w:val="decimal"/>
      <w:isLgl w:val="false"/>
      <w:suff w:val="space"/>
      <w:lvlText w:val="%1.%2.%3.%4.%5.%6.%7.%8.%9"/>
      <w:lvlJc w:val="left"/>
      <w:pPr>
        <w:ind w:left="0" w:firstLine="0"/>
      </w:pPr>
      <w:rPr>
        <w:rFonts w:hint="default"/>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japaneseCounting"/>
      <w:isLgl w:val="false"/>
      <w:suff w:val="tab"/>
      <w:lvlText w:val="%1、"/>
      <w:lvlJc w:val="left"/>
      <w:pPr>
        <w:ind w:left="500" w:hanging="50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upperLetter"/>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tabs>
          <w:tab w:val="left" w:pos="312" w:leader="none"/>
        </w:tabs>
      </w:pPr>
    </w:lvl>
    <w:lvl w:ilvl="1">
      <w:start w:val="1"/>
      <w:numFmt w:val="decimal"/>
      <w:isLgl w:val="false"/>
      <w:suff w:val="tab"/>
      <w:lvlText w:val="(%2)"/>
      <w:lvlJc w:val="left"/>
      <w:pPr>
        <w:ind w:left="840" w:hanging="420"/>
        <w:tabs>
          <w:tab w:val="left" w:pos="840" w:leader="none"/>
        </w:tabs>
      </w:pPr>
      <w:rPr>
        <w:rFonts w:hint="default"/>
      </w:rPr>
    </w:lvl>
    <w:lvl w:ilvl="2">
      <w:start w:val="1"/>
      <w:numFmt w:val="decimalEnclosedCircleChinese"/>
      <w:isLgl w:val="false"/>
      <w:suff w:val="tab"/>
      <w:lvlText w:val="%3"/>
      <w:lvlJc w:val="left"/>
      <w:pPr>
        <w:ind w:left="1260" w:hanging="420"/>
        <w:tabs>
          <w:tab w:val="left" w:pos="1260" w:leader="none"/>
        </w:tabs>
      </w:pPr>
      <w:rPr>
        <w:rFonts w:hint="default"/>
      </w:rPr>
    </w:lvl>
    <w:lvl w:ilvl="3">
      <w:start w:val="1"/>
      <w:numFmt w:val="decimal"/>
      <w:isLgl w:val="false"/>
      <w:suff w:val="tab"/>
      <w:lvlText w:val="%4)"/>
      <w:lvlJc w:val="left"/>
      <w:pPr>
        <w:ind w:left="1680" w:hanging="420"/>
        <w:tabs>
          <w:tab w:val="left" w:pos="1680" w:leader="none"/>
        </w:tabs>
      </w:pPr>
      <w:rPr>
        <w:rFonts w:hint="default"/>
      </w:rPr>
    </w:lvl>
    <w:lvl w:ilvl="4">
      <w:start w:val="1"/>
      <w:numFmt w:val="lowerLetter"/>
      <w:isLgl w:val="false"/>
      <w:suff w:val="tab"/>
      <w:lvlText w:val="%5."/>
      <w:lvlJc w:val="left"/>
      <w:pPr>
        <w:ind w:left="2100" w:hanging="420"/>
        <w:tabs>
          <w:tab w:val="left" w:pos="2100" w:leader="none"/>
        </w:tabs>
      </w:pPr>
      <w:rPr>
        <w:rFonts w:hint="default"/>
      </w:rPr>
    </w:lvl>
    <w:lvl w:ilvl="5">
      <w:start w:val="1"/>
      <w:numFmt w:val="lowerLetter"/>
      <w:isLgl w:val="false"/>
      <w:suff w:val="tab"/>
      <w:lvlText w:val="%6)"/>
      <w:lvlJc w:val="left"/>
      <w:pPr>
        <w:ind w:left="2520" w:hanging="420"/>
        <w:tabs>
          <w:tab w:val="left" w:pos="2520" w:leader="none"/>
        </w:tabs>
      </w:pPr>
      <w:rPr>
        <w:rFonts w:hint="default"/>
      </w:rPr>
    </w:lvl>
    <w:lvl w:ilvl="6">
      <w:start w:val="1"/>
      <w:numFmt w:val="lowerRoman"/>
      <w:isLgl w:val="false"/>
      <w:suff w:val="tab"/>
      <w:lvlText w:val="%7."/>
      <w:lvlJc w:val="left"/>
      <w:pPr>
        <w:ind w:left="2940" w:hanging="420"/>
        <w:tabs>
          <w:tab w:val="left" w:pos="2940" w:leader="none"/>
        </w:tabs>
      </w:pPr>
      <w:rPr>
        <w:rFonts w:hint="default"/>
      </w:rPr>
    </w:lvl>
    <w:lvl w:ilvl="7">
      <w:start w:val="1"/>
      <w:numFmt w:val="lowerRoman"/>
      <w:isLgl w:val="false"/>
      <w:suff w:val="tab"/>
      <w:lvlText w:val="%8)"/>
      <w:lvlJc w:val="left"/>
      <w:pPr>
        <w:ind w:left="3360" w:hanging="420"/>
        <w:tabs>
          <w:tab w:val="left" w:pos="3360" w:leader="none"/>
        </w:tabs>
      </w:pPr>
      <w:rPr>
        <w:rFonts w:hint="default"/>
      </w:rPr>
    </w:lvl>
    <w:lvl w:ilvl="8">
      <w:start w:val="1"/>
      <w:numFmt w:val="lowerLetter"/>
      <w:isLgl w:val="false"/>
      <w:suff w:val="tab"/>
      <w:lvlText w:val="%9."/>
      <w:lvlJc w:val="left"/>
      <w:pPr>
        <w:ind w:left="3780" w:hanging="420"/>
        <w:tabs>
          <w:tab w:val="left" w:pos="3780" w:leader="none"/>
        </w:tabs>
      </w:pPr>
      <w:rPr>
        <w:rFonts w:hint="default"/>
      </w:rPr>
    </w:lvl>
  </w:abstractNum>
  <w:abstractNum w:abstractNumId="13">
    <w:multiLevelType w:val="hybridMultilevel"/>
    <w:lvl w:ilvl="0">
      <w:start w:val="1"/>
      <w:numFmt w:val="decimal"/>
      <w:pStyle w:val="109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4">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upperLetter"/>
      <w:pStyle w:val="108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10"/>
      <w:isLgl w:val="false"/>
      <w:suff w:val="nothing"/>
      <w:lvlText w:val=""/>
      <w:lvlJc w:val="left"/>
      <w:pPr>
        <w:ind w:left="0" w:firstLine="0"/>
      </w:pPr>
      <w:rPr>
        <w:rFonts w:hint="eastAsia"/>
      </w:rPr>
    </w:lvl>
    <w:lvl w:ilvl="6">
      <w:start w:val="1"/>
      <w:numFmt w:val="decimal"/>
      <w:pStyle w:val="1012"/>
      <w:isLgl w:val="false"/>
      <w:suff w:val="nothing"/>
      <w:lvlText w:val=""/>
      <w:lvlJc w:val="left"/>
      <w:pPr>
        <w:ind w:left="0" w:firstLine="0"/>
      </w:pPr>
      <w:rPr>
        <w:rFonts w:hint="eastAsia"/>
      </w:rPr>
    </w:lvl>
    <w:lvl w:ilvl="7">
      <w:start w:val="1"/>
      <w:numFmt w:val="decimal"/>
      <w:pStyle w:val="1014"/>
      <w:isLgl w:val="false"/>
      <w:suff w:val="nothing"/>
      <w:lvlText w:val=""/>
      <w:lvlJc w:val="left"/>
      <w:pPr>
        <w:ind w:left="0" w:firstLine="0"/>
      </w:pPr>
      <w:rPr>
        <w:rFonts w:hint="eastAsia"/>
      </w:rPr>
    </w:lvl>
    <w:lvl w:ilvl="8">
      <w:start w:val="1"/>
      <w:numFmt w:val="decimal"/>
      <w:pStyle w:val="1016"/>
      <w:isLgl w:val="false"/>
      <w:suff w:val="nothing"/>
      <w:lvlText w:val=""/>
      <w:lvlJc w:val="left"/>
      <w:pPr>
        <w:ind w:left="0" w:firstLine="0"/>
      </w:pPr>
      <w:rPr>
        <w:rFonts w:hint="eastAsia"/>
      </w:rPr>
    </w:lvl>
  </w:abstractNum>
  <w:abstractNum w:abstractNumId="18">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490" w:hanging="277"/>
      </w:pPr>
      <w:rPr>
        <w:rFonts w:hint="default" w:ascii="微软雅黑" w:hAnsi="微软雅黑" w:eastAsia="微软雅黑" w:cs="微软雅黑"/>
        <w:spacing w:val="-1"/>
        <w:sz w:val="19"/>
        <w:szCs w:val="19"/>
        <w:lang w:val="en-US" w:eastAsia="zh-CN" w:bidi="ar-SA"/>
      </w:rPr>
    </w:lvl>
    <w:lvl w:ilvl="1">
      <w:start w:val="0"/>
      <w:numFmt w:val="bullet"/>
      <w:isLgl w:val="false"/>
      <w:suff w:val="tab"/>
      <w:lvlText w:val="•"/>
      <w:lvlJc w:val="left"/>
      <w:pPr>
        <w:ind w:left="1528" w:hanging="277"/>
      </w:pPr>
      <w:rPr>
        <w:rFonts w:hint="default"/>
        <w:lang w:val="en-US" w:eastAsia="zh-CN" w:bidi="ar-SA"/>
      </w:rPr>
    </w:lvl>
    <w:lvl w:ilvl="2">
      <w:start w:val="0"/>
      <w:numFmt w:val="bullet"/>
      <w:isLgl w:val="false"/>
      <w:suff w:val="tab"/>
      <w:lvlText w:val="•"/>
      <w:lvlJc w:val="left"/>
      <w:pPr>
        <w:ind w:left="2556" w:hanging="277"/>
      </w:pPr>
      <w:rPr>
        <w:rFonts w:hint="default"/>
        <w:lang w:val="en-US" w:eastAsia="zh-CN" w:bidi="ar-SA"/>
      </w:rPr>
    </w:lvl>
    <w:lvl w:ilvl="3">
      <w:start w:val="0"/>
      <w:numFmt w:val="bullet"/>
      <w:isLgl w:val="false"/>
      <w:suff w:val="tab"/>
      <w:lvlText w:val="•"/>
      <w:lvlJc w:val="left"/>
      <w:pPr>
        <w:ind w:left="3584" w:hanging="277"/>
      </w:pPr>
      <w:rPr>
        <w:rFonts w:hint="default"/>
        <w:lang w:val="en-US" w:eastAsia="zh-CN" w:bidi="ar-SA"/>
      </w:rPr>
    </w:lvl>
    <w:lvl w:ilvl="4">
      <w:start w:val="0"/>
      <w:numFmt w:val="bullet"/>
      <w:isLgl w:val="false"/>
      <w:suff w:val="tab"/>
      <w:lvlText w:val="•"/>
      <w:lvlJc w:val="left"/>
      <w:pPr>
        <w:ind w:left="4612" w:hanging="277"/>
      </w:pPr>
      <w:rPr>
        <w:rFonts w:hint="default"/>
        <w:lang w:val="en-US" w:eastAsia="zh-CN" w:bidi="ar-SA"/>
      </w:rPr>
    </w:lvl>
    <w:lvl w:ilvl="5">
      <w:start w:val="0"/>
      <w:numFmt w:val="bullet"/>
      <w:isLgl w:val="false"/>
      <w:suff w:val="tab"/>
      <w:lvlText w:val="•"/>
      <w:lvlJc w:val="left"/>
      <w:pPr>
        <w:ind w:left="5640" w:hanging="277"/>
      </w:pPr>
      <w:rPr>
        <w:rFonts w:hint="default"/>
        <w:lang w:val="en-US" w:eastAsia="zh-CN" w:bidi="ar-SA"/>
      </w:rPr>
    </w:lvl>
    <w:lvl w:ilvl="6">
      <w:start w:val="0"/>
      <w:numFmt w:val="bullet"/>
      <w:isLgl w:val="false"/>
      <w:suff w:val="tab"/>
      <w:lvlText w:val="•"/>
      <w:lvlJc w:val="left"/>
      <w:pPr>
        <w:ind w:left="6668" w:hanging="277"/>
      </w:pPr>
      <w:rPr>
        <w:rFonts w:hint="default"/>
        <w:lang w:val="en-US" w:eastAsia="zh-CN" w:bidi="ar-SA"/>
      </w:rPr>
    </w:lvl>
    <w:lvl w:ilvl="7">
      <w:start w:val="0"/>
      <w:numFmt w:val="bullet"/>
      <w:isLgl w:val="false"/>
      <w:suff w:val="tab"/>
      <w:lvlText w:val="•"/>
      <w:lvlJc w:val="left"/>
      <w:pPr>
        <w:ind w:left="7696" w:hanging="277"/>
      </w:pPr>
      <w:rPr>
        <w:rFonts w:hint="default"/>
        <w:lang w:val="en-US" w:eastAsia="zh-CN" w:bidi="ar-SA"/>
      </w:rPr>
    </w:lvl>
    <w:lvl w:ilvl="8">
      <w:start w:val="0"/>
      <w:numFmt w:val="bullet"/>
      <w:isLgl w:val="false"/>
      <w:suff w:val="tab"/>
      <w:lvlText w:val="•"/>
      <w:lvlJc w:val="left"/>
      <w:pPr>
        <w:ind w:left="8724" w:hanging="277"/>
      </w:pPr>
      <w:rPr>
        <w:rFonts w:hint="default"/>
        <w:lang w:val="en-US" w:eastAsia="zh-CN" w:bidi="ar-SA"/>
      </w:rPr>
    </w:lvl>
  </w:abstractNum>
  <w:abstractNum w:abstractNumId="2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7"/>
  </w:num>
  <w:num w:numId="2">
    <w:abstractNumId w:val="16"/>
  </w:num>
  <w:num w:numId="3">
    <w:abstractNumId w:val="13"/>
  </w:num>
  <w:num w:numId="4">
    <w:abstractNumId w:val="10"/>
  </w:num>
  <w:num w:numId="5">
    <w:abstractNumId w:val="8"/>
  </w:num>
  <w:num w:numId="6">
    <w:abstractNumId w:val="9"/>
  </w:num>
  <w:num w:numId="7">
    <w:abstractNumId w:val="3"/>
  </w:num>
  <w:num w:numId="8">
    <w:abstractNumId w:val="12"/>
  </w:num>
  <w:num w:numId="9">
    <w:abstractNumId w:val="5"/>
  </w:num>
  <w:num w:numId="10">
    <w:abstractNumId w:val="0"/>
  </w:num>
  <w:num w:numId="11">
    <w:abstractNumId w:val="6"/>
  </w:num>
  <w:num w:numId="12">
    <w:abstractNumId w:val="20"/>
  </w:num>
  <w:num w:numId="13">
    <w:abstractNumId w:val="11"/>
  </w:num>
  <w:num w:numId="14">
    <w:abstractNumId w:val="14"/>
  </w:num>
  <w:num w:numId="15">
    <w:abstractNumId w:val="21"/>
  </w:num>
  <w:num w:numId="16">
    <w:abstractNumId w:val="18"/>
  </w:num>
  <w:num w:numId="17">
    <w:abstractNumId w:val="2"/>
  </w:num>
  <w:num w:numId="18">
    <w:abstractNumId w:val="1"/>
  </w:num>
  <w:num w:numId="19">
    <w:abstractNumId w:val="7"/>
  </w:num>
  <w:num w:numId="20">
    <w:abstractNumId w:val="4"/>
  </w:num>
  <w:num w:numId="21">
    <w:abstractNumId w:val="15"/>
  </w:num>
  <w:num w:numId="2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8">
    <w:name w:val="Heading 1"/>
    <w:basedOn w:val="801"/>
    <w:next w:val="801"/>
    <w:link w:val="843"/>
    <w:uiPriority w:val="9"/>
    <w:qFormat/>
    <w:pPr>
      <w:keepLines/>
      <w:keepNext/>
      <w:spacing w:before="480" w:after="200"/>
      <w:outlineLvl w:val="0"/>
    </w:pPr>
    <w:rPr>
      <w:rFonts w:ascii="Arial" w:hAnsi="Arial" w:eastAsia="Arial" w:cs="Arial"/>
      <w:sz w:val="40"/>
      <w:szCs w:val="40"/>
    </w:rPr>
  </w:style>
  <w:style w:type="paragraph" w:styleId="769">
    <w:name w:val="Heading 5"/>
    <w:basedOn w:val="801"/>
    <w:next w:val="801"/>
    <w:link w:val="851"/>
    <w:uiPriority w:val="9"/>
    <w:unhideWhenUsed/>
    <w:qFormat/>
    <w:pPr>
      <w:keepLines/>
      <w:keepNext/>
      <w:spacing w:before="320" w:after="200"/>
      <w:outlineLvl w:val="4"/>
    </w:pPr>
    <w:rPr>
      <w:rFonts w:ascii="Arial" w:hAnsi="Arial" w:eastAsia="Arial" w:cs="Arial"/>
      <w:b/>
      <w:bCs/>
      <w:sz w:val="24"/>
      <w:szCs w:val="24"/>
    </w:rPr>
  </w:style>
  <w:style w:type="paragraph" w:styleId="770">
    <w:name w:val="Heading 6"/>
    <w:basedOn w:val="801"/>
    <w:next w:val="801"/>
    <w:link w:val="853"/>
    <w:uiPriority w:val="9"/>
    <w:unhideWhenUsed/>
    <w:qFormat/>
    <w:pPr>
      <w:keepLines/>
      <w:keepNext/>
      <w:spacing w:before="320" w:after="200"/>
      <w:outlineLvl w:val="5"/>
    </w:pPr>
    <w:rPr>
      <w:rFonts w:ascii="Arial" w:hAnsi="Arial" w:eastAsia="Arial" w:cs="Arial"/>
      <w:b/>
      <w:bCs/>
      <w:sz w:val="22"/>
      <w:szCs w:val="22"/>
    </w:rPr>
  </w:style>
  <w:style w:type="paragraph" w:styleId="771">
    <w:name w:val="Heading 7"/>
    <w:basedOn w:val="801"/>
    <w:next w:val="801"/>
    <w:link w:val="855"/>
    <w:uiPriority w:val="9"/>
    <w:unhideWhenUsed/>
    <w:qFormat/>
    <w:pPr>
      <w:keepLines/>
      <w:keepNext/>
      <w:spacing w:before="320" w:after="200"/>
      <w:outlineLvl w:val="6"/>
    </w:pPr>
    <w:rPr>
      <w:rFonts w:ascii="Arial" w:hAnsi="Arial" w:eastAsia="Arial" w:cs="Arial"/>
      <w:b/>
      <w:bCs/>
      <w:i/>
      <w:iCs/>
      <w:sz w:val="22"/>
      <w:szCs w:val="22"/>
    </w:rPr>
  </w:style>
  <w:style w:type="paragraph" w:styleId="772">
    <w:name w:val="Heading 8"/>
    <w:basedOn w:val="801"/>
    <w:next w:val="801"/>
    <w:link w:val="857"/>
    <w:uiPriority w:val="9"/>
    <w:unhideWhenUsed/>
    <w:qFormat/>
    <w:pPr>
      <w:keepLines/>
      <w:keepNext/>
      <w:spacing w:before="320" w:after="200"/>
      <w:outlineLvl w:val="7"/>
    </w:pPr>
    <w:rPr>
      <w:rFonts w:ascii="Arial" w:hAnsi="Arial" w:eastAsia="Arial" w:cs="Arial"/>
      <w:i/>
      <w:iCs/>
      <w:sz w:val="22"/>
      <w:szCs w:val="22"/>
    </w:rPr>
  </w:style>
  <w:style w:type="paragraph" w:styleId="773">
    <w:name w:val="Heading 9"/>
    <w:basedOn w:val="801"/>
    <w:next w:val="801"/>
    <w:link w:val="859"/>
    <w:uiPriority w:val="9"/>
    <w:unhideWhenUsed/>
    <w:qFormat/>
    <w:pPr>
      <w:keepLines/>
      <w:keepNext/>
      <w:spacing w:before="320" w:after="200"/>
      <w:outlineLvl w:val="8"/>
    </w:pPr>
    <w:rPr>
      <w:rFonts w:ascii="Arial" w:hAnsi="Arial" w:eastAsia="Arial" w:cs="Arial"/>
      <w:i/>
      <w:iCs/>
      <w:sz w:val="21"/>
      <w:szCs w:val="21"/>
    </w:rPr>
  </w:style>
  <w:style w:type="character" w:styleId="774">
    <w:name w:val="Title Char"/>
    <w:basedOn w:val="805"/>
    <w:link w:val="828"/>
    <w:uiPriority w:val="10"/>
    <w:rPr>
      <w:sz w:val="48"/>
      <w:szCs w:val="48"/>
    </w:rPr>
  </w:style>
  <w:style w:type="character" w:styleId="775">
    <w:name w:val="Subtitle Char"/>
    <w:basedOn w:val="805"/>
    <w:link w:val="821"/>
    <w:uiPriority w:val="11"/>
    <w:rPr>
      <w:sz w:val="24"/>
      <w:szCs w:val="24"/>
    </w:rPr>
  </w:style>
  <w:style w:type="character" w:styleId="776">
    <w:name w:val="Quote Char"/>
    <w:link w:val="862"/>
    <w:uiPriority w:val="29"/>
    <w:rPr>
      <w:i/>
    </w:rPr>
  </w:style>
  <w:style w:type="character" w:styleId="777">
    <w:name w:val="Intense Quote Char"/>
    <w:link w:val="864"/>
    <w:uiPriority w:val="30"/>
    <w:rPr>
      <w:i/>
    </w:rPr>
  </w:style>
  <w:style w:type="paragraph" w:styleId="778">
    <w:name w:val="Caption"/>
    <w:basedOn w:val="801"/>
    <w:next w:val="801"/>
    <w:uiPriority w:val="35"/>
    <w:semiHidden/>
    <w:unhideWhenUsed/>
    <w:qFormat/>
    <w:pPr>
      <w:spacing w:line="276" w:lineRule="auto"/>
    </w:pPr>
    <w:rPr>
      <w:b/>
      <w:bCs/>
      <w:color w:val="4f81bd" w:themeColor="accent1"/>
      <w:sz w:val="18"/>
      <w:szCs w:val="18"/>
    </w:rPr>
  </w:style>
  <w:style w:type="table" w:styleId="779">
    <w:name w:val="Plain Table 1"/>
    <w:basedOn w:val="80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0">
    <w:name w:val="Plain Table 2"/>
    <w:basedOn w:val="80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1">
    <w:name w:val="Plain Table 3"/>
    <w:basedOn w:val="8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2">
    <w:name w:val="Plain Table 4"/>
    <w:basedOn w:val="8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3">
    <w:name w:val="Plain Table 5"/>
    <w:basedOn w:val="8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4">
    <w:name w:val="Grid Table 1 Light"/>
    <w:basedOn w:val="80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5">
    <w:name w:val="Grid Table 2"/>
    <w:basedOn w:val="80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6">
    <w:name w:val="Grid Table 3"/>
    <w:basedOn w:val="80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4"/>
    <w:basedOn w:val="80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8">
    <w:name w:val="Grid Table 5 Dark"/>
    <w:basedOn w:val="8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9">
    <w:name w:val="Grid Table 6 Colorful"/>
    <w:basedOn w:val="80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0">
    <w:name w:val="Grid Table 7 Colorful"/>
    <w:basedOn w:val="80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1">
    <w:name w:val="List Table 1 Light"/>
    <w:basedOn w:val="80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2">
    <w:name w:val="List Table 2"/>
    <w:basedOn w:val="80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3">
    <w:name w:val="List Table 3"/>
    <w:basedOn w:val="80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4">
    <w:name w:val="List Table 4"/>
    <w:basedOn w:val="80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5">
    <w:name w:val="List Table 5 Dark"/>
    <w:basedOn w:val="80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6 Colorful"/>
    <w:basedOn w:val="80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7">
    <w:name w:val="List Table 7 Colorful"/>
    <w:basedOn w:val="80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98">
    <w:name w:val="Footnote Text Char"/>
    <w:link w:val="822"/>
    <w:uiPriority w:val="99"/>
    <w:rPr>
      <w:sz w:val="18"/>
    </w:rPr>
  </w:style>
  <w:style w:type="character" w:styleId="799">
    <w:name w:val="Endnote Text Char"/>
    <w:link w:val="815"/>
    <w:uiPriority w:val="99"/>
    <w:rPr>
      <w:sz w:val="20"/>
    </w:rPr>
  </w:style>
  <w:style w:type="paragraph" w:styleId="800">
    <w:name w:val="TOC Heading"/>
    <w:uiPriority w:val="39"/>
    <w:unhideWhenUsed/>
  </w:style>
  <w:style w:type="paragraph" w:styleId="801"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802">
    <w:name w:val="Heading 2"/>
    <w:basedOn w:val="801"/>
    <w:uiPriority w:val="1"/>
    <w:qFormat/>
    <w:pPr>
      <w:ind w:left="100"/>
      <w:spacing w:before="201"/>
      <w:outlineLvl w:val="1"/>
    </w:pPr>
    <w:rPr>
      <w:rFonts w:ascii="微软雅黑" w:hAnsi="微软雅黑" w:eastAsia="微软雅黑" w:cs="微软雅黑"/>
      <w:b/>
      <w:bCs/>
      <w:sz w:val="23"/>
      <w:szCs w:val="23"/>
    </w:rPr>
  </w:style>
  <w:style w:type="paragraph" w:styleId="803">
    <w:name w:val="Heading 3"/>
    <w:basedOn w:val="801"/>
    <w:uiPriority w:val="0"/>
    <w:qFormat/>
    <w:pPr>
      <w:jc w:val="left"/>
      <w:keepLines/>
      <w:keepNext/>
      <w:spacing w:before="360" w:after="120"/>
      <w:outlineLvl w:val="2"/>
    </w:pPr>
    <w:rPr>
      <w:rFonts w:ascii="宋体"/>
      <w:b/>
      <w:sz w:val="24"/>
      <w:szCs w:val="20"/>
      <w:u w:val="single"/>
    </w:rPr>
  </w:style>
  <w:style w:type="paragraph" w:styleId="804">
    <w:name w:val="Heading 4"/>
    <w:next w:val="801"/>
    <w:uiPriority w:val="9"/>
    <w:unhideWhenUsed/>
    <w:qFormat/>
    <w:pPr>
      <w:jc w:val="both"/>
      <w:keepLines/>
      <w:keepNext/>
      <w:spacing w:before="200" w:line="300" w:lineRule="auto"/>
      <w:widowControl w:val="off"/>
      <w:outlineLvl w:val="3"/>
    </w:pPr>
    <w:rPr>
      <w:rFonts w:ascii="Times New Roman" w:hAnsi="Times New Roman" w:eastAsia="黑体" w:cs="Times New Roman"/>
      <w:bCs/>
      <w:sz w:val="28"/>
      <w:szCs w:val="28"/>
      <w:lang w:val="en-US" w:eastAsia="zh-CN" w:bidi="ar-SA"/>
    </w:rPr>
  </w:style>
  <w:style w:type="character" w:styleId="805" w:default="1">
    <w:name w:val="Default Paragraph Font"/>
    <w:uiPriority w:val="1"/>
    <w:semiHidden/>
    <w:unhideWhenUsed/>
    <w:qFormat/>
  </w:style>
  <w:style w:type="table" w:styleId="806" w:default="1">
    <w:name w:val="Normal Table"/>
    <w:uiPriority w:val="99"/>
    <w:semiHidden/>
    <w:unhideWhenUsed/>
    <w:qFormat/>
    <w:tblPr>
      <w:tblCellMar>
        <w:left w:w="108" w:type="dxa"/>
        <w:top w:w="0" w:type="dxa"/>
        <w:right w:w="108" w:type="dxa"/>
        <w:bottom w:w="0" w:type="dxa"/>
      </w:tblCellMar>
    </w:tblPr>
  </w:style>
  <w:style w:type="paragraph" w:styleId="807">
    <w:name w:val="toc 7"/>
    <w:basedOn w:val="801"/>
    <w:next w:val="801"/>
    <w:uiPriority w:val="39"/>
    <w:unhideWhenUsed/>
    <w:qFormat/>
    <w:pPr>
      <w:ind w:left="1701"/>
      <w:spacing w:after="57"/>
    </w:pPr>
  </w:style>
  <w:style w:type="paragraph" w:styleId="808">
    <w:name w:val="annotation text"/>
    <w:basedOn w:val="801"/>
    <w:uiPriority w:val="99"/>
    <w:unhideWhenUsed/>
    <w:qFormat/>
    <w:pPr>
      <w:jc w:val="left"/>
    </w:pPr>
  </w:style>
  <w:style w:type="paragraph" w:styleId="809">
    <w:name w:val="Body Text"/>
    <w:basedOn w:val="801"/>
    <w:next w:val="801"/>
    <w:uiPriority w:val="0"/>
    <w:qFormat/>
    <w:pPr>
      <w:spacing w:before="120" w:line="22" w:lineRule="atLeast"/>
      <w:tabs>
        <w:tab w:val="left" w:pos="567" w:leader="none"/>
      </w:tabs>
    </w:pPr>
    <w:rPr>
      <w:rFonts w:ascii="宋体" w:hAnsi="宋体"/>
      <w:sz w:val="24"/>
    </w:rPr>
  </w:style>
  <w:style w:type="paragraph" w:styleId="810">
    <w:name w:val="Body Text Indent"/>
    <w:basedOn w:val="801"/>
    <w:uiPriority w:val="0"/>
    <w:qFormat/>
    <w:pPr>
      <w:ind w:firstLine="570"/>
      <w:spacing w:line="360" w:lineRule="auto"/>
    </w:pPr>
    <w:rPr>
      <w:sz w:val="24"/>
      <w:szCs w:val="24"/>
    </w:rPr>
  </w:style>
  <w:style w:type="paragraph" w:styleId="811">
    <w:name w:val="toc 5"/>
    <w:basedOn w:val="801"/>
    <w:next w:val="801"/>
    <w:uiPriority w:val="39"/>
    <w:unhideWhenUsed/>
    <w:qFormat/>
    <w:pPr>
      <w:ind w:left="1134"/>
      <w:spacing w:after="57"/>
    </w:pPr>
  </w:style>
  <w:style w:type="paragraph" w:styleId="812">
    <w:name w:val="toc 3"/>
    <w:basedOn w:val="801"/>
    <w:next w:val="801"/>
    <w:uiPriority w:val="39"/>
    <w:unhideWhenUsed/>
    <w:qFormat/>
    <w:pPr>
      <w:ind w:left="567"/>
      <w:spacing w:after="57"/>
    </w:pPr>
  </w:style>
  <w:style w:type="paragraph" w:styleId="813">
    <w:name w:val="Plain Text"/>
    <w:basedOn w:val="801"/>
    <w:uiPriority w:val="0"/>
    <w:qFormat/>
    <w:rPr>
      <w:rFonts w:hint="eastAsia" w:ascii="宋体" w:hAnsi="Courier New"/>
      <w:szCs w:val="20"/>
    </w:rPr>
  </w:style>
  <w:style w:type="paragraph" w:styleId="814">
    <w:name w:val="toc 8"/>
    <w:basedOn w:val="801"/>
    <w:next w:val="801"/>
    <w:uiPriority w:val="39"/>
    <w:unhideWhenUsed/>
    <w:qFormat/>
    <w:pPr>
      <w:ind w:left="1984"/>
      <w:spacing w:after="57"/>
    </w:pPr>
  </w:style>
  <w:style w:type="paragraph" w:styleId="815">
    <w:name w:val="endnote text"/>
    <w:basedOn w:val="801"/>
    <w:link w:val="836"/>
    <w:uiPriority w:val="99"/>
    <w:unhideWhenUsed/>
    <w:qFormat/>
    <w:rPr>
      <w:sz w:val="20"/>
    </w:rPr>
  </w:style>
  <w:style w:type="paragraph" w:styleId="816">
    <w:name w:val="Balloon Text"/>
    <w:basedOn w:val="801"/>
    <w:link w:val="1121"/>
    <w:uiPriority w:val="99"/>
    <w:semiHidden/>
    <w:unhideWhenUsed/>
    <w:qFormat/>
    <w:rPr>
      <w:sz w:val="18"/>
      <w:szCs w:val="18"/>
    </w:rPr>
  </w:style>
  <w:style w:type="paragraph" w:styleId="817">
    <w:name w:val="Footer"/>
    <w:basedOn w:val="801"/>
    <w:link w:val="837"/>
    <w:uiPriority w:val="99"/>
    <w:unhideWhenUsed/>
    <w:qFormat/>
    <w:pPr>
      <w:jc w:val="left"/>
      <w:tabs>
        <w:tab w:val="center" w:pos="4153" w:leader="none"/>
        <w:tab w:val="right" w:pos="8306" w:leader="none"/>
      </w:tabs>
    </w:pPr>
    <w:rPr>
      <w:sz w:val="18"/>
      <w:szCs w:val="18"/>
    </w:rPr>
  </w:style>
  <w:style w:type="paragraph" w:styleId="818">
    <w:name w:val="Header"/>
    <w:basedOn w:val="801"/>
    <w:link w:val="838"/>
    <w:uiPriority w:val="99"/>
    <w:unhideWhenUsed/>
    <w:qFormat/>
    <w:pPr>
      <w:jc w:val="center"/>
      <w:tabs>
        <w:tab w:val="center" w:pos="4153" w:leader="none"/>
        <w:tab w:val="right" w:pos="8306" w:leader="none"/>
      </w:tabs>
    </w:pPr>
    <w:rPr>
      <w:sz w:val="18"/>
      <w:szCs w:val="18"/>
    </w:rPr>
  </w:style>
  <w:style w:type="paragraph" w:styleId="819">
    <w:name w:val="toc 1"/>
    <w:basedOn w:val="801"/>
    <w:next w:val="801"/>
    <w:uiPriority w:val="39"/>
    <w:unhideWhenUsed/>
    <w:qFormat/>
    <w:pPr>
      <w:spacing w:after="57"/>
    </w:pPr>
  </w:style>
  <w:style w:type="paragraph" w:styleId="820">
    <w:name w:val="toc 4"/>
    <w:basedOn w:val="801"/>
    <w:next w:val="801"/>
    <w:uiPriority w:val="39"/>
    <w:unhideWhenUsed/>
    <w:qFormat/>
    <w:pPr>
      <w:ind w:left="850"/>
      <w:spacing w:after="57"/>
    </w:pPr>
  </w:style>
  <w:style w:type="paragraph" w:styleId="821">
    <w:name w:val="Subtitle"/>
    <w:basedOn w:val="801"/>
    <w:next w:val="801"/>
    <w:link w:val="839"/>
    <w:uiPriority w:val="11"/>
    <w:qFormat/>
    <w:pPr>
      <w:spacing w:before="200" w:after="200"/>
    </w:pPr>
    <w:rPr>
      <w:sz w:val="24"/>
      <w:szCs w:val="24"/>
    </w:rPr>
  </w:style>
  <w:style w:type="paragraph" w:styleId="822">
    <w:name w:val="footnote text"/>
    <w:basedOn w:val="801"/>
    <w:link w:val="840"/>
    <w:uiPriority w:val="99"/>
    <w:unhideWhenUsed/>
    <w:qFormat/>
    <w:pPr>
      <w:spacing w:after="40"/>
    </w:pPr>
    <w:rPr>
      <w:sz w:val="18"/>
    </w:rPr>
  </w:style>
  <w:style w:type="paragraph" w:styleId="823">
    <w:name w:val="toc 6"/>
    <w:basedOn w:val="801"/>
    <w:next w:val="801"/>
    <w:uiPriority w:val="39"/>
    <w:unhideWhenUsed/>
    <w:qFormat/>
    <w:pPr>
      <w:ind w:left="1417"/>
      <w:spacing w:after="57"/>
    </w:pPr>
  </w:style>
  <w:style w:type="paragraph" w:styleId="824">
    <w:name w:val="table of figures"/>
    <w:basedOn w:val="801"/>
    <w:next w:val="801"/>
    <w:uiPriority w:val="99"/>
    <w:unhideWhenUsed/>
    <w:qFormat/>
  </w:style>
  <w:style w:type="paragraph" w:styleId="825">
    <w:name w:val="toc 2"/>
    <w:basedOn w:val="801"/>
    <w:next w:val="801"/>
    <w:uiPriority w:val="39"/>
    <w:unhideWhenUsed/>
    <w:qFormat/>
    <w:pPr>
      <w:ind w:left="283"/>
      <w:spacing w:after="57"/>
    </w:pPr>
  </w:style>
  <w:style w:type="paragraph" w:styleId="826">
    <w:name w:val="toc 9"/>
    <w:basedOn w:val="801"/>
    <w:next w:val="801"/>
    <w:uiPriority w:val="39"/>
    <w:unhideWhenUsed/>
    <w:qFormat/>
    <w:pPr>
      <w:ind w:left="2268"/>
      <w:spacing w:after="57"/>
    </w:pPr>
  </w:style>
  <w:style w:type="paragraph" w:styleId="827">
    <w:name w:val="Normal (Web)"/>
    <w:basedOn w:val="801"/>
    <w:uiPriority w:val="0"/>
    <w:qFormat/>
    <w:pPr>
      <w:jc w:val="left"/>
      <w:spacing w:beforeAutospacing="1" w:afterAutospacing="1"/>
    </w:pPr>
    <w:rPr>
      <w:sz w:val="24"/>
    </w:rPr>
  </w:style>
  <w:style w:type="paragraph" w:styleId="828">
    <w:name w:val="Title"/>
    <w:basedOn w:val="801"/>
    <w:next w:val="801"/>
    <w:link w:val="841"/>
    <w:uiPriority w:val="10"/>
    <w:qFormat/>
    <w:pPr>
      <w:contextualSpacing/>
      <w:spacing w:before="300" w:after="200"/>
    </w:pPr>
    <w:rPr>
      <w:sz w:val="48"/>
      <w:szCs w:val="48"/>
    </w:rPr>
  </w:style>
  <w:style w:type="table" w:styleId="82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0">
    <w:name w:val="Strong"/>
    <w:basedOn w:val="805"/>
    <w:uiPriority w:val="22"/>
    <w:qFormat/>
    <w:rPr>
      <w:b/>
    </w:rPr>
  </w:style>
  <w:style w:type="character" w:styleId="831">
    <w:name w:val="endnote reference"/>
    <w:uiPriority w:val="99"/>
    <w:unhideWhenUsed/>
    <w:qFormat/>
    <w:rPr>
      <w:vertAlign w:val="superscript"/>
    </w:rPr>
  </w:style>
  <w:style w:type="character" w:styleId="832">
    <w:name w:val="Emphasis"/>
    <w:uiPriority w:val="0"/>
    <w:qFormat/>
    <w:rPr>
      <w:i/>
    </w:rPr>
  </w:style>
  <w:style w:type="character" w:styleId="833">
    <w:name w:val="Hyperlink"/>
    <w:uiPriority w:val="99"/>
    <w:unhideWhenUsed/>
    <w:qFormat/>
    <w:rPr>
      <w:color w:val="0000ff"/>
      <w:u w:val="single"/>
    </w:rPr>
  </w:style>
  <w:style w:type="character" w:styleId="834">
    <w:name w:val="annotation reference"/>
    <w:basedOn w:val="805"/>
    <w:uiPriority w:val="99"/>
    <w:semiHidden/>
    <w:unhideWhenUsed/>
    <w:qFormat/>
    <w:rPr>
      <w:sz w:val="21"/>
      <w:szCs w:val="21"/>
    </w:rPr>
  </w:style>
  <w:style w:type="character" w:styleId="835">
    <w:name w:val="footnote reference"/>
    <w:uiPriority w:val="99"/>
    <w:unhideWhenUsed/>
    <w:qFormat/>
    <w:rPr>
      <w:vertAlign w:val="superscript"/>
    </w:rPr>
  </w:style>
  <w:style w:type="character" w:styleId="836" w:customStyle="1">
    <w:name w:val="尾注文本 字符"/>
    <w:link w:val="815"/>
    <w:uiPriority w:val="99"/>
    <w:qFormat/>
    <w:rPr>
      <w:sz w:val="20"/>
    </w:rPr>
  </w:style>
  <w:style w:type="character" w:styleId="837" w:customStyle="1">
    <w:name w:val="页脚 字符1"/>
    <w:link w:val="817"/>
    <w:uiPriority w:val="99"/>
    <w:qFormat/>
    <w:rPr>
      <w:sz w:val="18"/>
      <w:szCs w:val="18"/>
    </w:rPr>
  </w:style>
  <w:style w:type="character" w:styleId="838" w:customStyle="1">
    <w:name w:val="页眉 字符1"/>
    <w:link w:val="818"/>
    <w:uiPriority w:val="99"/>
    <w:qFormat/>
    <w:rPr>
      <w:sz w:val="18"/>
      <w:szCs w:val="18"/>
    </w:rPr>
  </w:style>
  <w:style w:type="character" w:styleId="839" w:customStyle="1">
    <w:name w:val="副标题 字符"/>
    <w:link w:val="821"/>
    <w:uiPriority w:val="11"/>
    <w:qFormat/>
    <w:rPr>
      <w:sz w:val="24"/>
      <w:szCs w:val="24"/>
    </w:rPr>
  </w:style>
  <w:style w:type="character" w:styleId="840" w:customStyle="1">
    <w:name w:val="脚注文本 字符"/>
    <w:link w:val="822"/>
    <w:uiPriority w:val="99"/>
    <w:qFormat/>
    <w:rPr>
      <w:sz w:val="18"/>
    </w:rPr>
  </w:style>
  <w:style w:type="character" w:styleId="841" w:customStyle="1">
    <w:name w:val="标题 字符"/>
    <w:link w:val="828"/>
    <w:uiPriority w:val="10"/>
    <w:qFormat/>
    <w:rPr>
      <w:sz w:val="48"/>
      <w:szCs w:val="48"/>
    </w:rPr>
  </w:style>
  <w:style w:type="paragraph" w:styleId="842" w:customStyle="1">
    <w:name w:val="标题 11"/>
    <w:basedOn w:val="801"/>
    <w:next w:val="801"/>
    <w:link w:val="843"/>
    <w:uiPriority w:val="9"/>
    <w:qFormat/>
    <w:pPr>
      <w:keepLines/>
      <w:keepNext/>
      <w:spacing w:before="480" w:after="200"/>
      <w:outlineLvl w:val="0"/>
    </w:pPr>
    <w:rPr>
      <w:rFonts w:ascii="Arial" w:hAnsi="Arial" w:eastAsia="Arial" w:cs="Arial"/>
      <w:sz w:val="40"/>
      <w:szCs w:val="40"/>
    </w:rPr>
  </w:style>
  <w:style w:type="character" w:styleId="843" w:customStyle="1">
    <w:name w:val="Heading 1 Char"/>
    <w:link w:val="842"/>
    <w:uiPriority w:val="9"/>
    <w:qFormat/>
    <w:rPr>
      <w:rFonts w:ascii="Arial" w:hAnsi="Arial" w:eastAsia="Arial" w:cs="Arial"/>
      <w:sz w:val="40"/>
      <w:szCs w:val="40"/>
    </w:rPr>
  </w:style>
  <w:style w:type="paragraph" w:styleId="844" w:customStyle="1">
    <w:name w:val="标题 21"/>
    <w:basedOn w:val="801"/>
    <w:next w:val="801"/>
    <w:link w:val="845"/>
    <w:uiPriority w:val="9"/>
    <w:unhideWhenUsed/>
    <w:qFormat/>
    <w:pPr>
      <w:keepLines/>
      <w:keepNext/>
      <w:spacing w:before="360" w:after="200"/>
      <w:outlineLvl w:val="1"/>
    </w:pPr>
    <w:rPr>
      <w:rFonts w:ascii="Arial" w:hAnsi="Arial" w:eastAsia="Arial" w:cs="Arial"/>
      <w:sz w:val="34"/>
    </w:rPr>
  </w:style>
  <w:style w:type="character" w:styleId="845" w:customStyle="1">
    <w:name w:val="Heading 2 Char"/>
    <w:link w:val="844"/>
    <w:uiPriority w:val="9"/>
    <w:qFormat/>
    <w:rPr>
      <w:rFonts w:ascii="Arial" w:hAnsi="Arial" w:eastAsia="Arial" w:cs="Arial"/>
      <w:sz w:val="34"/>
    </w:rPr>
  </w:style>
  <w:style w:type="paragraph" w:styleId="846" w:customStyle="1">
    <w:name w:val="标题 31"/>
    <w:basedOn w:val="801"/>
    <w:next w:val="801"/>
    <w:link w:val="847"/>
    <w:uiPriority w:val="9"/>
    <w:unhideWhenUsed/>
    <w:qFormat/>
    <w:pPr>
      <w:keepLines/>
      <w:keepNext/>
      <w:spacing w:before="320" w:after="200"/>
      <w:outlineLvl w:val="2"/>
    </w:pPr>
    <w:rPr>
      <w:rFonts w:ascii="Arial" w:hAnsi="Arial" w:eastAsia="Arial" w:cs="Arial"/>
      <w:sz w:val="30"/>
      <w:szCs w:val="30"/>
    </w:rPr>
  </w:style>
  <w:style w:type="character" w:styleId="847" w:customStyle="1">
    <w:name w:val="Heading 3 Char"/>
    <w:link w:val="846"/>
    <w:uiPriority w:val="9"/>
    <w:qFormat/>
    <w:rPr>
      <w:rFonts w:ascii="Arial" w:hAnsi="Arial" w:eastAsia="Arial" w:cs="Arial"/>
      <w:sz w:val="30"/>
      <w:szCs w:val="30"/>
    </w:rPr>
  </w:style>
  <w:style w:type="paragraph" w:styleId="848" w:customStyle="1">
    <w:name w:val="标题 41"/>
    <w:basedOn w:val="801"/>
    <w:next w:val="801"/>
    <w:link w:val="849"/>
    <w:uiPriority w:val="9"/>
    <w:unhideWhenUsed/>
    <w:qFormat/>
    <w:pPr>
      <w:keepLines/>
      <w:keepNext/>
      <w:spacing w:before="320" w:after="200"/>
      <w:outlineLvl w:val="3"/>
    </w:pPr>
    <w:rPr>
      <w:rFonts w:ascii="Arial" w:hAnsi="Arial" w:eastAsia="Arial" w:cs="Arial"/>
      <w:b/>
      <w:bCs/>
      <w:sz w:val="26"/>
      <w:szCs w:val="26"/>
    </w:rPr>
  </w:style>
  <w:style w:type="character" w:styleId="849" w:customStyle="1">
    <w:name w:val="Heading 4 Char"/>
    <w:link w:val="848"/>
    <w:uiPriority w:val="9"/>
    <w:qFormat/>
    <w:rPr>
      <w:rFonts w:ascii="Arial" w:hAnsi="Arial" w:eastAsia="Arial" w:cs="Arial"/>
      <w:b/>
      <w:bCs/>
      <w:sz w:val="26"/>
      <w:szCs w:val="26"/>
    </w:rPr>
  </w:style>
  <w:style w:type="paragraph" w:styleId="850" w:customStyle="1">
    <w:name w:val="标题 51"/>
    <w:basedOn w:val="801"/>
    <w:next w:val="801"/>
    <w:link w:val="851"/>
    <w:uiPriority w:val="9"/>
    <w:unhideWhenUsed/>
    <w:qFormat/>
    <w:pPr>
      <w:keepLines/>
      <w:keepNext/>
      <w:spacing w:before="320" w:after="200"/>
      <w:outlineLvl w:val="4"/>
    </w:pPr>
    <w:rPr>
      <w:rFonts w:ascii="Arial" w:hAnsi="Arial" w:eastAsia="Arial" w:cs="Arial"/>
      <w:b/>
      <w:bCs/>
      <w:sz w:val="24"/>
      <w:szCs w:val="24"/>
    </w:rPr>
  </w:style>
  <w:style w:type="character" w:styleId="851" w:customStyle="1">
    <w:name w:val="Heading 5 Char"/>
    <w:link w:val="850"/>
    <w:uiPriority w:val="9"/>
    <w:qFormat/>
    <w:rPr>
      <w:rFonts w:ascii="Arial" w:hAnsi="Arial" w:eastAsia="Arial" w:cs="Arial"/>
      <w:b/>
      <w:bCs/>
      <w:sz w:val="24"/>
      <w:szCs w:val="24"/>
    </w:rPr>
  </w:style>
  <w:style w:type="paragraph" w:styleId="852" w:customStyle="1">
    <w:name w:val="标题 61"/>
    <w:basedOn w:val="801"/>
    <w:next w:val="801"/>
    <w:link w:val="853"/>
    <w:uiPriority w:val="9"/>
    <w:unhideWhenUsed/>
    <w:qFormat/>
    <w:pPr>
      <w:keepLines/>
      <w:keepNext/>
      <w:spacing w:before="320" w:after="200"/>
      <w:outlineLvl w:val="5"/>
    </w:pPr>
    <w:rPr>
      <w:rFonts w:ascii="Arial" w:hAnsi="Arial" w:eastAsia="Arial" w:cs="Arial"/>
      <w:b/>
      <w:bCs/>
      <w:sz w:val="22"/>
      <w:szCs w:val="22"/>
    </w:rPr>
  </w:style>
  <w:style w:type="character" w:styleId="853" w:customStyle="1">
    <w:name w:val="Heading 6 Char"/>
    <w:link w:val="852"/>
    <w:uiPriority w:val="9"/>
    <w:qFormat/>
    <w:rPr>
      <w:rFonts w:ascii="Arial" w:hAnsi="Arial" w:eastAsia="Arial" w:cs="Arial"/>
      <w:b/>
      <w:bCs/>
      <w:sz w:val="22"/>
      <w:szCs w:val="22"/>
    </w:rPr>
  </w:style>
  <w:style w:type="paragraph" w:styleId="854" w:customStyle="1">
    <w:name w:val="标题 71"/>
    <w:basedOn w:val="801"/>
    <w:next w:val="801"/>
    <w:link w:val="855"/>
    <w:uiPriority w:val="9"/>
    <w:unhideWhenUsed/>
    <w:qFormat/>
    <w:pPr>
      <w:keepLines/>
      <w:keepNext/>
      <w:spacing w:before="320" w:after="200"/>
      <w:outlineLvl w:val="6"/>
    </w:pPr>
    <w:rPr>
      <w:rFonts w:ascii="Arial" w:hAnsi="Arial" w:eastAsia="Arial" w:cs="Arial"/>
      <w:b/>
      <w:bCs/>
      <w:i/>
      <w:iCs/>
      <w:sz w:val="22"/>
      <w:szCs w:val="22"/>
    </w:rPr>
  </w:style>
  <w:style w:type="character" w:styleId="855" w:customStyle="1">
    <w:name w:val="Heading 7 Char"/>
    <w:link w:val="854"/>
    <w:uiPriority w:val="9"/>
    <w:qFormat/>
    <w:rPr>
      <w:rFonts w:ascii="Arial" w:hAnsi="Arial" w:eastAsia="Arial" w:cs="Arial"/>
      <w:b/>
      <w:bCs/>
      <w:i/>
      <w:iCs/>
      <w:sz w:val="22"/>
      <w:szCs w:val="22"/>
    </w:rPr>
  </w:style>
  <w:style w:type="paragraph" w:styleId="856" w:customStyle="1">
    <w:name w:val="标题 81"/>
    <w:basedOn w:val="801"/>
    <w:next w:val="801"/>
    <w:link w:val="857"/>
    <w:uiPriority w:val="9"/>
    <w:unhideWhenUsed/>
    <w:qFormat/>
    <w:pPr>
      <w:keepLines/>
      <w:keepNext/>
      <w:spacing w:before="320" w:after="200"/>
      <w:outlineLvl w:val="7"/>
    </w:pPr>
    <w:rPr>
      <w:rFonts w:ascii="Arial" w:hAnsi="Arial" w:eastAsia="Arial" w:cs="Arial"/>
      <w:i/>
      <w:iCs/>
      <w:sz w:val="22"/>
      <w:szCs w:val="22"/>
    </w:rPr>
  </w:style>
  <w:style w:type="character" w:styleId="857" w:customStyle="1">
    <w:name w:val="Heading 8 Char"/>
    <w:link w:val="856"/>
    <w:uiPriority w:val="9"/>
    <w:qFormat/>
    <w:rPr>
      <w:rFonts w:ascii="Arial" w:hAnsi="Arial" w:eastAsia="Arial" w:cs="Arial"/>
      <w:i/>
      <w:iCs/>
      <w:sz w:val="22"/>
      <w:szCs w:val="22"/>
    </w:rPr>
  </w:style>
  <w:style w:type="paragraph" w:styleId="858" w:customStyle="1">
    <w:name w:val="标题 91"/>
    <w:basedOn w:val="801"/>
    <w:next w:val="801"/>
    <w:link w:val="859"/>
    <w:uiPriority w:val="9"/>
    <w:unhideWhenUsed/>
    <w:qFormat/>
    <w:pPr>
      <w:keepLines/>
      <w:keepNext/>
      <w:spacing w:before="320" w:after="200"/>
      <w:outlineLvl w:val="8"/>
    </w:pPr>
    <w:rPr>
      <w:rFonts w:ascii="Arial" w:hAnsi="Arial" w:eastAsia="Arial" w:cs="Arial"/>
      <w:i/>
      <w:iCs/>
    </w:rPr>
  </w:style>
  <w:style w:type="character" w:styleId="859" w:customStyle="1">
    <w:name w:val="Heading 9 Char"/>
    <w:link w:val="858"/>
    <w:uiPriority w:val="9"/>
    <w:qFormat/>
    <w:rPr>
      <w:rFonts w:ascii="Arial" w:hAnsi="Arial" w:eastAsia="Arial" w:cs="Arial"/>
      <w:i/>
      <w:iCs/>
      <w:sz w:val="21"/>
      <w:szCs w:val="21"/>
    </w:rPr>
  </w:style>
  <w:style w:type="paragraph" w:styleId="860">
    <w:name w:val="List Paragraph"/>
    <w:basedOn w:val="801"/>
    <w:uiPriority w:val="34"/>
    <w:qFormat/>
    <w:pPr>
      <w:contextualSpacing/>
      <w:ind w:left="720"/>
    </w:pPr>
  </w:style>
  <w:style w:type="paragraph" w:styleId="861">
    <w:name w:val="No Spacing"/>
    <w:uiPriority w:val="1"/>
    <w:qFormat/>
    <w:rPr>
      <w:rFonts w:ascii="Times New Roman" w:hAnsi="Times New Roman" w:eastAsia="宋体" w:cs="Times New Roman"/>
      <w:lang w:val="en-US" w:eastAsia="zh-CN" w:bidi="ar-SA"/>
    </w:rPr>
  </w:style>
  <w:style w:type="paragraph" w:styleId="862">
    <w:name w:val="Quote"/>
    <w:basedOn w:val="801"/>
    <w:next w:val="801"/>
    <w:link w:val="863"/>
    <w:uiPriority w:val="29"/>
    <w:qFormat/>
    <w:pPr>
      <w:ind w:left="720" w:right="720"/>
    </w:pPr>
    <w:rPr>
      <w:i/>
    </w:rPr>
  </w:style>
  <w:style w:type="character" w:styleId="863" w:customStyle="1">
    <w:name w:val="引用 字符"/>
    <w:link w:val="862"/>
    <w:uiPriority w:val="29"/>
    <w:qFormat/>
    <w:rPr>
      <w:i/>
    </w:rPr>
  </w:style>
  <w:style w:type="paragraph" w:styleId="864">
    <w:name w:val="Intense Quote"/>
    <w:basedOn w:val="801"/>
    <w:next w:val="801"/>
    <w:link w:val="86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5" w:customStyle="1">
    <w:name w:val="明显引用 字符"/>
    <w:link w:val="864"/>
    <w:uiPriority w:val="30"/>
    <w:qFormat/>
    <w:rPr>
      <w:i/>
    </w:rPr>
  </w:style>
  <w:style w:type="paragraph" w:styleId="866" w:customStyle="1">
    <w:name w:val="页眉1"/>
    <w:basedOn w:val="801"/>
    <w:link w:val="867"/>
    <w:uiPriority w:val="99"/>
    <w:unhideWhenUsed/>
    <w:qFormat/>
    <w:pPr>
      <w:tabs>
        <w:tab w:val="center" w:pos="7143" w:leader="none"/>
        <w:tab w:val="right" w:pos="14287" w:leader="none"/>
      </w:tabs>
    </w:pPr>
  </w:style>
  <w:style w:type="character" w:styleId="867" w:customStyle="1">
    <w:name w:val="Header Char"/>
    <w:link w:val="866"/>
    <w:uiPriority w:val="99"/>
    <w:qFormat/>
  </w:style>
  <w:style w:type="paragraph" w:styleId="868" w:customStyle="1">
    <w:name w:val="页脚1"/>
    <w:basedOn w:val="801"/>
    <w:link w:val="870"/>
    <w:uiPriority w:val="99"/>
    <w:unhideWhenUsed/>
    <w:qFormat/>
    <w:pPr>
      <w:tabs>
        <w:tab w:val="center" w:pos="7143" w:leader="none"/>
        <w:tab w:val="right" w:pos="14287" w:leader="none"/>
      </w:tabs>
    </w:pPr>
  </w:style>
  <w:style w:type="character" w:styleId="869" w:customStyle="1">
    <w:name w:val="Caption Char"/>
    <w:uiPriority w:val="99"/>
    <w:qFormat/>
  </w:style>
  <w:style w:type="character" w:styleId="870" w:customStyle="1">
    <w:name w:val="Footer Char"/>
    <w:link w:val="868"/>
    <w:uiPriority w:val="99"/>
    <w:qFormat/>
  </w:style>
  <w:style w:type="paragraph" w:styleId="871" w:customStyle="1">
    <w:name w:val="题注1"/>
    <w:basedOn w:val="801"/>
    <w:next w:val="801"/>
    <w:uiPriority w:val="35"/>
    <w:unhideWhenUsed/>
    <w:qFormat/>
    <w:pPr>
      <w:spacing w:line="276" w:lineRule="auto"/>
    </w:pPr>
    <w:rPr>
      <w:b/>
      <w:bCs/>
      <w:color w:val="4f81bd"/>
      <w:sz w:val="18"/>
      <w:szCs w:val="18"/>
    </w:rPr>
  </w:style>
  <w:style w:type="table" w:styleId="872" w:customStyle="1">
    <w:name w:val="Table Grid Light"/>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73" w:customStyle="1">
    <w:name w:val="_Style 6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74" w:customStyle="1">
    <w:name w:val="_Style 66"/>
    <w:uiPriority w:val="59"/>
    <w:qFormat/>
    <w:tblPr>
      <w:tblBorders>
        <w:top w:val="single" w:color="000000" w:sz="4" w:space="0"/>
        <w:bottom w:val="single" w:color="000000" w:sz="4" w:space="0"/>
      </w:tblBorders>
      <w:tblCellMar>
        <w:left w:w="108" w:type="dxa"/>
        <w:top w:w="0" w:type="dxa"/>
        <w:right w:w="108" w:type="dxa"/>
        <w:bottom w:w="0" w:type="dxa"/>
      </w:tblCellMar>
    </w:tblPr>
  </w:style>
  <w:style w:type="table" w:styleId="875" w:customStyle="1">
    <w:name w:val="_Style 67"/>
    <w:uiPriority w:val="99"/>
    <w:qFormat/>
    <w:tblPr>
      <w:tblCellMar>
        <w:left w:w="0" w:type="dxa"/>
        <w:top w:w="0" w:type="dxa"/>
        <w:right w:w="0" w:type="dxa"/>
        <w:bottom w:w="0" w:type="dxa"/>
      </w:tblCellMar>
    </w:tblPr>
  </w:style>
  <w:style w:type="table" w:styleId="876" w:customStyle="1">
    <w:name w:val="_Style 68"/>
    <w:uiPriority w:val="99"/>
    <w:qFormat/>
    <w:tblPr>
      <w:tblCellMar>
        <w:left w:w="0" w:type="dxa"/>
        <w:top w:w="0" w:type="dxa"/>
        <w:right w:w="0" w:type="dxa"/>
        <w:bottom w:w="0" w:type="dxa"/>
      </w:tblCellMar>
    </w:tblPr>
  </w:style>
  <w:style w:type="table" w:styleId="877" w:customStyle="1">
    <w:name w:val="_Style 69"/>
    <w:uiPriority w:val="99"/>
    <w:qFormat/>
    <w:tblPr>
      <w:tblCellMar>
        <w:left w:w="0" w:type="dxa"/>
        <w:top w:w="0" w:type="dxa"/>
        <w:right w:w="0" w:type="dxa"/>
        <w:bottom w:w="0" w:type="dxa"/>
      </w:tblCellMar>
    </w:tblPr>
  </w:style>
  <w:style w:type="table" w:styleId="878" w:customStyle="1">
    <w:name w:val="_Style 70"/>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79" w:customStyle="1">
    <w:name w:val="Grid Table 1 Light - Accent 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80" w:customStyle="1">
    <w:name w:val="Grid Table 1 Light - Accent 2"/>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81" w:customStyle="1">
    <w:name w:val="Grid Table 1 Light - Accent 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82" w:customStyle="1">
    <w:name w:val="Grid Table 1 Light - Accent 4"/>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83" w:customStyle="1">
    <w:name w:val="Grid Table 1 Light - Accent 5"/>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84" w:customStyle="1">
    <w:name w:val="Grid Table 1 Light - Accent 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85" w:customStyle="1">
    <w:name w:val="_Style 77"/>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86" w:customStyle="1">
    <w:name w:val="Grid Table 2 - Accent 1"/>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87" w:customStyle="1">
    <w:name w:val="Grid Table 2 - Accent 2"/>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88" w:customStyle="1">
    <w:name w:val="Grid Table 2 - Accent 3"/>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89" w:customStyle="1">
    <w:name w:val="Grid Table 2 - Accent 4"/>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90" w:customStyle="1">
    <w:name w:val="Grid Table 2 - Accent 5"/>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91" w:customStyle="1">
    <w:name w:val="Grid Table 2 - Accent 6"/>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92" w:customStyle="1">
    <w:name w:val="_Style 84"/>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93" w:customStyle="1">
    <w:name w:val="Grid Table 3 - Accent 1"/>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94" w:customStyle="1">
    <w:name w:val="Grid Table 3 - Accent 2"/>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95" w:customStyle="1">
    <w:name w:val="Grid Table 3 - Accent 3"/>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96" w:customStyle="1">
    <w:name w:val="Grid Table 3 - Accent 4"/>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97" w:customStyle="1">
    <w:name w:val="Grid Table 3 - Accent 5"/>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98" w:customStyle="1">
    <w:name w:val="Grid Table 3 - Accent 6"/>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99" w:customStyle="1">
    <w:name w:val="_Style 9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00" w:customStyle="1">
    <w:name w:val="Grid Table 4 - Accent 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01" w:customStyle="1">
    <w:name w:val="Grid Table 4 - Accent 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02" w:customStyle="1">
    <w:name w:val="Grid Table 4 - Accent 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03" w:customStyle="1">
    <w:name w:val="Grid Table 4 - Accent 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04" w:customStyle="1">
    <w:name w:val="Grid Table 4 - Accent 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05" w:customStyle="1">
    <w:name w:val="Grid Table 4 - Accent 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06" w:customStyle="1">
    <w:name w:val="_Style 98"/>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07" w:customStyle="1">
    <w:name w:val="Grid Table 5 Dark- Accent 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08" w:customStyle="1">
    <w:name w:val="Grid Table 5 Dark - Accent 2"/>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09" w:customStyle="1">
    <w:name w:val="Grid Table 5 Dark - Accent 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10" w:customStyle="1">
    <w:name w:val="Grid Table 5 Dark- Accent 4"/>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11" w:customStyle="1">
    <w:name w:val="Grid Table 5 Dark - Accent 5"/>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12" w:customStyle="1">
    <w:name w:val="Grid Table 5 Dark - Accent 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13" w:customStyle="1">
    <w:name w:val="_Style 105"/>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14" w:customStyle="1">
    <w:name w:val="Grid Table 6 Colorful - Accent 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15" w:customStyle="1">
    <w:name w:val="Grid Table 6 Colorful - Accent 2"/>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16" w:customStyle="1">
    <w:name w:val="Grid Table 6 Colorful - Accent 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17" w:customStyle="1">
    <w:name w:val="Grid Table 6 Colorful - Accent 4"/>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18" w:customStyle="1">
    <w:name w:val="Grid Table 6 Colorful - Accent 5"/>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19" w:customStyle="1">
    <w:name w:val="Grid Table 6 Colorful - Accent 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20" w:customStyle="1">
    <w:name w:val="_Style 112"/>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21" w:customStyle="1">
    <w:name w:val="Grid Table 7 Colorful - Accent 1"/>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22" w:customStyle="1">
    <w:name w:val="Grid Table 7 Colorful - Accent 2"/>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23" w:customStyle="1">
    <w:name w:val="Grid Table 7 Colorful - Accent 3"/>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24" w:customStyle="1">
    <w:name w:val="Grid Table 7 Colorful - Accent 4"/>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25" w:customStyle="1">
    <w:name w:val="Grid Table 7 Colorful - Accent 5"/>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26" w:customStyle="1">
    <w:name w:val="Grid Table 7 Colorful - Accent 6"/>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27" w:customStyle="1">
    <w:name w:val="_Style 119"/>
    <w:uiPriority w:val="99"/>
    <w:qFormat/>
    <w:tblPr>
      <w:tblCellMar>
        <w:left w:w="0" w:type="dxa"/>
        <w:top w:w="0" w:type="dxa"/>
        <w:right w:w="0" w:type="dxa"/>
        <w:bottom w:w="0" w:type="dxa"/>
      </w:tblCellMar>
    </w:tblPr>
  </w:style>
  <w:style w:type="table" w:styleId="928" w:customStyle="1">
    <w:name w:val="List Table 1 Light - Accent 1"/>
    <w:uiPriority w:val="99"/>
    <w:qFormat/>
    <w:tblPr>
      <w:tblCellMar>
        <w:left w:w="0" w:type="dxa"/>
        <w:top w:w="0" w:type="dxa"/>
        <w:right w:w="0" w:type="dxa"/>
        <w:bottom w:w="0" w:type="dxa"/>
      </w:tblCellMar>
    </w:tblPr>
  </w:style>
  <w:style w:type="table" w:styleId="929" w:customStyle="1">
    <w:name w:val="List Table 1 Light - Accent 2"/>
    <w:uiPriority w:val="99"/>
    <w:qFormat/>
    <w:tblPr>
      <w:tblCellMar>
        <w:left w:w="0" w:type="dxa"/>
        <w:top w:w="0" w:type="dxa"/>
        <w:right w:w="0" w:type="dxa"/>
        <w:bottom w:w="0" w:type="dxa"/>
      </w:tblCellMar>
    </w:tblPr>
  </w:style>
  <w:style w:type="table" w:styleId="930" w:customStyle="1">
    <w:name w:val="List Table 1 Light - Accent 3"/>
    <w:uiPriority w:val="99"/>
    <w:qFormat/>
    <w:tblPr>
      <w:tblCellMar>
        <w:left w:w="0" w:type="dxa"/>
        <w:top w:w="0" w:type="dxa"/>
        <w:right w:w="0" w:type="dxa"/>
        <w:bottom w:w="0" w:type="dxa"/>
      </w:tblCellMar>
    </w:tblPr>
  </w:style>
  <w:style w:type="table" w:styleId="931" w:customStyle="1">
    <w:name w:val="List Table 1 Light - Accent 4"/>
    <w:uiPriority w:val="99"/>
    <w:qFormat/>
    <w:tblPr>
      <w:tblCellMar>
        <w:left w:w="0" w:type="dxa"/>
        <w:top w:w="0" w:type="dxa"/>
        <w:right w:w="0" w:type="dxa"/>
        <w:bottom w:w="0" w:type="dxa"/>
      </w:tblCellMar>
    </w:tblPr>
  </w:style>
  <w:style w:type="table" w:styleId="932" w:customStyle="1">
    <w:name w:val="List Table 1 Light - Accent 5"/>
    <w:uiPriority w:val="99"/>
    <w:qFormat/>
    <w:tblPr>
      <w:tblCellMar>
        <w:left w:w="0" w:type="dxa"/>
        <w:top w:w="0" w:type="dxa"/>
        <w:right w:w="0" w:type="dxa"/>
        <w:bottom w:w="0" w:type="dxa"/>
      </w:tblCellMar>
    </w:tblPr>
  </w:style>
  <w:style w:type="table" w:styleId="933" w:customStyle="1">
    <w:name w:val="List Table 1 Light - Accent 6"/>
    <w:uiPriority w:val="99"/>
    <w:qFormat/>
    <w:tblPr>
      <w:tblCellMar>
        <w:left w:w="0" w:type="dxa"/>
        <w:top w:w="0" w:type="dxa"/>
        <w:right w:w="0" w:type="dxa"/>
        <w:bottom w:w="0" w:type="dxa"/>
      </w:tblCellMar>
    </w:tblPr>
  </w:style>
  <w:style w:type="table" w:styleId="934" w:customStyle="1">
    <w:name w:val="_Style 126"/>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style>
  <w:style w:type="table" w:styleId="935" w:customStyle="1">
    <w:name w:val="List Table 2 - Accent 1"/>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style>
  <w:style w:type="table" w:styleId="936" w:customStyle="1">
    <w:name w:val="List Table 2 - Accent 2"/>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style>
  <w:style w:type="table" w:styleId="937" w:customStyle="1">
    <w:name w:val="List Table 2 - Accent 3"/>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style>
  <w:style w:type="table" w:styleId="938" w:customStyle="1">
    <w:name w:val="List Table 2 - Accent 4"/>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style>
  <w:style w:type="table" w:styleId="939" w:customStyle="1">
    <w:name w:val="List Table 2 - Accent 5"/>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style>
  <w:style w:type="table" w:styleId="940" w:customStyle="1">
    <w:name w:val="List Table 2 - Accent 6"/>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style>
  <w:style w:type="table" w:styleId="941" w:customStyle="1">
    <w:name w:val="_Style 13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42" w:customStyle="1">
    <w:name w:val="List Table 3 - Accent 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43" w:customStyle="1">
    <w:name w:val="List Table 3 - Accent 2"/>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44" w:customStyle="1">
    <w:name w:val="List Table 3 - Accent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45" w:customStyle="1">
    <w:name w:val="List Table 3 - Accent 4"/>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46" w:customStyle="1">
    <w:name w:val="List Table 3 - Accent 5"/>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47" w:customStyle="1">
    <w:name w:val="List Table 3 - Accent 6"/>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48" w:customStyle="1">
    <w:name w:val="_Style 140"/>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49" w:customStyle="1">
    <w:name w:val="List Table 4 - Accent 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50" w:customStyle="1">
    <w:name w:val="List Table 4 - Accent 2"/>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51" w:customStyle="1">
    <w:name w:val="List Table 4 - Accent 3"/>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52" w:customStyle="1">
    <w:name w:val="List Table 4 - Accent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53" w:customStyle="1">
    <w:name w:val="List Table 4 - Accent 5"/>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54" w:customStyle="1">
    <w:name w:val="List Table 4 - Accent 6"/>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55" w:customStyle="1">
    <w:name w:val="_Style 147"/>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style>
  <w:style w:type="table" w:styleId="956" w:customStyle="1">
    <w:name w:val="List Table 5 Dark - Accent 1"/>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style>
  <w:style w:type="table" w:styleId="957" w:customStyle="1">
    <w:name w:val="List Table 5 Dark - Accent 2"/>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style>
  <w:style w:type="table" w:styleId="958" w:customStyle="1">
    <w:name w:val="List Table 5 Dark - Accent 3"/>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style>
  <w:style w:type="table" w:styleId="959" w:customStyle="1">
    <w:name w:val="List Table 5 Dark - Accent 4"/>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style>
  <w:style w:type="table" w:styleId="960" w:customStyle="1">
    <w:name w:val="List Table 5 Dark - Accent 5"/>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style>
  <w:style w:type="table" w:styleId="961" w:customStyle="1">
    <w:name w:val="List Table 5 Dark - Accent 6"/>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style>
  <w:style w:type="table" w:styleId="962" w:customStyle="1">
    <w:name w:val="_Style 154"/>
    <w:uiPriority w:val="99"/>
    <w:qFormat/>
    <w:tblPr>
      <w:tblBorders>
        <w:top w:val="single" w:color="000000" w:sz="4" w:space="0"/>
        <w:bottom w:val="single" w:color="000000" w:sz="4" w:space="0"/>
      </w:tblBorders>
      <w:tblCellMar>
        <w:left w:w="0" w:type="dxa"/>
        <w:top w:w="0" w:type="dxa"/>
        <w:right w:w="0" w:type="dxa"/>
        <w:bottom w:w="0" w:type="dxa"/>
      </w:tblCellMar>
    </w:tblPr>
  </w:style>
  <w:style w:type="table" w:styleId="963" w:customStyle="1">
    <w:name w:val="List Table 6 Colorful - Accent 1"/>
    <w:uiPriority w:val="99"/>
    <w:qFormat/>
    <w:tblPr>
      <w:tblBorders>
        <w:top w:val="single" w:color="000000" w:sz="4" w:space="0"/>
        <w:bottom w:val="single" w:color="000000" w:sz="4" w:space="0"/>
      </w:tblBorders>
      <w:tblCellMar>
        <w:left w:w="0" w:type="dxa"/>
        <w:top w:w="0" w:type="dxa"/>
        <w:right w:w="0" w:type="dxa"/>
        <w:bottom w:w="0" w:type="dxa"/>
      </w:tblCellMar>
    </w:tblPr>
  </w:style>
  <w:style w:type="table" w:styleId="964" w:customStyle="1">
    <w:name w:val="List Table 6 Colorful - Accent 2"/>
    <w:uiPriority w:val="99"/>
    <w:qFormat/>
    <w:tblPr>
      <w:tblBorders>
        <w:top w:val="single" w:color="000000" w:sz="4" w:space="0"/>
        <w:bottom w:val="single" w:color="000000" w:sz="4" w:space="0"/>
      </w:tblBorders>
      <w:tblCellMar>
        <w:left w:w="0" w:type="dxa"/>
        <w:top w:w="0" w:type="dxa"/>
        <w:right w:w="0" w:type="dxa"/>
        <w:bottom w:w="0" w:type="dxa"/>
      </w:tblCellMar>
    </w:tblPr>
  </w:style>
  <w:style w:type="table" w:styleId="965" w:customStyle="1">
    <w:name w:val="List Table 6 Colorful - Accent 3"/>
    <w:uiPriority w:val="99"/>
    <w:qFormat/>
    <w:tblPr>
      <w:tblBorders>
        <w:top w:val="single" w:color="000000" w:sz="4" w:space="0"/>
        <w:bottom w:val="single" w:color="000000" w:sz="4" w:space="0"/>
      </w:tblBorders>
      <w:tblCellMar>
        <w:left w:w="0" w:type="dxa"/>
        <w:top w:w="0" w:type="dxa"/>
        <w:right w:w="0" w:type="dxa"/>
        <w:bottom w:w="0" w:type="dxa"/>
      </w:tblCellMar>
    </w:tblPr>
  </w:style>
  <w:style w:type="table" w:styleId="966" w:customStyle="1">
    <w:name w:val="List Table 6 Colorful - Accent 4"/>
    <w:uiPriority w:val="99"/>
    <w:qFormat/>
    <w:tblPr>
      <w:tblBorders>
        <w:top w:val="single" w:color="000000" w:sz="4" w:space="0"/>
        <w:bottom w:val="single" w:color="000000" w:sz="4" w:space="0"/>
      </w:tblBorders>
      <w:tblCellMar>
        <w:left w:w="0" w:type="dxa"/>
        <w:top w:w="0" w:type="dxa"/>
        <w:right w:w="0" w:type="dxa"/>
        <w:bottom w:w="0" w:type="dxa"/>
      </w:tblCellMar>
    </w:tblPr>
  </w:style>
  <w:style w:type="table" w:styleId="967" w:customStyle="1">
    <w:name w:val="List Table 6 Colorful - Accent 5"/>
    <w:uiPriority w:val="99"/>
    <w:qFormat/>
    <w:tblPr>
      <w:tblBorders>
        <w:top w:val="single" w:color="000000" w:sz="4" w:space="0"/>
        <w:bottom w:val="single" w:color="000000" w:sz="4" w:space="0"/>
      </w:tblBorders>
      <w:tblCellMar>
        <w:left w:w="0" w:type="dxa"/>
        <w:top w:w="0" w:type="dxa"/>
        <w:right w:w="0" w:type="dxa"/>
        <w:bottom w:w="0" w:type="dxa"/>
      </w:tblCellMar>
    </w:tblPr>
  </w:style>
  <w:style w:type="table" w:styleId="968" w:customStyle="1">
    <w:name w:val="List Table 6 Colorful - Accent 6"/>
    <w:uiPriority w:val="99"/>
    <w:qFormat/>
    <w:tblPr>
      <w:tblBorders>
        <w:top w:val="single" w:color="000000" w:sz="4" w:space="0"/>
        <w:bottom w:val="single" w:color="000000" w:sz="4" w:space="0"/>
      </w:tblBorders>
      <w:tblCellMar>
        <w:left w:w="0" w:type="dxa"/>
        <w:top w:w="0" w:type="dxa"/>
        <w:right w:w="0" w:type="dxa"/>
        <w:bottom w:w="0" w:type="dxa"/>
      </w:tblCellMar>
    </w:tblPr>
  </w:style>
  <w:style w:type="table" w:styleId="969" w:customStyle="1">
    <w:name w:val="_Style 161"/>
    <w:uiPriority w:val="99"/>
    <w:qFormat/>
    <w:tblPr>
      <w:tblBorders>
        <w:right w:val="single" w:color="000000" w:sz="4" w:space="0"/>
      </w:tblBorders>
      <w:tblCellMar>
        <w:left w:w="0" w:type="dxa"/>
        <w:top w:w="0" w:type="dxa"/>
        <w:right w:w="0" w:type="dxa"/>
        <w:bottom w:w="0" w:type="dxa"/>
      </w:tblCellMar>
    </w:tblPr>
  </w:style>
  <w:style w:type="table" w:styleId="970" w:customStyle="1">
    <w:name w:val="List Table 7 Colorful - Accent 1"/>
    <w:uiPriority w:val="99"/>
    <w:qFormat/>
    <w:tblPr>
      <w:tblBorders>
        <w:right w:val="single" w:color="000000" w:sz="4" w:space="0"/>
      </w:tblBorders>
      <w:tblCellMar>
        <w:left w:w="0" w:type="dxa"/>
        <w:top w:w="0" w:type="dxa"/>
        <w:right w:w="0" w:type="dxa"/>
        <w:bottom w:w="0" w:type="dxa"/>
      </w:tblCellMar>
    </w:tblPr>
  </w:style>
  <w:style w:type="table" w:styleId="971" w:customStyle="1">
    <w:name w:val="List Table 7 Colorful - Accent 2"/>
    <w:uiPriority w:val="99"/>
    <w:qFormat/>
    <w:tblPr>
      <w:tblBorders>
        <w:right w:val="single" w:color="000000" w:sz="4" w:space="0"/>
      </w:tblBorders>
      <w:tblCellMar>
        <w:left w:w="0" w:type="dxa"/>
        <w:top w:w="0" w:type="dxa"/>
        <w:right w:w="0" w:type="dxa"/>
        <w:bottom w:w="0" w:type="dxa"/>
      </w:tblCellMar>
    </w:tblPr>
  </w:style>
  <w:style w:type="table" w:styleId="972" w:customStyle="1">
    <w:name w:val="List Table 7 Colorful - Accent 3"/>
    <w:uiPriority w:val="99"/>
    <w:qFormat/>
    <w:tblPr>
      <w:tblBorders>
        <w:right w:val="single" w:color="000000" w:sz="4" w:space="0"/>
      </w:tblBorders>
      <w:tblCellMar>
        <w:left w:w="0" w:type="dxa"/>
        <w:top w:w="0" w:type="dxa"/>
        <w:right w:w="0" w:type="dxa"/>
        <w:bottom w:w="0" w:type="dxa"/>
      </w:tblCellMar>
    </w:tblPr>
  </w:style>
  <w:style w:type="table" w:styleId="973" w:customStyle="1">
    <w:name w:val="List Table 7 Colorful - Accent 4"/>
    <w:uiPriority w:val="99"/>
    <w:qFormat/>
    <w:tblPr>
      <w:tblBorders>
        <w:right w:val="single" w:color="000000" w:sz="4" w:space="0"/>
      </w:tblBorders>
      <w:tblCellMar>
        <w:left w:w="0" w:type="dxa"/>
        <w:top w:w="0" w:type="dxa"/>
        <w:right w:w="0" w:type="dxa"/>
        <w:bottom w:w="0" w:type="dxa"/>
      </w:tblCellMar>
    </w:tblPr>
  </w:style>
  <w:style w:type="table" w:styleId="974" w:customStyle="1">
    <w:name w:val="List Table 7 Colorful - Accent 5"/>
    <w:uiPriority w:val="99"/>
    <w:qFormat/>
    <w:tblPr>
      <w:tblBorders>
        <w:right w:val="single" w:color="000000" w:sz="4" w:space="0"/>
      </w:tblBorders>
      <w:tblCellMar>
        <w:left w:w="0" w:type="dxa"/>
        <w:top w:w="0" w:type="dxa"/>
        <w:right w:w="0" w:type="dxa"/>
        <w:bottom w:w="0" w:type="dxa"/>
      </w:tblCellMar>
    </w:tblPr>
  </w:style>
  <w:style w:type="table" w:styleId="975" w:customStyle="1">
    <w:name w:val="List Table 7 Colorful - Accent 6"/>
    <w:uiPriority w:val="99"/>
    <w:qFormat/>
    <w:tblPr>
      <w:tblBorders>
        <w:right w:val="single" w:color="000000" w:sz="4" w:space="0"/>
      </w:tblBorders>
      <w:tblCellMar>
        <w:left w:w="0" w:type="dxa"/>
        <w:top w:w="0" w:type="dxa"/>
        <w:right w:w="0" w:type="dxa"/>
        <w:bottom w:w="0" w:type="dxa"/>
      </w:tblCellMar>
    </w:tblPr>
  </w:style>
  <w:style w:type="table" w:styleId="976" w:customStyle="1">
    <w:name w:val="Lined - Accent"/>
    <w:uiPriority w:val="99"/>
    <w:qFormat/>
    <w:rPr>
      <w:color w:val="404040"/>
    </w:rPr>
    <w:tblPr>
      <w:tblCellMar>
        <w:left w:w="0" w:type="dxa"/>
        <w:top w:w="0" w:type="dxa"/>
        <w:right w:w="0" w:type="dxa"/>
        <w:bottom w:w="0" w:type="dxa"/>
      </w:tblCellMar>
    </w:tblPr>
  </w:style>
  <w:style w:type="table" w:styleId="977" w:customStyle="1">
    <w:name w:val="Lined - Accent 1"/>
    <w:uiPriority w:val="99"/>
    <w:qFormat/>
    <w:rPr>
      <w:color w:val="404040"/>
    </w:rPr>
    <w:tblPr>
      <w:tblCellMar>
        <w:left w:w="0" w:type="dxa"/>
        <w:top w:w="0" w:type="dxa"/>
        <w:right w:w="0" w:type="dxa"/>
        <w:bottom w:w="0" w:type="dxa"/>
      </w:tblCellMar>
    </w:tblPr>
  </w:style>
  <w:style w:type="table" w:styleId="978" w:customStyle="1">
    <w:name w:val="Lined - Accent 2"/>
    <w:uiPriority w:val="99"/>
    <w:qFormat/>
    <w:rPr>
      <w:color w:val="404040"/>
    </w:rPr>
    <w:tblPr>
      <w:tblCellMar>
        <w:left w:w="0" w:type="dxa"/>
        <w:top w:w="0" w:type="dxa"/>
        <w:right w:w="0" w:type="dxa"/>
        <w:bottom w:w="0" w:type="dxa"/>
      </w:tblCellMar>
    </w:tblPr>
  </w:style>
  <w:style w:type="table" w:styleId="979" w:customStyle="1">
    <w:name w:val="Lined - Accent 3"/>
    <w:uiPriority w:val="99"/>
    <w:qFormat/>
    <w:rPr>
      <w:color w:val="404040"/>
    </w:rPr>
    <w:tblPr>
      <w:tblCellMar>
        <w:left w:w="0" w:type="dxa"/>
        <w:top w:w="0" w:type="dxa"/>
        <w:right w:w="0" w:type="dxa"/>
        <w:bottom w:w="0" w:type="dxa"/>
      </w:tblCellMar>
    </w:tblPr>
  </w:style>
  <w:style w:type="table" w:styleId="980" w:customStyle="1">
    <w:name w:val="Lined - Accent 4"/>
    <w:uiPriority w:val="99"/>
    <w:qFormat/>
    <w:rPr>
      <w:color w:val="404040"/>
    </w:rPr>
    <w:tblPr>
      <w:tblCellMar>
        <w:left w:w="0" w:type="dxa"/>
        <w:top w:w="0" w:type="dxa"/>
        <w:right w:w="0" w:type="dxa"/>
        <w:bottom w:w="0" w:type="dxa"/>
      </w:tblCellMar>
    </w:tblPr>
  </w:style>
  <w:style w:type="table" w:styleId="981" w:customStyle="1">
    <w:name w:val="Lined - Accent 5"/>
    <w:uiPriority w:val="99"/>
    <w:qFormat/>
    <w:rPr>
      <w:color w:val="404040"/>
    </w:rPr>
    <w:tblPr>
      <w:tblCellMar>
        <w:left w:w="0" w:type="dxa"/>
        <w:top w:w="0" w:type="dxa"/>
        <w:right w:w="0" w:type="dxa"/>
        <w:bottom w:w="0" w:type="dxa"/>
      </w:tblCellMar>
    </w:tblPr>
  </w:style>
  <w:style w:type="table" w:styleId="982" w:customStyle="1">
    <w:name w:val="Lined - Accent 6"/>
    <w:uiPriority w:val="99"/>
    <w:qFormat/>
    <w:rPr>
      <w:color w:val="404040"/>
    </w:rPr>
    <w:tblPr>
      <w:tblCellMar>
        <w:left w:w="0" w:type="dxa"/>
        <w:top w:w="0" w:type="dxa"/>
        <w:right w:w="0" w:type="dxa"/>
        <w:bottom w:w="0" w:type="dxa"/>
      </w:tblCellMar>
    </w:tblPr>
  </w:style>
  <w:style w:type="table" w:styleId="983" w:customStyle="1">
    <w:name w:val="Bordered &amp; Lined - Accent"/>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84" w:customStyle="1">
    <w:name w:val="Bordered &amp; Lined - Accent 1"/>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85" w:customStyle="1">
    <w:name w:val="Bordered &amp; Lined - Accent 2"/>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86" w:customStyle="1">
    <w:name w:val="Bordered &amp; Lined - Accent 3"/>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87" w:customStyle="1">
    <w:name w:val="Bordered &amp; Lined - Accent 4"/>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88" w:customStyle="1">
    <w:name w:val="Bordered &amp; Lined - Accent 5"/>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89" w:customStyle="1">
    <w:name w:val="Bordered &amp; Lined - Accent 6"/>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90" w:customStyle="1">
    <w:name w:val="Bordered"/>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91" w:customStyle="1">
    <w:name w:val="Bordered - Accent 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92" w:customStyle="1">
    <w:name w:val="Bordered - Accent 2"/>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93" w:customStyle="1">
    <w:name w:val="Bordered - Accent 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94" w:customStyle="1">
    <w:name w:val="Bordered - Accent 4"/>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95" w:customStyle="1">
    <w:name w:val="Bordered - Accent 5"/>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96" w:customStyle="1">
    <w:name w:val="Bordered - Accent 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paragraph" w:styleId="997" w:customStyle="1">
    <w:name w:val="_Style 189"/>
    <w:uiPriority w:val="39"/>
    <w:qFormat/>
    <w:rPr>
      <w:rFonts w:ascii="Times New Roman" w:hAnsi="Times New Roman" w:eastAsia="宋体" w:cs="Times New Roman"/>
      <w:lang w:val="en-US" w:eastAsia="zh-CN" w:bidi="ar-SA"/>
    </w:rPr>
  </w:style>
  <w:style w:type="paragraph" w:styleId="998" w:customStyle="1">
    <w:name w:val="标题 111"/>
    <w:basedOn w:val="801"/>
    <w:next w:val="801"/>
    <w:link w:val="999"/>
    <w:uiPriority w:val="0"/>
    <w:qFormat/>
    <w:pPr>
      <w:jc w:val="center"/>
      <w:keepNext/>
      <w:outlineLvl w:val="0"/>
    </w:pPr>
    <w:rPr>
      <w:rFonts w:ascii="楷体_GB2312" w:eastAsia="楷体_GB2312"/>
      <w:sz w:val="28"/>
      <w:szCs w:val="28"/>
    </w:rPr>
  </w:style>
  <w:style w:type="character" w:styleId="999" w:customStyle="1">
    <w:name w:val="标题 1 字符"/>
    <w:link w:val="998"/>
    <w:uiPriority w:val="0"/>
    <w:qFormat/>
    <w:rPr>
      <w:rFonts w:ascii="楷体_GB2312" w:hAnsi="Times New Roman" w:eastAsia="楷体_GB2312" w:cs="Times New Roman"/>
      <w:sz w:val="28"/>
      <w:szCs w:val="28"/>
    </w:rPr>
  </w:style>
  <w:style w:type="paragraph" w:styleId="1000" w:customStyle="1">
    <w:name w:val="标题 211"/>
    <w:basedOn w:val="801"/>
    <w:next w:val="1001"/>
    <w:link w:val="1002"/>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01" w:customStyle="1">
    <w:name w:val="正文缩进1"/>
    <w:basedOn w:val="801"/>
    <w:link w:val="1003"/>
    <w:uiPriority w:val="99"/>
    <w:qFormat/>
    <w:pPr>
      <w:ind w:firstLine="420"/>
    </w:pPr>
  </w:style>
  <w:style w:type="character" w:styleId="1002" w:customStyle="1">
    <w:name w:val="标题 2 字符"/>
    <w:link w:val="1000"/>
    <w:uiPriority w:val="0"/>
    <w:qFormat/>
    <w:rPr>
      <w:rFonts w:ascii="Arial" w:hAnsi="Arial" w:eastAsia="幼圆" w:cs="Arial"/>
      <w:b/>
      <w:bCs/>
      <w:sz w:val="44"/>
      <w:szCs w:val="44"/>
    </w:rPr>
  </w:style>
  <w:style w:type="character" w:styleId="1003" w:customStyle="1">
    <w:name w:val="正文缩进 字符"/>
    <w:link w:val="1001"/>
    <w:uiPriority w:val="0"/>
    <w:qFormat/>
    <w:rPr>
      <w:rFonts w:ascii="Times New Roman" w:hAnsi="Times New Roman" w:eastAsia="宋体" w:cs="Times New Roman"/>
      <w:szCs w:val="21"/>
    </w:rPr>
  </w:style>
  <w:style w:type="paragraph" w:styleId="1004" w:customStyle="1">
    <w:name w:val="标题 311"/>
    <w:basedOn w:val="801"/>
    <w:next w:val="1001"/>
    <w:link w:val="1005"/>
    <w:uiPriority w:val="0"/>
    <w:qFormat/>
    <w:pPr>
      <w:keepLines/>
      <w:keepNext/>
      <w:spacing w:before="260" w:after="260" w:line="416" w:lineRule="auto"/>
      <w:outlineLvl w:val="2"/>
    </w:pPr>
    <w:rPr>
      <w:b/>
      <w:bCs/>
      <w:sz w:val="32"/>
      <w:szCs w:val="32"/>
    </w:rPr>
  </w:style>
  <w:style w:type="character" w:styleId="1005" w:customStyle="1">
    <w:name w:val="标题 3 字符"/>
    <w:link w:val="1004"/>
    <w:uiPriority w:val="0"/>
    <w:qFormat/>
    <w:rPr>
      <w:rFonts w:ascii="Times New Roman" w:hAnsi="Times New Roman" w:eastAsia="宋体" w:cs="Times New Roman"/>
      <w:b/>
      <w:bCs/>
      <w:sz w:val="32"/>
      <w:szCs w:val="32"/>
    </w:rPr>
  </w:style>
  <w:style w:type="paragraph" w:styleId="1006" w:customStyle="1">
    <w:name w:val="标题 411"/>
    <w:basedOn w:val="801"/>
    <w:next w:val="1001"/>
    <w:link w:val="1007"/>
    <w:uiPriority w:val="0"/>
    <w:qFormat/>
    <w:pPr>
      <w:keepLines/>
      <w:keepNext/>
      <w:spacing w:before="280" w:after="290" w:line="376" w:lineRule="auto"/>
      <w:outlineLvl w:val="3"/>
    </w:pPr>
    <w:rPr>
      <w:rFonts w:ascii="Arial" w:hAnsi="Arial" w:eastAsia="黑体" w:cs="Arial"/>
      <w:b/>
      <w:bCs/>
      <w:sz w:val="28"/>
      <w:szCs w:val="28"/>
    </w:rPr>
  </w:style>
  <w:style w:type="character" w:styleId="1007" w:customStyle="1">
    <w:name w:val="标题 4 字符"/>
    <w:link w:val="1006"/>
    <w:uiPriority w:val="0"/>
    <w:qFormat/>
    <w:rPr>
      <w:rFonts w:ascii="Arial" w:hAnsi="Arial" w:eastAsia="黑体" w:cs="Arial"/>
      <w:b/>
      <w:bCs/>
      <w:sz w:val="28"/>
      <w:szCs w:val="28"/>
    </w:rPr>
  </w:style>
  <w:style w:type="paragraph" w:styleId="1008" w:customStyle="1">
    <w:name w:val="标题 511"/>
    <w:basedOn w:val="801"/>
    <w:next w:val="1001"/>
    <w:link w:val="1009"/>
    <w:uiPriority w:val="0"/>
    <w:qFormat/>
    <w:pPr>
      <w:keepNext/>
      <w:outlineLvl w:val="4"/>
    </w:pPr>
    <w:rPr>
      <w:rFonts w:ascii="宋体"/>
      <w:color w:val="000000"/>
      <w:sz w:val="28"/>
      <w:szCs w:val="28"/>
    </w:rPr>
  </w:style>
  <w:style w:type="character" w:styleId="1009" w:customStyle="1">
    <w:name w:val="标题 5 字符"/>
    <w:link w:val="1008"/>
    <w:uiPriority w:val="0"/>
    <w:qFormat/>
    <w:rPr>
      <w:rFonts w:ascii="宋体" w:hAnsi="Times New Roman" w:eastAsia="宋体" w:cs="Times New Roman"/>
      <w:color w:val="000000"/>
      <w:sz w:val="28"/>
      <w:szCs w:val="28"/>
    </w:rPr>
  </w:style>
  <w:style w:type="paragraph" w:styleId="1010" w:customStyle="1">
    <w:name w:val="标题 611"/>
    <w:basedOn w:val="801"/>
    <w:next w:val="801"/>
    <w:link w:val="1011"/>
    <w:uiPriority w:val="0"/>
    <w:qFormat/>
    <w:pPr>
      <w:numPr>
        <w:ilvl w:val="5"/>
        <w:numId w:val="1"/>
      </w:numPr>
      <w:keepLines/>
      <w:keepNext/>
      <w:spacing w:before="240" w:after="64" w:line="320" w:lineRule="auto"/>
      <w:outlineLvl w:val="5"/>
    </w:pPr>
    <w:rPr>
      <w:rFonts w:ascii="Arial" w:hAnsi="Arial" w:eastAsia="黑体"/>
      <w:b/>
      <w:bCs/>
      <w:sz w:val="24"/>
      <w:szCs w:val="24"/>
    </w:rPr>
  </w:style>
  <w:style w:type="character" w:styleId="1011" w:customStyle="1">
    <w:name w:val="标题 6 字符"/>
    <w:link w:val="1010"/>
    <w:uiPriority w:val="0"/>
    <w:qFormat/>
    <w:rPr>
      <w:rFonts w:ascii="Arial" w:hAnsi="Arial" w:eastAsia="黑体" w:cs="Times New Roman"/>
      <w:b/>
      <w:bCs/>
      <w:sz w:val="24"/>
      <w:szCs w:val="24"/>
    </w:rPr>
  </w:style>
  <w:style w:type="paragraph" w:styleId="1012" w:customStyle="1">
    <w:name w:val="标题 711"/>
    <w:basedOn w:val="801"/>
    <w:next w:val="801"/>
    <w:link w:val="1013"/>
    <w:uiPriority w:val="0"/>
    <w:qFormat/>
    <w:pPr>
      <w:numPr>
        <w:ilvl w:val="6"/>
        <w:numId w:val="1"/>
      </w:numPr>
      <w:keepLines/>
      <w:keepNext/>
      <w:spacing w:before="240" w:after="64" w:line="320" w:lineRule="auto"/>
      <w:outlineLvl w:val="6"/>
    </w:pPr>
    <w:rPr>
      <w:b/>
      <w:bCs/>
      <w:sz w:val="24"/>
      <w:szCs w:val="24"/>
    </w:rPr>
  </w:style>
  <w:style w:type="character" w:styleId="1013" w:customStyle="1">
    <w:name w:val="标题 7 字符"/>
    <w:link w:val="1012"/>
    <w:uiPriority w:val="0"/>
    <w:qFormat/>
    <w:rPr>
      <w:rFonts w:ascii="Times New Roman" w:hAnsi="Times New Roman" w:eastAsia="宋体" w:cs="Times New Roman"/>
      <w:b/>
      <w:bCs/>
      <w:sz w:val="24"/>
      <w:szCs w:val="24"/>
    </w:rPr>
  </w:style>
  <w:style w:type="paragraph" w:styleId="1014" w:customStyle="1">
    <w:name w:val="标题 811"/>
    <w:basedOn w:val="801"/>
    <w:next w:val="801"/>
    <w:link w:val="1015"/>
    <w:uiPriority w:val="0"/>
    <w:qFormat/>
    <w:pPr>
      <w:numPr>
        <w:ilvl w:val="7"/>
        <w:numId w:val="1"/>
      </w:numPr>
      <w:keepLines/>
      <w:keepNext/>
      <w:spacing w:before="240" w:after="64" w:line="320" w:lineRule="auto"/>
      <w:outlineLvl w:val="7"/>
    </w:pPr>
    <w:rPr>
      <w:rFonts w:ascii="Arial" w:hAnsi="Arial" w:eastAsia="黑体"/>
      <w:sz w:val="24"/>
      <w:szCs w:val="24"/>
    </w:rPr>
  </w:style>
  <w:style w:type="character" w:styleId="1015" w:customStyle="1">
    <w:name w:val="标题 8 字符"/>
    <w:link w:val="1014"/>
    <w:uiPriority w:val="0"/>
    <w:qFormat/>
    <w:rPr>
      <w:rFonts w:ascii="Arial" w:hAnsi="Arial" w:eastAsia="黑体" w:cs="Times New Roman"/>
      <w:sz w:val="24"/>
      <w:szCs w:val="24"/>
    </w:rPr>
  </w:style>
  <w:style w:type="paragraph" w:styleId="1016" w:customStyle="1">
    <w:name w:val="标题 911"/>
    <w:basedOn w:val="801"/>
    <w:next w:val="801"/>
    <w:link w:val="1017"/>
    <w:uiPriority w:val="0"/>
    <w:qFormat/>
    <w:pPr>
      <w:numPr>
        <w:ilvl w:val="8"/>
        <w:numId w:val="1"/>
      </w:numPr>
      <w:keepLines/>
      <w:keepNext/>
      <w:spacing w:before="240" w:after="64" w:line="320" w:lineRule="auto"/>
      <w:outlineLvl w:val="8"/>
    </w:pPr>
    <w:rPr>
      <w:rFonts w:ascii="Arial" w:hAnsi="Arial" w:eastAsia="黑体"/>
    </w:rPr>
  </w:style>
  <w:style w:type="character" w:styleId="1017" w:customStyle="1">
    <w:name w:val="标题 9 字符"/>
    <w:link w:val="1016"/>
    <w:uiPriority w:val="0"/>
    <w:qFormat/>
    <w:rPr>
      <w:rFonts w:ascii="Arial" w:hAnsi="Arial" w:eastAsia="黑体" w:cs="Times New Roman"/>
      <w:szCs w:val="21"/>
    </w:rPr>
  </w:style>
  <w:style w:type="character" w:styleId="1018" w:customStyle="1">
    <w:name w:val="默认段落字体1"/>
    <w:uiPriority w:val="1"/>
    <w:unhideWhenUsed/>
    <w:qFormat/>
  </w:style>
  <w:style w:type="table" w:styleId="1019" w:customStyle="1">
    <w:name w:val="普通表格1"/>
    <w:uiPriority w:val="99"/>
    <w:unhideWhenUsed/>
    <w:qFormat/>
    <w:tblPr>
      <w:tblCellMar>
        <w:left w:w="0" w:type="dxa"/>
        <w:top w:w="0" w:type="dxa"/>
        <w:right w:w="0" w:type="dxa"/>
        <w:bottom w:w="0" w:type="dxa"/>
      </w:tblCellMar>
    </w:tblPr>
  </w:style>
  <w:style w:type="paragraph" w:styleId="1020" w:customStyle="1">
    <w:name w:val="列表 31"/>
    <w:basedOn w:val="801"/>
    <w:uiPriority w:val="0"/>
    <w:qFormat/>
    <w:pPr>
      <w:ind w:left="100" w:hanging="200"/>
    </w:pPr>
  </w:style>
  <w:style w:type="paragraph" w:styleId="1021" w:customStyle="1">
    <w:name w:val="目录 71"/>
    <w:basedOn w:val="801"/>
    <w:next w:val="801"/>
    <w:uiPriority w:val="0"/>
    <w:semiHidden/>
    <w:qFormat/>
    <w:pPr>
      <w:ind w:left="1260"/>
      <w:jc w:val="left"/>
    </w:pPr>
  </w:style>
  <w:style w:type="paragraph" w:styleId="1022" w:customStyle="1">
    <w:name w:val="文档结构图1"/>
    <w:basedOn w:val="801"/>
    <w:link w:val="1023"/>
    <w:uiPriority w:val="0"/>
    <w:semiHidden/>
    <w:qFormat/>
    <w:pPr>
      <w:shd w:val="clear" w:color="auto" w:fill="000080"/>
    </w:pPr>
  </w:style>
  <w:style w:type="character" w:styleId="1023" w:customStyle="1">
    <w:name w:val="文档结构图 字符"/>
    <w:link w:val="1022"/>
    <w:uiPriority w:val="0"/>
    <w:semiHidden/>
    <w:qFormat/>
    <w:rPr>
      <w:rFonts w:ascii="Times New Roman" w:hAnsi="Times New Roman" w:eastAsia="宋体" w:cs="Times New Roman"/>
      <w:szCs w:val="21"/>
      <w:shd w:val="clear" w:color="auto" w:fill="000080"/>
    </w:rPr>
  </w:style>
  <w:style w:type="paragraph" w:styleId="1024" w:customStyle="1">
    <w:name w:val="批注文字1"/>
    <w:basedOn w:val="801"/>
    <w:link w:val="1025"/>
    <w:uiPriority w:val="99"/>
    <w:qFormat/>
    <w:pPr>
      <w:jc w:val="left"/>
    </w:pPr>
  </w:style>
  <w:style w:type="character" w:styleId="1025" w:customStyle="1">
    <w:name w:val="批注文字 字符"/>
    <w:link w:val="1024"/>
    <w:uiPriority w:val="99"/>
    <w:qFormat/>
    <w:rPr>
      <w:rFonts w:ascii="Times New Roman" w:hAnsi="Times New Roman" w:eastAsia="宋体" w:cs="Times New Roman"/>
      <w:szCs w:val="21"/>
    </w:rPr>
  </w:style>
  <w:style w:type="paragraph" w:styleId="1026" w:customStyle="1">
    <w:name w:val="正文文本 31"/>
    <w:basedOn w:val="801"/>
    <w:link w:val="1027"/>
    <w:uiPriority w:val="0"/>
    <w:qFormat/>
    <w:rPr>
      <w:rFonts w:ascii="仿宋_GB2312" w:hAnsi="Arial" w:eastAsia="仿宋_GB2312"/>
      <w:sz w:val="32"/>
      <w:szCs w:val="32"/>
    </w:rPr>
  </w:style>
  <w:style w:type="character" w:styleId="1027" w:customStyle="1">
    <w:name w:val="正文文本 3 字符"/>
    <w:link w:val="1026"/>
    <w:uiPriority w:val="0"/>
    <w:qFormat/>
    <w:rPr>
      <w:rFonts w:ascii="仿宋_GB2312" w:hAnsi="Arial" w:eastAsia="仿宋_GB2312" w:cs="Times New Roman"/>
      <w:sz w:val="32"/>
      <w:szCs w:val="32"/>
    </w:rPr>
  </w:style>
  <w:style w:type="paragraph" w:styleId="1028" w:customStyle="1">
    <w:name w:val="正文文本1"/>
    <w:basedOn w:val="801"/>
    <w:link w:val="1029"/>
    <w:uiPriority w:val="0"/>
    <w:qFormat/>
    <w:rPr>
      <w:rFonts w:ascii="楷体_GB2312" w:hAnsi="Arial" w:eastAsia="楷体_GB2312"/>
      <w:sz w:val="28"/>
      <w:szCs w:val="28"/>
    </w:rPr>
  </w:style>
  <w:style w:type="character" w:styleId="1029" w:customStyle="1">
    <w:name w:val="正文文本 字符"/>
    <w:link w:val="1028"/>
    <w:uiPriority w:val="0"/>
    <w:qFormat/>
    <w:rPr>
      <w:rFonts w:ascii="楷体_GB2312" w:hAnsi="Arial" w:eastAsia="楷体_GB2312" w:cs="Times New Roman"/>
      <w:sz w:val="28"/>
      <w:szCs w:val="28"/>
    </w:rPr>
  </w:style>
  <w:style w:type="paragraph" w:styleId="1030" w:customStyle="1">
    <w:name w:val="正文文本缩进1"/>
    <w:basedOn w:val="801"/>
    <w:link w:val="1031"/>
    <w:uiPriority w:val="0"/>
    <w:qFormat/>
    <w:pPr>
      <w:ind w:firstLine="645"/>
    </w:pPr>
    <w:rPr>
      <w:rFonts w:ascii="楷体_GB2312" w:eastAsia="楷体_GB2312"/>
      <w:sz w:val="32"/>
      <w:szCs w:val="32"/>
    </w:rPr>
  </w:style>
  <w:style w:type="character" w:styleId="1031" w:customStyle="1">
    <w:name w:val="正文文本缩进 字符"/>
    <w:link w:val="1030"/>
    <w:uiPriority w:val="0"/>
    <w:qFormat/>
    <w:rPr>
      <w:rFonts w:ascii="楷体_GB2312" w:hAnsi="Times New Roman" w:eastAsia="楷体_GB2312" w:cs="Times New Roman"/>
      <w:sz w:val="32"/>
      <w:szCs w:val="32"/>
    </w:rPr>
  </w:style>
  <w:style w:type="paragraph" w:styleId="1032" w:customStyle="1">
    <w:name w:val="列表 21"/>
    <w:basedOn w:val="801"/>
    <w:uiPriority w:val="0"/>
    <w:qFormat/>
    <w:pPr>
      <w:ind w:left="100" w:hanging="200"/>
    </w:pPr>
  </w:style>
  <w:style w:type="paragraph" w:styleId="1033" w:customStyle="1">
    <w:name w:val="目录 51"/>
    <w:basedOn w:val="801"/>
    <w:next w:val="801"/>
    <w:uiPriority w:val="0"/>
    <w:semiHidden/>
    <w:qFormat/>
    <w:pPr>
      <w:ind w:left="840"/>
      <w:jc w:val="left"/>
    </w:pPr>
  </w:style>
  <w:style w:type="paragraph" w:styleId="1034" w:customStyle="1">
    <w:name w:val="目录 31"/>
    <w:basedOn w:val="801"/>
    <w:next w:val="801"/>
    <w:uiPriority w:val="0"/>
    <w:semiHidden/>
    <w:qFormat/>
    <w:pPr>
      <w:ind w:left="420"/>
      <w:jc w:val="left"/>
    </w:pPr>
    <w:rPr>
      <w:i/>
      <w:iCs/>
      <w:szCs w:val="24"/>
    </w:rPr>
  </w:style>
  <w:style w:type="paragraph" w:styleId="1035" w:customStyle="1">
    <w:name w:val="纯文本1"/>
    <w:basedOn w:val="801"/>
    <w:link w:val="1036"/>
    <w:uiPriority w:val="0"/>
    <w:qFormat/>
    <w:rPr>
      <w:rFonts w:ascii="宋体" w:hAnsi="Courier New" w:cs="Courier New"/>
    </w:rPr>
  </w:style>
  <w:style w:type="character" w:styleId="1036" w:customStyle="1">
    <w:name w:val="纯文本 字符"/>
    <w:link w:val="1035"/>
    <w:uiPriority w:val="0"/>
    <w:qFormat/>
    <w:rPr>
      <w:rFonts w:ascii="宋体" w:hAnsi="Courier New" w:eastAsia="宋体" w:cs="Courier New"/>
      <w:szCs w:val="21"/>
    </w:rPr>
  </w:style>
  <w:style w:type="paragraph" w:styleId="1037" w:customStyle="1">
    <w:name w:val="目录 81"/>
    <w:basedOn w:val="801"/>
    <w:next w:val="801"/>
    <w:uiPriority w:val="0"/>
    <w:semiHidden/>
    <w:qFormat/>
    <w:pPr>
      <w:ind w:left="1470"/>
      <w:jc w:val="left"/>
    </w:pPr>
  </w:style>
  <w:style w:type="paragraph" w:styleId="1038" w:customStyle="1">
    <w:name w:val="日期1"/>
    <w:basedOn w:val="801"/>
    <w:next w:val="801"/>
    <w:link w:val="1039"/>
    <w:uiPriority w:val="0"/>
    <w:qFormat/>
    <w:rPr>
      <w:sz w:val="24"/>
      <w:szCs w:val="24"/>
    </w:rPr>
  </w:style>
  <w:style w:type="character" w:styleId="1039" w:customStyle="1">
    <w:name w:val="日期 字符"/>
    <w:link w:val="1038"/>
    <w:uiPriority w:val="0"/>
    <w:qFormat/>
    <w:rPr>
      <w:rFonts w:ascii="Times New Roman" w:hAnsi="Times New Roman" w:eastAsia="宋体" w:cs="Times New Roman"/>
      <w:sz w:val="24"/>
      <w:szCs w:val="24"/>
    </w:rPr>
  </w:style>
  <w:style w:type="paragraph" w:styleId="1040" w:customStyle="1">
    <w:name w:val="正文文本缩进 21"/>
    <w:basedOn w:val="801"/>
    <w:link w:val="1041"/>
    <w:uiPriority w:val="0"/>
    <w:qFormat/>
    <w:pPr>
      <w:ind w:left="630" w:firstLine="645"/>
    </w:pPr>
    <w:rPr>
      <w:rFonts w:ascii="Arial" w:hAnsi="Arial" w:eastAsia="仿宋_GB2312" w:cs="Arial"/>
      <w:sz w:val="32"/>
      <w:szCs w:val="32"/>
    </w:rPr>
  </w:style>
  <w:style w:type="character" w:styleId="1041" w:customStyle="1">
    <w:name w:val="正文文本缩进 2 字符"/>
    <w:link w:val="1040"/>
    <w:uiPriority w:val="0"/>
    <w:qFormat/>
    <w:rPr>
      <w:rFonts w:ascii="Arial" w:hAnsi="Arial" w:eastAsia="仿宋_GB2312" w:cs="Arial"/>
      <w:sz w:val="32"/>
      <w:szCs w:val="32"/>
    </w:rPr>
  </w:style>
  <w:style w:type="paragraph" w:styleId="1042" w:customStyle="1">
    <w:name w:val="批注框文本1"/>
    <w:basedOn w:val="801"/>
    <w:link w:val="1043"/>
    <w:uiPriority w:val="0"/>
    <w:semiHidden/>
    <w:qFormat/>
    <w:rPr>
      <w:sz w:val="18"/>
      <w:szCs w:val="18"/>
    </w:rPr>
  </w:style>
  <w:style w:type="character" w:styleId="1043" w:customStyle="1">
    <w:name w:val="批注框文本 字符"/>
    <w:link w:val="1042"/>
    <w:uiPriority w:val="0"/>
    <w:semiHidden/>
    <w:qFormat/>
    <w:rPr>
      <w:rFonts w:ascii="Times New Roman" w:hAnsi="Times New Roman" w:eastAsia="宋体" w:cs="Times New Roman"/>
      <w:sz w:val="18"/>
      <w:szCs w:val="18"/>
    </w:rPr>
  </w:style>
  <w:style w:type="paragraph" w:styleId="1044" w:customStyle="1">
    <w:name w:val="页脚11"/>
    <w:basedOn w:val="801"/>
    <w:link w:val="1045"/>
    <w:uiPriority w:val="99"/>
    <w:qFormat/>
    <w:pPr>
      <w:jc w:val="left"/>
      <w:tabs>
        <w:tab w:val="center" w:pos="4153" w:leader="none"/>
        <w:tab w:val="right" w:pos="8306" w:leader="none"/>
      </w:tabs>
    </w:pPr>
    <w:rPr>
      <w:sz w:val="18"/>
      <w:szCs w:val="18"/>
    </w:rPr>
  </w:style>
  <w:style w:type="character" w:styleId="1045" w:customStyle="1">
    <w:name w:val="页脚 字符"/>
    <w:link w:val="1044"/>
    <w:uiPriority w:val="99"/>
    <w:qFormat/>
    <w:rPr>
      <w:rFonts w:ascii="Times New Roman" w:hAnsi="Times New Roman" w:eastAsia="宋体" w:cs="Times New Roman"/>
      <w:sz w:val="18"/>
      <w:szCs w:val="18"/>
    </w:rPr>
  </w:style>
  <w:style w:type="paragraph" w:styleId="1046" w:customStyle="1">
    <w:name w:val="页眉11"/>
    <w:basedOn w:val="801"/>
    <w:link w:val="1047"/>
    <w:uiPriority w:val="0"/>
    <w:qFormat/>
    <w:pPr>
      <w:jc w:val="center"/>
      <w:tabs>
        <w:tab w:val="center" w:pos="4153" w:leader="none"/>
        <w:tab w:val="right" w:pos="8306" w:leader="none"/>
      </w:tabs>
      <w:pBdr>
        <w:bottom w:val="single" w:color="000000" w:sz="6" w:space="1"/>
      </w:pBdr>
    </w:pPr>
    <w:rPr>
      <w:sz w:val="18"/>
      <w:szCs w:val="18"/>
    </w:rPr>
  </w:style>
  <w:style w:type="character" w:styleId="1047" w:customStyle="1">
    <w:name w:val="页眉 字符"/>
    <w:link w:val="1046"/>
    <w:uiPriority w:val="0"/>
    <w:qFormat/>
    <w:rPr>
      <w:rFonts w:ascii="Times New Roman" w:hAnsi="Times New Roman" w:eastAsia="宋体" w:cs="Times New Roman"/>
      <w:sz w:val="18"/>
      <w:szCs w:val="18"/>
    </w:rPr>
  </w:style>
  <w:style w:type="paragraph" w:styleId="1048" w:customStyle="1">
    <w:name w:val="目录 11"/>
    <w:basedOn w:val="801"/>
    <w:next w:val="801"/>
    <w:uiPriority w:val="0"/>
    <w:semiHidden/>
    <w:qFormat/>
    <w:pPr>
      <w:jc w:val="left"/>
      <w:spacing w:before="120" w:after="120" w:line="400" w:lineRule="exact"/>
      <w:tabs>
        <w:tab w:val="right" w:pos="8720" w:leader="dot"/>
      </w:tabs>
    </w:pPr>
    <w:rPr>
      <w:rFonts w:ascii="宋体" w:hAnsi="宋体"/>
      <w:caps/>
      <w:sz w:val="24"/>
      <w:szCs w:val="24"/>
    </w:rPr>
  </w:style>
  <w:style w:type="paragraph" w:styleId="1049" w:customStyle="1">
    <w:name w:val="目录 41"/>
    <w:basedOn w:val="801"/>
    <w:next w:val="801"/>
    <w:uiPriority w:val="0"/>
    <w:semiHidden/>
    <w:qFormat/>
    <w:pPr>
      <w:ind w:left="630"/>
      <w:jc w:val="left"/>
    </w:pPr>
  </w:style>
  <w:style w:type="paragraph" w:styleId="1050" w:customStyle="1">
    <w:name w:val="列表1"/>
    <w:basedOn w:val="801"/>
    <w:uiPriority w:val="0"/>
    <w:qFormat/>
    <w:pPr>
      <w:ind w:left="200" w:hanging="200"/>
    </w:pPr>
  </w:style>
  <w:style w:type="paragraph" w:styleId="1051" w:customStyle="1">
    <w:name w:val="目录 61"/>
    <w:basedOn w:val="801"/>
    <w:next w:val="801"/>
    <w:uiPriority w:val="0"/>
    <w:semiHidden/>
    <w:qFormat/>
    <w:pPr>
      <w:ind w:left="1050"/>
      <w:jc w:val="left"/>
    </w:pPr>
  </w:style>
  <w:style w:type="paragraph" w:styleId="1052" w:customStyle="1">
    <w:name w:val="正文文本缩进 31"/>
    <w:basedOn w:val="801"/>
    <w:link w:val="1053"/>
    <w:uiPriority w:val="0"/>
    <w:qFormat/>
    <w:pPr>
      <w:ind w:left="645" w:firstLine="645"/>
    </w:pPr>
    <w:rPr>
      <w:rFonts w:ascii="Arial" w:hAnsi="Arial" w:eastAsia="仿宋_GB2312" w:cs="Arial"/>
      <w:color w:val="ffff00"/>
      <w:sz w:val="32"/>
      <w:szCs w:val="32"/>
    </w:rPr>
  </w:style>
  <w:style w:type="character" w:styleId="1053" w:customStyle="1">
    <w:name w:val="正文文本缩进 3 字符"/>
    <w:link w:val="1052"/>
    <w:uiPriority w:val="0"/>
    <w:qFormat/>
    <w:rPr>
      <w:rFonts w:ascii="Arial" w:hAnsi="Arial" w:eastAsia="仿宋_GB2312" w:cs="Arial"/>
      <w:color w:val="ffff00"/>
      <w:sz w:val="32"/>
      <w:szCs w:val="32"/>
    </w:rPr>
  </w:style>
  <w:style w:type="paragraph" w:styleId="1054" w:customStyle="1">
    <w:name w:val="图表目录1"/>
    <w:basedOn w:val="801"/>
    <w:next w:val="801"/>
    <w:uiPriority w:val="0"/>
    <w:semiHidden/>
    <w:qFormat/>
    <w:pPr>
      <w:ind w:left="840" w:hanging="420"/>
    </w:pPr>
  </w:style>
  <w:style w:type="paragraph" w:styleId="1055" w:customStyle="1">
    <w:name w:val="目录 21"/>
    <w:basedOn w:val="801"/>
    <w:next w:val="801"/>
    <w:uiPriority w:val="0"/>
    <w:semiHidden/>
    <w:qFormat/>
    <w:pPr>
      <w:ind w:left="210"/>
      <w:jc w:val="left"/>
    </w:pPr>
    <w:rPr>
      <w:smallCaps/>
      <w:szCs w:val="24"/>
    </w:rPr>
  </w:style>
  <w:style w:type="paragraph" w:styleId="1056" w:customStyle="1">
    <w:name w:val="目录 91"/>
    <w:basedOn w:val="801"/>
    <w:next w:val="801"/>
    <w:uiPriority w:val="0"/>
    <w:semiHidden/>
    <w:qFormat/>
    <w:pPr>
      <w:ind w:left="1680"/>
      <w:jc w:val="left"/>
    </w:pPr>
  </w:style>
  <w:style w:type="paragraph" w:styleId="1057" w:customStyle="1">
    <w:name w:val="正文文本 21"/>
    <w:basedOn w:val="801"/>
    <w:link w:val="1058"/>
    <w:uiPriority w:val="0"/>
    <w:qFormat/>
    <w:pPr>
      <w:jc w:val="center"/>
      <w:widowControl/>
    </w:pPr>
    <w:rPr>
      <w:rFonts w:ascii="楷体_GB2312" w:eastAsia="楷体_GB2312"/>
      <w:sz w:val="28"/>
      <w:szCs w:val="28"/>
    </w:rPr>
  </w:style>
  <w:style w:type="character" w:styleId="1058" w:customStyle="1">
    <w:name w:val="正文文本 2 字符"/>
    <w:link w:val="1057"/>
    <w:uiPriority w:val="0"/>
    <w:qFormat/>
    <w:rPr>
      <w:rFonts w:ascii="楷体_GB2312" w:hAnsi="Times New Roman" w:eastAsia="楷体_GB2312" w:cs="Times New Roman"/>
      <w:sz w:val="28"/>
      <w:szCs w:val="28"/>
    </w:rPr>
  </w:style>
  <w:style w:type="paragraph" w:styleId="1059" w:customStyle="1">
    <w:name w:val="普通(网站)1"/>
    <w:basedOn w:val="801"/>
    <w:uiPriority w:val="99"/>
    <w:qFormat/>
    <w:pPr>
      <w:jc w:val="left"/>
      <w:spacing w:before="100" w:beforeAutospacing="1" w:after="100" w:afterAutospacing="1"/>
      <w:widowControl/>
    </w:pPr>
    <w:rPr>
      <w:rFonts w:ascii="宋体" w:hAnsi="宋体" w:cs="宋体"/>
      <w:sz w:val="24"/>
      <w:szCs w:val="24"/>
    </w:rPr>
  </w:style>
  <w:style w:type="paragraph" w:styleId="1060" w:customStyle="1">
    <w:name w:val="索引 11"/>
    <w:basedOn w:val="801"/>
    <w:next w:val="801"/>
    <w:uiPriority w:val="0"/>
    <w:semiHidden/>
    <w:qFormat/>
    <w:pPr>
      <w:spacing w:line="240" w:lineRule="atLeast"/>
    </w:pPr>
    <w:rPr>
      <w:b/>
      <w:bCs/>
    </w:rPr>
  </w:style>
  <w:style w:type="paragraph" w:styleId="1061" w:customStyle="1">
    <w:name w:val="批注主题1"/>
    <w:basedOn w:val="1024"/>
    <w:next w:val="1024"/>
    <w:link w:val="1062"/>
    <w:uiPriority w:val="0"/>
    <w:semiHidden/>
    <w:qFormat/>
    <w:rPr>
      <w:b/>
      <w:bCs/>
    </w:rPr>
  </w:style>
  <w:style w:type="character" w:styleId="1062" w:customStyle="1">
    <w:name w:val="批注主题 字符"/>
    <w:link w:val="1061"/>
    <w:uiPriority w:val="0"/>
    <w:semiHidden/>
    <w:qFormat/>
    <w:rPr>
      <w:rFonts w:ascii="Times New Roman" w:hAnsi="Times New Roman" w:eastAsia="宋体" w:cs="Times New Roman"/>
      <w:b/>
      <w:bCs/>
      <w:szCs w:val="21"/>
    </w:rPr>
  </w:style>
  <w:style w:type="paragraph" w:styleId="1063" w:customStyle="1">
    <w:name w:val="正文首行缩进1"/>
    <w:basedOn w:val="801"/>
    <w:link w:val="1064"/>
    <w:uiPriority w:val="0"/>
    <w:qFormat/>
    <w:pPr>
      <w:ind w:firstLine="200"/>
      <w:spacing w:line="360" w:lineRule="auto"/>
    </w:pPr>
    <w:rPr>
      <w:rFonts w:ascii="仿宋_GB2312" w:eastAsia="仿宋_GB2312"/>
      <w:sz w:val="30"/>
      <w:szCs w:val="30"/>
    </w:rPr>
  </w:style>
  <w:style w:type="character" w:styleId="1064" w:customStyle="1">
    <w:name w:val="正文文本首行缩进 字符"/>
    <w:link w:val="1063"/>
    <w:uiPriority w:val="0"/>
    <w:qFormat/>
    <w:rPr>
      <w:rFonts w:ascii="仿宋_GB2312" w:hAnsi="Times New Roman" w:eastAsia="仿宋_GB2312" w:cs="Times New Roman"/>
      <w:sz w:val="30"/>
      <w:szCs w:val="30"/>
    </w:rPr>
  </w:style>
  <w:style w:type="paragraph" w:styleId="1065" w:customStyle="1">
    <w:name w:val="正文首行缩进 21"/>
    <w:basedOn w:val="1030"/>
    <w:link w:val="1066"/>
    <w:uiPriority w:val="0"/>
    <w:qFormat/>
    <w:pPr>
      <w:ind w:firstLine="420"/>
      <w:spacing w:line="360" w:lineRule="auto"/>
    </w:pPr>
    <w:rPr>
      <w:rFonts w:ascii="宋体" w:hAnsi="宋体" w:eastAsia="宋体"/>
      <w:sz w:val="21"/>
      <w:szCs w:val="20"/>
    </w:rPr>
  </w:style>
  <w:style w:type="character" w:styleId="1066" w:customStyle="1">
    <w:name w:val="正文文本首行缩进 2 字符"/>
    <w:link w:val="1065"/>
    <w:uiPriority w:val="0"/>
    <w:qFormat/>
    <w:rPr>
      <w:rFonts w:ascii="宋体" w:hAnsi="宋体" w:eastAsia="宋体" w:cs="Times New Roman"/>
      <w:sz w:val="32"/>
      <w:szCs w:val="20"/>
    </w:rPr>
  </w:style>
  <w:style w:type="table" w:styleId="1067" w:customStyle="1">
    <w:name w:val="网格型1"/>
    <w:basedOn w:val="1019"/>
    <w:uiPriority w:val="0"/>
    <w:qFormat/>
    <w:pPr>
      <w:jc w:val="both"/>
      <w:widowControl w:val="off"/>
    </w:pPr>
    <w:tblPr/>
  </w:style>
  <w:style w:type="character" w:styleId="1068" w:customStyle="1">
    <w:name w:val="要点1"/>
    <w:uiPriority w:val="0"/>
    <w:qFormat/>
    <w:rPr>
      <w:b/>
      <w:bCs/>
    </w:rPr>
  </w:style>
  <w:style w:type="character" w:styleId="1069" w:customStyle="1">
    <w:name w:val="页码1"/>
    <w:uiPriority w:val="0"/>
    <w:qFormat/>
  </w:style>
  <w:style w:type="character" w:styleId="1070" w:customStyle="1">
    <w:name w:val="已访问的超链接1"/>
    <w:uiPriority w:val="0"/>
    <w:qFormat/>
    <w:rPr>
      <w:color w:val="800080"/>
      <w:u w:val="single"/>
    </w:rPr>
  </w:style>
  <w:style w:type="character" w:styleId="1071" w:customStyle="1">
    <w:name w:val="超链接1"/>
    <w:uiPriority w:val="0"/>
    <w:qFormat/>
    <w:rPr>
      <w:color w:val="0000ff"/>
      <w:u w:val="single"/>
    </w:rPr>
  </w:style>
  <w:style w:type="character" w:styleId="1072" w:customStyle="1">
    <w:name w:val="批注引用1"/>
    <w:uiPriority w:val="99"/>
    <w:qFormat/>
    <w:rPr>
      <w:sz w:val="21"/>
      <w:szCs w:val="21"/>
    </w:rPr>
  </w:style>
  <w:style w:type="character" w:styleId="1073" w:customStyle="1">
    <w:name w:val="font5 Char"/>
    <w:uiPriority w:val="0"/>
    <w:qFormat/>
    <w:rPr>
      <w:rFonts w:ascii="宋体" w:hAnsi="宋体" w:eastAsia="宋体"/>
      <w:sz w:val="28"/>
      <w:szCs w:val="28"/>
      <w:lang w:val="en-US" w:eastAsia="zh-CN" w:bidi="ar-SA"/>
    </w:rPr>
  </w:style>
  <w:style w:type="character" w:styleId="1074" w:customStyle="1">
    <w:name w:val="二级目录 Char"/>
    <w:link w:val="1075"/>
    <w:uiPriority w:val="0"/>
    <w:qFormat/>
    <w:rPr>
      <w:b/>
      <w:sz w:val="30"/>
      <w:szCs w:val="28"/>
    </w:rPr>
  </w:style>
  <w:style w:type="paragraph" w:styleId="1075" w:customStyle="1">
    <w:name w:val="二级目录"/>
    <w:next w:val="801"/>
    <w:link w:val="1074"/>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076" w:customStyle="1">
    <w:name w:val="列出段落 Char"/>
    <w:link w:val="1077"/>
    <w:uiPriority w:val="0"/>
    <w:qFormat/>
    <w:rPr>
      <w:rFonts w:ascii="Calibri" w:hAnsi="Calibri"/>
      <w:sz w:val="24"/>
      <w:szCs w:val="24"/>
      <w:lang w:eastAsia="en-US" w:bidi="en-US"/>
    </w:rPr>
  </w:style>
  <w:style w:type="paragraph" w:styleId="1077" w:customStyle="1">
    <w:name w:val="列出段落1"/>
    <w:basedOn w:val="801"/>
    <w:link w:val="1076"/>
    <w:uiPriority w:val="0"/>
    <w:qFormat/>
    <w:pPr>
      <w:contextualSpacing/>
      <w:ind w:left="720"/>
      <w:jc w:val="left"/>
      <w:widowControl/>
    </w:pPr>
    <w:rPr>
      <w:rFonts w:ascii="Calibri" w:hAnsi="Calibri"/>
      <w:sz w:val="24"/>
      <w:szCs w:val="24"/>
      <w:lang w:eastAsia="en-US" w:bidi="en-US"/>
    </w:rPr>
  </w:style>
  <w:style w:type="paragraph" w:styleId="1078" w:customStyle="1">
    <w:name w:val="Body Text(ch)"/>
    <w:basedOn w:val="801"/>
    <w:next w:val="1028"/>
    <w:uiPriority w:val="0"/>
    <w:qFormat/>
    <w:pPr>
      <w:spacing w:after="120"/>
    </w:pPr>
    <w:rPr>
      <w:rFonts w:ascii="宋体" w:hAnsi="Arial"/>
      <w:bCs/>
      <w:iCs/>
      <w:szCs w:val="24"/>
    </w:rPr>
  </w:style>
  <w:style w:type="paragraph" w:styleId="1079" w:customStyle="1">
    <w:name w:val="xl27"/>
    <w:basedOn w:val="80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80" w:customStyle="1">
    <w:name w:val="xl26"/>
    <w:basedOn w:val="8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81" w:customStyle="1">
    <w:name w:val="Char"/>
    <w:basedOn w:val="801"/>
    <w:uiPriority w:val="0"/>
    <w:qFormat/>
    <w:pPr>
      <w:ind w:firstLine="200"/>
      <w:tabs>
        <w:tab w:val="left" w:pos="360" w:leader="none"/>
      </w:tabs>
    </w:pPr>
    <w:rPr>
      <w:sz w:val="28"/>
      <w:szCs w:val="30"/>
    </w:rPr>
  </w:style>
  <w:style w:type="paragraph" w:styleId="1082" w:customStyle="1">
    <w:name w:val="Char1"/>
    <w:basedOn w:val="1022"/>
    <w:uiPriority w:val="0"/>
    <w:qFormat/>
    <w:rPr>
      <w:rFonts w:ascii="Tahoma" w:hAnsi="Tahoma"/>
      <w:sz w:val="24"/>
      <w:szCs w:val="24"/>
    </w:rPr>
  </w:style>
  <w:style w:type="paragraph" w:styleId="1083" w:customStyle="1">
    <w:name w:val="普通正文"/>
    <w:basedOn w:val="801"/>
    <w:uiPriority w:val="0"/>
    <w:qFormat/>
    <w:pPr>
      <w:ind w:firstLine="480"/>
      <w:jc w:val="left"/>
      <w:spacing w:before="120" w:after="120" w:line="360" w:lineRule="auto"/>
    </w:pPr>
    <w:rPr>
      <w:rFonts w:ascii="Arial" w:hAnsi="Arial"/>
      <w:sz w:val="24"/>
      <w:szCs w:val="24"/>
    </w:rPr>
  </w:style>
  <w:style w:type="paragraph" w:styleId="1084" w:customStyle="1">
    <w:name w:val="table_lines"/>
    <w:basedOn w:val="801"/>
    <w:uiPriority w:val="0"/>
    <w:qFormat/>
    <w:pPr>
      <w:jc w:val="left"/>
      <w:widowControl/>
    </w:pPr>
    <w:rPr>
      <w:sz w:val="20"/>
      <w:szCs w:val="20"/>
      <w:lang w:val="de-DE" w:eastAsia="de-DE"/>
    </w:rPr>
  </w:style>
  <w:style w:type="paragraph" w:styleId="1085"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086" w:customStyle="1">
    <w:name w:val="font7"/>
    <w:basedOn w:val="801"/>
    <w:uiPriority w:val="0"/>
    <w:qFormat/>
    <w:pPr>
      <w:jc w:val="left"/>
      <w:spacing w:before="100" w:beforeAutospacing="1" w:after="100" w:afterAutospacing="1"/>
      <w:widowControl/>
    </w:pPr>
    <w:rPr>
      <w:rFonts w:hint="eastAsia" w:ascii="宋体" w:hAnsi="宋体"/>
      <w:sz w:val="18"/>
      <w:szCs w:val="18"/>
    </w:rPr>
  </w:style>
  <w:style w:type="paragraph" w:styleId="1087" w:customStyle="1">
    <w:name w:val="Char Char Char Char"/>
    <w:basedOn w:val="1022"/>
    <w:uiPriority w:val="0"/>
    <w:qFormat/>
    <w:pPr>
      <w:spacing w:line="360" w:lineRule="auto"/>
    </w:pPr>
    <w:rPr>
      <w:rFonts w:ascii="Tahoma" w:hAnsi="Tahoma"/>
      <w:sz w:val="24"/>
      <w:szCs w:val="24"/>
    </w:rPr>
  </w:style>
  <w:style w:type="paragraph" w:styleId="1088" w:customStyle="1">
    <w:name w:val="列表段落1"/>
    <w:basedOn w:val="801"/>
    <w:link w:val="1089"/>
    <w:uiPriority w:val="34"/>
    <w:qFormat/>
    <w:pPr>
      <w:contextualSpacing/>
      <w:ind w:left="720"/>
      <w:jc w:val="left"/>
      <w:widowControl/>
    </w:pPr>
    <w:rPr>
      <w:rFonts w:ascii="Calibri" w:hAnsi="Calibri"/>
      <w:sz w:val="24"/>
      <w:szCs w:val="24"/>
      <w:lang w:eastAsia="en-US" w:bidi="en-US"/>
    </w:rPr>
  </w:style>
  <w:style w:type="character" w:styleId="1089" w:customStyle="1">
    <w:name w:val="列表段落 字符"/>
    <w:link w:val="1088"/>
    <w:uiPriority w:val="34"/>
    <w:qFormat/>
    <w:rPr>
      <w:sz w:val="24"/>
      <w:szCs w:val="24"/>
      <w:lang w:eastAsia="en-US" w:bidi="en-US"/>
    </w:rPr>
  </w:style>
  <w:style w:type="paragraph" w:styleId="1090" w:customStyle="1">
    <w:name w:val="4"/>
    <w:basedOn w:val="801"/>
    <w:next w:val="1052"/>
    <w:uiPriority w:val="0"/>
    <w:qFormat/>
    <w:pPr>
      <w:ind w:firstLine="420"/>
      <w:spacing w:line="360" w:lineRule="auto"/>
    </w:pPr>
    <w:rPr>
      <w:color w:val="ff0000"/>
      <w:sz w:val="24"/>
      <w:szCs w:val="24"/>
    </w:rPr>
  </w:style>
  <w:style w:type="paragraph" w:styleId="1091" w:customStyle="1">
    <w:name w:val="普通 (Web)"/>
    <w:basedOn w:val="801"/>
    <w:uiPriority w:val="0"/>
    <w:qFormat/>
    <w:pPr>
      <w:jc w:val="left"/>
      <w:spacing w:before="100" w:beforeAutospacing="1" w:after="100" w:afterAutospacing="1"/>
      <w:widowControl/>
    </w:pPr>
    <w:rPr>
      <w:rFonts w:ascii="宋体" w:hAnsi="宋体"/>
      <w:sz w:val="24"/>
      <w:szCs w:val="24"/>
    </w:rPr>
  </w:style>
  <w:style w:type="paragraph" w:styleId="1092" w:customStyle="1">
    <w:name w:val="Char Char Char Char Char Char Char Char Char Char"/>
    <w:basedOn w:val="801"/>
    <w:uiPriority w:val="0"/>
    <w:qFormat/>
    <w:pPr>
      <w:spacing w:line="360" w:lineRule="auto"/>
    </w:pPr>
    <w:rPr>
      <w:sz w:val="24"/>
      <w:szCs w:val="20"/>
    </w:rPr>
  </w:style>
  <w:style w:type="paragraph" w:styleId="1093" w:customStyle="1">
    <w:name w:val="样式1"/>
    <w:basedOn w:val="801"/>
    <w:uiPriority w:val="0"/>
    <w:qFormat/>
    <w:pPr>
      <w:numPr>
        <w:ilvl w:val="0"/>
        <w:numId w:val="3"/>
      </w:numPr>
    </w:pPr>
    <w:rPr>
      <w:rFonts w:ascii="宋体" w:hAnsi="宋体"/>
    </w:rPr>
  </w:style>
  <w:style w:type="paragraph" w:styleId="1094" w:customStyle="1">
    <w:name w:val="font6"/>
    <w:basedOn w:val="801"/>
    <w:uiPriority w:val="0"/>
    <w:qFormat/>
    <w:pPr>
      <w:jc w:val="left"/>
      <w:spacing w:before="100" w:beforeAutospacing="1" w:after="100" w:afterAutospacing="1"/>
      <w:widowControl/>
    </w:pPr>
    <w:rPr>
      <w:rFonts w:hint="eastAsia" w:ascii="宋体" w:hAnsi="宋体"/>
      <w:sz w:val="28"/>
      <w:szCs w:val="28"/>
      <w:u w:val="single"/>
    </w:rPr>
  </w:style>
  <w:style w:type="paragraph" w:styleId="1095" w:customStyle="1">
    <w:name w:val="xl25"/>
    <w:basedOn w:val="801"/>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96" w:customStyle="1">
    <w:name w:val="图标"/>
    <w:basedOn w:val="801"/>
    <w:next w:val="801"/>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97" w:customStyle="1">
    <w:name w:val="标题3"/>
    <w:basedOn w:val="801"/>
    <w:next w:val="801"/>
    <w:uiPriority w:val="0"/>
    <w:qFormat/>
    <w:pPr>
      <w:ind w:firstLine="624"/>
      <w:spacing w:line="590" w:lineRule="atLeast"/>
    </w:pPr>
    <w:rPr>
      <w:rFonts w:ascii="方正黑体_GBK" w:eastAsia="方正黑体_GBK"/>
      <w:sz w:val="32"/>
      <w:szCs w:val="32"/>
    </w:rPr>
  </w:style>
  <w:style w:type="paragraph" w:styleId="1098" w:customStyle="1">
    <w:name w:val="xl24"/>
    <w:basedOn w:val="80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99" w:customStyle="1">
    <w:name w:val="xl29"/>
    <w:basedOn w:val="801"/>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00" w:customStyle="1">
    <w:name w:val="Char Char Char Char Char Char Char Char"/>
    <w:basedOn w:val="801"/>
    <w:uiPriority w:val="0"/>
    <w:qFormat/>
    <w:pPr>
      <w:jc w:val="left"/>
      <w:spacing w:after="160" w:line="240" w:lineRule="exact"/>
      <w:widowControl/>
    </w:pPr>
    <w:rPr>
      <w:rFonts w:ascii="Verdana" w:hAnsi="Verdana"/>
      <w:sz w:val="20"/>
      <w:szCs w:val="20"/>
      <w:lang w:eastAsia="en-US"/>
    </w:rPr>
  </w:style>
  <w:style w:type="paragraph" w:styleId="1101" w:customStyle="1">
    <w:name w:val="xl28"/>
    <w:basedOn w:val="801"/>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02" w:customStyle="1">
    <w:name w:val="Char Char Char Char Char Char Char Char1"/>
    <w:basedOn w:val="801"/>
    <w:uiPriority w:val="0"/>
    <w:qFormat/>
    <w:pPr>
      <w:jc w:val="left"/>
      <w:spacing w:after="160" w:line="240" w:lineRule="exact"/>
      <w:widowControl/>
    </w:pPr>
    <w:rPr>
      <w:rFonts w:ascii="Verdana" w:hAnsi="Verdana"/>
      <w:sz w:val="20"/>
      <w:szCs w:val="20"/>
      <w:lang w:eastAsia="en-US"/>
    </w:rPr>
  </w:style>
  <w:style w:type="paragraph" w:styleId="1103" w:customStyle="1">
    <w:name w:val="xl30"/>
    <w:basedOn w:val="801"/>
    <w:uiPriority w:val="0"/>
    <w:qFormat/>
    <w:pPr>
      <w:jc w:val="center"/>
      <w:spacing w:before="100" w:beforeAutospacing="1" w:after="100" w:afterAutospacing="1"/>
      <w:widowControl/>
    </w:pPr>
    <w:rPr>
      <w:rFonts w:ascii="宋体" w:hAnsi="宋体"/>
      <w:b/>
      <w:bCs/>
      <w:sz w:val="36"/>
      <w:szCs w:val="36"/>
    </w:rPr>
  </w:style>
  <w:style w:type="paragraph" w:styleId="1104" w:customStyle="1">
    <w:name w:val="Char Char Char Char1"/>
    <w:basedOn w:val="1022"/>
    <w:uiPriority w:val="0"/>
    <w:qFormat/>
    <w:pPr>
      <w:spacing w:line="360" w:lineRule="auto"/>
    </w:pPr>
    <w:rPr>
      <w:rFonts w:ascii="Tahoma" w:hAnsi="Tahoma"/>
      <w:sz w:val="24"/>
      <w:szCs w:val="24"/>
    </w:rPr>
  </w:style>
  <w:style w:type="paragraph" w:styleId="1105" w:customStyle="1">
    <w:name w:val="table_1stline"/>
    <w:basedOn w:val="801"/>
    <w:uiPriority w:val="0"/>
    <w:qFormat/>
    <w:pPr>
      <w:jc w:val="left"/>
      <w:spacing w:before="120"/>
      <w:widowControl/>
    </w:pPr>
    <w:rPr>
      <w:bCs/>
      <w:sz w:val="20"/>
      <w:szCs w:val="20"/>
      <w:lang w:val="de-DE" w:eastAsia="de-DE"/>
    </w:rPr>
  </w:style>
  <w:style w:type="paragraph" w:styleId="1106" w:customStyle="1">
    <w:name w:val="font5"/>
    <w:basedOn w:val="801"/>
    <w:uiPriority w:val="0"/>
    <w:qFormat/>
    <w:pPr>
      <w:jc w:val="left"/>
      <w:spacing w:before="100" w:beforeAutospacing="1" w:after="100" w:afterAutospacing="1"/>
      <w:widowControl/>
    </w:pPr>
    <w:rPr>
      <w:rFonts w:hint="eastAsia" w:ascii="宋体" w:hAnsi="宋体"/>
      <w:sz w:val="28"/>
      <w:szCs w:val="28"/>
    </w:rPr>
  </w:style>
  <w:style w:type="paragraph" w:styleId="1107" w:customStyle="1">
    <w:name w:val="标题1"/>
    <w:basedOn w:val="801"/>
    <w:next w:val="801"/>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08" w:customStyle="1">
    <w:name w:val="_Style 300"/>
    <w:uiPriority w:val="99"/>
    <w:semiHidden/>
    <w:qFormat/>
    <w:rPr>
      <w:rFonts w:ascii="Times New Roman" w:hAnsi="Times New Roman" w:eastAsia="宋体" w:cs="Times New Roman"/>
      <w:sz w:val="21"/>
      <w:szCs w:val="21"/>
      <w:lang w:val="en-US" w:eastAsia="zh-CN" w:bidi="ar-SA"/>
    </w:rPr>
  </w:style>
  <w:style w:type="paragraph" w:styleId="1109"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110"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111" w:customStyle="1">
    <w:name w:val="标题 112"/>
    <w:basedOn w:val="801"/>
    <w:next w:val="801"/>
    <w:uiPriority w:val="0"/>
    <w:qFormat/>
    <w:pPr>
      <w:jc w:val="left"/>
      <w:keepNext/>
      <w:outlineLvl w:val="0"/>
    </w:pPr>
    <w:rPr>
      <w:rFonts w:ascii="楷体_GB2312" w:hAnsi="楷体_GB2312"/>
      <w:b/>
      <w:sz w:val="32"/>
      <w:szCs w:val="28"/>
    </w:rPr>
  </w:style>
  <w:style w:type="paragraph" w:styleId="1112" w:customStyle="1">
    <w:name w:val="WPSOffice手动目录 1"/>
    <w:uiPriority w:val="0"/>
    <w:qFormat/>
    <w:rPr>
      <w:rFonts w:ascii="Times New Roman" w:hAnsi="Times New Roman" w:eastAsia="宋体" w:cs="Times New Roman"/>
      <w:lang w:val="en-US" w:eastAsia="zh-CN" w:bidi="ar-SA"/>
    </w:rPr>
  </w:style>
  <w:style w:type="character" w:styleId="1113" w:customStyle="1">
    <w:name w:val="正文文本缩进 字符1"/>
    <w:uiPriority w:val="99"/>
    <w:semiHidden/>
    <w:qFormat/>
    <w:rPr>
      <w:sz w:val="21"/>
      <w:szCs w:val="21"/>
    </w:rPr>
  </w:style>
  <w:style w:type="character" w:styleId="1114" w:customStyle="1">
    <w:name w:val="font41"/>
    <w:basedOn w:val="805"/>
    <w:uiPriority w:val="0"/>
    <w:qFormat/>
    <w:rPr>
      <w:rFonts w:hint="eastAsia" w:ascii="微软雅黑" w:hAnsi="微软雅黑" w:eastAsia="微软雅黑" w:cs="微软雅黑"/>
      <w:color w:val="000000"/>
      <w:sz w:val="18"/>
      <w:szCs w:val="18"/>
      <w:u w:val="none"/>
    </w:rPr>
  </w:style>
  <w:style w:type="character" w:styleId="1115" w:customStyle="1">
    <w:name w:val="font51"/>
    <w:basedOn w:val="805"/>
    <w:uiPriority w:val="0"/>
    <w:qFormat/>
    <w:rPr>
      <w:rFonts w:hint="eastAsia" w:ascii="微软雅黑" w:hAnsi="微软雅黑" w:eastAsia="微软雅黑" w:cs="微软雅黑"/>
      <w:color w:val="ff0000"/>
      <w:sz w:val="18"/>
      <w:szCs w:val="18"/>
      <w:u w:val="none"/>
    </w:rPr>
  </w:style>
  <w:style w:type="paragraph" w:styleId="1116" w:customStyle="1">
    <w:name w:val="成文日期"/>
    <w:basedOn w:val="801"/>
    <w:uiPriority w:val="0"/>
    <w:qFormat/>
    <w:pPr>
      <w:ind w:right="400" w:firstLine="200"/>
      <w:jc w:val="right"/>
      <w:spacing w:line="570" w:lineRule="exact"/>
    </w:pPr>
    <w:rPr>
      <w:rFonts w:ascii="仿宋_GB2312" w:eastAsia="仿宋_GB2312"/>
      <w:sz w:val="32"/>
      <w:szCs w:val="20"/>
    </w:rPr>
  </w:style>
  <w:style w:type="character" w:styleId="1117" w:customStyle="1">
    <w:name w:val="apple-style-span"/>
    <w:uiPriority w:val="0"/>
    <w:qFormat/>
    <w:rPr>
      <w:rFonts w:cs="Times New Roman"/>
    </w:rPr>
  </w:style>
  <w:style w:type="character" w:styleId="1118" w:customStyle="1">
    <w:name w:val="font11"/>
    <w:basedOn w:val="805"/>
    <w:uiPriority w:val="0"/>
    <w:qFormat/>
    <w:rPr>
      <w:rFonts w:hint="eastAsia" w:ascii="宋体" w:hAnsi="宋体" w:eastAsia="宋体" w:cs="宋体"/>
      <w:color w:val="000000"/>
      <w:sz w:val="20"/>
      <w:szCs w:val="20"/>
      <w:u w:val="none"/>
    </w:rPr>
  </w:style>
  <w:style w:type="character" w:styleId="1119" w:customStyle="1">
    <w:name w:val="font21"/>
    <w:basedOn w:val="805"/>
    <w:uiPriority w:val="0"/>
    <w:qFormat/>
    <w:rPr>
      <w:rFonts w:hint="eastAsia" w:ascii="宋体" w:hAnsi="宋体" w:eastAsia="宋体" w:cs="宋体"/>
      <w:color w:val="000000"/>
      <w:sz w:val="20"/>
      <w:szCs w:val="20"/>
      <w:u w:val="none"/>
    </w:rPr>
  </w:style>
  <w:style w:type="paragraph" w:styleId="1120" w:customStyle="1">
    <w:name w:val="题注11"/>
    <w:next w:val="801"/>
    <w:uiPriority w:val="35"/>
    <w:unhideWhenUsed/>
    <w:qFormat/>
    <w:pPr>
      <w:jc w:val="center"/>
      <w:spacing w:before="240" w:after="120" w:line="288" w:lineRule="auto"/>
      <w:widowControl w:val="off"/>
    </w:pPr>
    <w:rPr>
      <w:rFonts w:ascii="Times New Roman" w:hAnsi="Times New Roman" w:eastAsia="宋体" w:cs="宋体"/>
      <w:sz w:val="24"/>
      <w:szCs w:val="22"/>
      <w:lang w:val="en-US" w:eastAsia="zh-CN" w:bidi="ar-SA"/>
    </w:rPr>
  </w:style>
  <w:style w:type="character" w:styleId="1121" w:customStyle="1">
    <w:name w:val="批注框文本 字符1"/>
    <w:basedOn w:val="805"/>
    <w:link w:val="816"/>
    <w:uiPriority w:val="99"/>
    <w:semiHidden/>
    <w:qFormat/>
    <w:rPr>
      <w:sz w:val="18"/>
      <w:szCs w:val="18"/>
    </w:rPr>
  </w:style>
  <w:style w:type="character" w:styleId="1122" w:customStyle="1">
    <w:name w:val="font01"/>
    <w:basedOn w:val="805"/>
    <w:uiPriority w:val="0"/>
    <w:qFormat/>
    <w:rPr>
      <w:rFonts w:hint="eastAsia" w:ascii="宋体" w:hAnsi="宋体" w:eastAsia="宋体" w:cs="宋体"/>
      <w:color w:val="000000"/>
      <w:sz w:val="22"/>
      <w:szCs w:val="22"/>
      <w:u w:val="none"/>
    </w:rPr>
  </w:style>
  <w:style w:type="character" w:styleId="1123" w:customStyle="1">
    <w:name w:val="font31"/>
    <w:basedOn w:val="805"/>
    <w:uiPriority w:val="0"/>
    <w:qFormat/>
    <w:rPr>
      <w:rFonts w:hint="eastAsia" w:ascii="宋体" w:hAnsi="宋体" w:eastAsia="宋体" w:cs="宋体"/>
      <w:color w:val="ff0000"/>
      <w:sz w:val="22"/>
      <w:szCs w:val="22"/>
      <w:u w:val="none"/>
    </w:rPr>
  </w:style>
  <w:style w:type="numbering" w:styleId="112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彭文华</cp:lastModifiedBy>
  <cp:revision>11</cp:revision>
  <dcterms:created xsi:type="dcterms:W3CDTF">2026-05-11T04:44:00Z</dcterms:created>
  <dcterms:modified xsi:type="dcterms:W3CDTF">2026-07-14T05:53:20Z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B2552896F7494290823F4AA9B6D6634D_13</vt:lpwstr>
  </property>
  <property fmtid="{D5CDD505-2E9C-101B-9397-08002B2CF9AE}" pid="4" name="KSOTemplateDocerSaveRecord">
    <vt:lpwstr>eyJoZGlkIjoiZGJmNGVmOTkyYmRlYWVmNjNhMWY0NGViOTkzY2NlZDYiLCJ1c2VySWQiOiIxNjcxOTk3NTUzIn0=</vt:lpwstr>
  </property>
</Properties>
</file>