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pageBreakBefore w:val="0"/>
        <w:spacing w:beforeAutospacing="0" w:afterAutospacing="0" w:line="360" w:lineRule="auto"/>
        <w:rPr>
          <w:rFonts w:hint="eastAsia" w:ascii="Arial" w:hAnsi="Arial" w:eastAsia="黑体"/>
          <w:b/>
          <w:bCs/>
          <w:color w:val="000000"/>
          <w:sz w:val="48"/>
          <w:szCs w:val="48"/>
          <w:lang w:val="en-US" w:eastAsia="zh-CN"/>
        </w:rPr>
      </w:pPr>
      <w:r>
        <w:rPr>
          <w:rFonts w:hint="eastAsia" w:ascii="Arial" w:hAnsi="Arial" w:eastAsia="黑体"/>
          <w:b/>
          <w:bCs/>
          <w:color w:val="000000"/>
          <w:sz w:val="48"/>
          <w:szCs w:val="48"/>
          <w:lang w:val="en-US" w:eastAsia="zh-CN"/>
        </w:rPr>
      </w:r>
      <w:r/>
    </w:p>
    <w:p>
      <w:pPr>
        <w:jc w:val="center"/>
        <w:pageBreakBefore w:val="0"/>
        <w:spacing w:beforeAutospacing="0" w:afterAutospacing="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p>
    <w:p>
      <w:pPr>
        <w:jc w:val="left"/>
        <w:pageBreakBefore w:val="0"/>
        <w:spacing w:beforeAutospacing="0" w:afterAutospacing="0" w:line="360" w:lineRule="auto"/>
        <w:rPr>
          <w:rFonts w:hint="eastAsia" w:ascii="Arial" w:hAnsi="Arial" w:eastAsia="宋体"/>
          <w:b/>
          <w:bCs/>
          <w:color w:val="000000"/>
          <w:sz w:val="32"/>
          <w:szCs w:val="24"/>
          <w:lang w:eastAsia="zh-CN"/>
        </w:rPr>
      </w:pPr>
      <w:r>
        <w:rPr>
          <w:rFonts w:hint="eastAsia" w:ascii="Arial" w:hAnsi="Arial"/>
          <w:b/>
          <w:bCs/>
          <w:color w:val="000000"/>
          <w:sz w:val="32"/>
          <w:szCs w:val="24"/>
        </w:rPr>
        <w:t xml:space="preserve">项目名称：江苏省消防救援总队全省器材装备采购项目</w:t>
      </w:r>
      <w:r>
        <w:rPr>
          <w:rFonts w:hint="eastAsia" w:ascii="Arial" w:hAnsi="Arial"/>
          <w:b/>
          <w:bCs/>
          <w:color w:val="000000"/>
          <w:sz w:val="32"/>
          <w:szCs w:val="24"/>
          <w:lang w:eastAsia="zh-CN"/>
        </w:rPr>
        <w:t xml:space="preserve">（</w:t>
      </w:r>
      <w:r>
        <w:rPr>
          <w:rFonts w:hint="eastAsia" w:ascii="Arial" w:hAnsi="Arial"/>
          <w:b/>
          <w:bCs/>
          <w:color w:val="000000"/>
          <w:sz w:val="32"/>
          <w:szCs w:val="24"/>
          <w:lang w:val="en-US" w:eastAsia="zh-CN"/>
        </w:rPr>
        <w:t xml:space="preserve">第二批次</w:t>
      </w:r>
      <w:r>
        <w:rPr>
          <w:rFonts w:hint="eastAsia" w:ascii="Arial" w:hAnsi="Arial"/>
          <w:b/>
          <w:bCs/>
          <w:color w:val="000000"/>
          <w:sz w:val="32"/>
          <w:szCs w:val="24"/>
          <w:lang w:eastAsia="zh-CN"/>
        </w:rPr>
        <w:t xml:space="preserve">）</w:t>
      </w:r>
      <w:r/>
    </w:p>
    <w:p>
      <w:pPr>
        <w:pageBreakBefore w:val="0"/>
        <w:spacing w:beforeAutospacing="0" w:afterAutospacing="0" w:line="360" w:lineRule="auto"/>
        <w:rPr>
          <w:rFonts w:ascii="Arial" w:hAnsi="Arial" w:eastAsia="宋体"/>
          <w:b/>
          <w:bCs/>
          <w:sz w:val="32"/>
          <w:szCs w:val="24"/>
          <w:lang w:val="en-US" w:eastAsia="zh-CN"/>
        </w:rPr>
      </w:pPr>
      <w:r>
        <w:rPr>
          <w:rFonts w:hint="eastAsia" w:ascii="Arial" w:hAnsi="Arial"/>
          <w:b/>
          <w:bCs/>
          <w:sz w:val="32"/>
          <w:szCs w:val="24"/>
          <w:lang w:eastAsia="zh-CN"/>
        </w:rPr>
        <w:t xml:space="preserve">采购编号</w:t>
      </w:r>
      <w:r>
        <w:rPr>
          <w:rFonts w:hint="eastAsia" w:ascii="Arial" w:hAnsi="Arial"/>
          <w:b/>
          <w:bCs/>
          <w:sz w:val="32"/>
          <w:szCs w:val="24"/>
        </w:rPr>
        <w:t xml:space="preserve">：JSZC-320000-SCZX-G2026-0197</w:t>
      </w:r>
      <w:r/>
    </w:p>
    <w:p>
      <w:pPr>
        <w:ind w:left="2800" w:hanging="2800"/>
        <w:pageBreakBefore w:val="0"/>
        <w:spacing w:beforeAutospacing="0" w:afterAutospacing="0"/>
        <w:rPr>
          <w:rFonts w:ascii="Times New Roman" w:hAnsi="Times New Roman"/>
          <w:b/>
          <w:sz w:val="28"/>
          <w:szCs w:val="28"/>
        </w:rPr>
      </w:pPr>
      <w:r>
        <w:rPr>
          <w:rFonts w:hint="eastAsia" w:ascii="Times New Roman" w:hAnsi="Times New Roman"/>
          <w:color w:val="000000"/>
          <w:sz w:val="28"/>
          <w:szCs w:val="28"/>
        </w:rPr>
        <w:t xml:space="preserve">     </w:t>
      </w:r>
      <w:r>
        <w:rPr>
          <w:rFonts w:hint="eastAsia" w:ascii="Times New Roman" w:hAnsi="Times New Roman"/>
          <w:sz w:val="28"/>
          <w:szCs w:val="28"/>
        </w:rPr>
        <w:t xml:space="preserve">  </w:t>
      </w:r>
      <w:r>
        <w:rPr>
          <w:rFonts w:hint="eastAsia" w:ascii="Times New Roman" w:hAnsi="Times New Roman"/>
          <w:b/>
          <w:sz w:val="28"/>
          <w:szCs w:val="28"/>
        </w:rPr>
        <w:t xml:space="preserve"> </w:t>
      </w:r>
      <w:r/>
    </w:p>
    <w:p>
      <w:pPr>
        <w:jc w:val="left"/>
        <w:pageBreakBefore w:val="0"/>
        <w:spacing w:beforeAutospacing="0" w:afterAutospacing="0" w:line="360" w:lineRule="auto"/>
        <w:rPr>
          <w:rFonts w:hint="eastAsia" w:ascii="宋体" w:hAnsi="宋体"/>
          <w:color w:val="000000"/>
          <w:sz w:val="24"/>
          <w:szCs w:val="24"/>
        </w:rPr>
      </w:pPr>
      <w:r>
        <w:rPr>
          <w:rFonts w:hint="eastAsia" w:ascii="宋体" w:hAnsi="宋体"/>
          <w:color w:val="000000"/>
          <w:sz w:val="24"/>
          <w:szCs w:val="24"/>
        </w:rPr>
      </w:r>
      <w:r/>
    </w:p>
    <w:p>
      <w:pPr>
        <w:jc w:val="left"/>
        <w:pageBreakBefore w:val="0"/>
        <w:spacing w:beforeAutospacing="0" w:afterAutospacing="0" w:line="360" w:lineRule="auto"/>
        <w:rPr>
          <w:rFonts w:hint="eastAsia" w:ascii="宋体" w:hAnsi="宋体"/>
          <w:color w:val="000000"/>
          <w:sz w:val="24"/>
          <w:szCs w:val="24"/>
        </w:rPr>
      </w:pPr>
      <w:r>
        <w:rPr>
          <w:rFonts w:hint="eastAsia" w:ascii="宋体" w:hAnsi="宋体"/>
          <w:color w:val="000000"/>
          <w:sz w:val="24"/>
          <w:szCs w:val="24"/>
        </w:rPr>
      </w:r>
      <w:r/>
    </w:p>
    <w:p>
      <w:pPr>
        <w:jc w:val="left"/>
        <w:pageBreakBefore w:val="0"/>
        <w:spacing w:beforeAutospacing="0" w:afterAutospacing="0" w:line="360" w:lineRule="auto"/>
        <w:rPr>
          <w:rFonts w:hint="eastAsia" w:ascii="宋体" w:hAnsi="宋体"/>
          <w:color w:val="000000"/>
          <w:sz w:val="24"/>
          <w:szCs w:val="24"/>
        </w:rPr>
      </w:pPr>
      <w:r>
        <w:rPr>
          <w:rFonts w:hint="eastAsia" w:ascii="宋体" w:hAnsi="宋体"/>
          <w:color w:val="000000"/>
          <w:sz w:val="24"/>
          <w:szCs w:val="24"/>
        </w:rPr>
      </w:r>
      <w:r/>
    </w:p>
    <w:p>
      <w:pPr>
        <w:jc w:val="left"/>
        <w:pageBreakBefore w:val="0"/>
        <w:spacing w:beforeAutospacing="0" w:afterAutospacing="0" w:line="360" w:lineRule="auto"/>
        <w:rPr>
          <w:rFonts w:hint="eastAsia" w:ascii="宋体" w:hAnsi="宋体"/>
          <w:color w:val="000000"/>
          <w:sz w:val="24"/>
          <w:szCs w:val="24"/>
        </w:rPr>
      </w:pPr>
      <w:r>
        <w:rPr>
          <w:rFonts w:hint="eastAsia" w:ascii="宋体" w:hAnsi="宋体"/>
          <w:color w:val="000000"/>
          <w:sz w:val="24"/>
          <w:szCs w:val="24"/>
        </w:rPr>
      </w:r>
      <w:r/>
    </w:p>
    <w:p>
      <w:pPr>
        <w:jc w:val="left"/>
        <w:pageBreakBefore w:val="0"/>
        <w:spacing w:beforeAutospacing="0" w:afterAutospacing="0" w:line="360" w:lineRule="auto"/>
        <w:rPr>
          <w:rFonts w:hint="eastAsia" w:ascii="宋体" w:hAnsi="宋体"/>
          <w:color w:val="000000"/>
          <w:sz w:val="24"/>
          <w:szCs w:val="24"/>
        </w:rPr>
      </w:pPr>
      <w:r>
        <w:rPr>
          <w:rFonts w:hint="eastAsia" w:ascii="宋体" w:hAnsi="宋体"/>
          <w:color w:val="000000"/>
          <w:sz w:val="24"/>
          <w:szCs w:val="24"/>
        </w:rPr>
      </w:r>
      <w:r/>
    </w:p>
    <w:p>
      <w:pPr>
        <w:jc w:val="center"/>
        <w:pageBreakBefore w:val="0"/>
        <w:spacing w:beforeAutospacing="0" w:afterAutospacing="0" w:line="360" w:lineRule="auto"/>
        <w:rPr>
          <w:rFonts w:hint="eastAsia" w:ascii="Arial" w:hAnsi="Arial"/>
          <w:b/>
          <w:bCs/>
          <w:color w:val="000000"/>
          <w:sz w:val="32"/>
          <w:szCs w:val="24"/>
        </w:rPr>
      </w:pPr>
      <w:r>
        <w:rPr>
          <w:rFonts w:hint="eastAsia" w:ascii="Arial" w:hAnsi="Arial"/>
          <w:b/>
          <w:bCs/>
          <w:color w:val="000000"/>
          <w:sz w:val="32"/>
          <w:szCs w:val="24"/>
        </w:rPr>
        <w:t xml:space="preserve">江苏省政府采购中心</w:t>
      </w:r>
      <w:r/>
    </w:p>
    <w:p>
      <w:pPr>
        <w:jc w:val="center"/>
        <w:pageBreakBefore w:val="0"/>
        <w:spacing w:beforeAutospacing="0" w:afterAutospacing="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2026</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7</w:t>
      </w:r>
      <w:r>
        <w:rPr>
          <w:rFonts w:hint="eastAsia" w:ascii="Arial" w:hAnsi="Arial"/>
          <w:b/>
          <w:bCs/>
          <w:color w:val="000000"/>
          <w:sz w:val="32"/>
          <w:szCs w:val="24"/>
        </w:rPr>
        <w:t xml:space="preserve">月</w:t>
      </w:r>
      <w:r/>
    </w:p>
    <w:p>
      <w:pPr>
        <w:jc w:val="left"/>
        <w:pageBreakBefore w:val="0"/>
        <w:spacing w:beforeAutospacing="0" w:afterAutospacing="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pageBreakBefore w:val="0"/>
        <w:spacing w:beforeAutospacing="0" w:afterAutospacing="0" w:line="360" w:lineRule="auto"/>
        <w:rPr>
          <w:rFonts w:hint="eastAsia" w:ascii="Arial" w:hAnsi="Arial"/>
          <w:color w:val="000000"/>
          <w:sz w:val="24"/>
          <w:szCs w:val="24"/>
        </w:rPr>
      </w:pPr>
      <w:r>
        <w:rPr>
          <w:rFonts w:hint="eastAsia" w:ascii="Arial" w:hAnsi="Arial"/>
          <w:color w:val="000000"/>
          <w:sz w:val="24"/>
          <w:szCs w:val="24"/>
        </w:rPr>
      </w:r>
      <w:r/>
    </w:p>
    <w:p>
      <w:pPr>
        <w:jc w:val="center"/>
        <w:pageBreakBefore w:val="0"/>
        <w:spacing w:beforeAutospacing="0" w:afterAutospacing="0"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20823272"/>
      <w:r/>
      <w:bookmarkStart w:id="2" w:name="_Toc479757206"/>
      <w:r/>
      <w:bookmarkStart w:id="3" w:name="_Toc513029200"/>
      <w:r/>
      <w:bookmarkStart w:id="4" w:name="_Toc16938516"/>
      <w:r/>
      <w:bookmarkStart w:id="5" w:name="_Toc523127445"/>
      <w:r>
        <w:rPr>
          <w:rFonts w:hint="eastAsia" w:ascii="黑体" w:hAnsi="Arial" w:eastAsia="黑体"/>
          <w:b/>
          <w:color w:val="000000"/>
          <w:sz w:val="44"/>
          <w:szCs w:val="21"/>
        </w:rPr>
        <w:t xml:space="preserve">总  目  录</w:t>
      </w:r>
      <w:r/>
    </w:p>
    <w:p>
      <w:pPr>
        <w:pageBreakBefore w:val="0"/>
        <w:spacing w:beforeAutospacing="0" w:afterAutospacing="0"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pageBreakBefore w:val="0"/>
        <w:spacing w:beforeAutospacing="0" w:afterAutospacing="0" w:line="480" w:lineRule="auto"/>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……………………………………3 </w:t>
      </w:r>
      <w:r/>
    </w:p>
    <w:p>
      <w:pPr>
        <w:numPr>
          <w:ilvl w:val="0"/>
          <w:numId w:val="4"/>
        </w:numPr>
        <w:pageBreakBefore w:val="0"/>
        <w:spacing w:beforeAutospacing="0" w:afterAutospacing="0"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………………………………6  </w:t>
      </w:r>
      <w:r/>
    </w:p>
    <w:p>
      <w:pPr>
        <w:numPr>
          <w:ilvl w:val="0"/>
          <w:numId w:val="4"/>
        </w:numPr>
        <w:pageBreakBefore w:val="0"/>
        <w:spacing w:beforeAutospacing="0" w:afterAutospacing="0"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……………………………………16</w:t>
      </w:r>
      <w:r/>
    </w:p>
    <w:p>
      <w:pPr>
        <w:numPr>
          <w:ilvl w:val="0"/>
          <w:numId w:val="4"/>
        </w:numPr>
        <w:pageBreakBefore w:val="0"/>
        <w:spacing w:beforeAutospacing="0" w:afterAutospacing="0"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38</w:t>
      </w:r>
      <w:r/>
    </w:p>
    <w:p>
      <w:pPr>
        <w:numPr>
          <w:ilvl w:val="0"/>
          <w:numId w:val="4"/>
        </w:numPr>
        <w:pageBreakBefore w:val="0"/>
        <w:spacing w:beforeAutospacing="0" w:afterAutospacing="0"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52</w:t>
      </w:r>
      <w:r/>
    </w:p>
    <w:p>
      <w:pPr>
        <w:numPr>
          <w:ilvl w:val="0"/>
          <w:numId w:val="4"/>
        </w:numPr>
        <w:pageBreakBefore w:val="0"/>
        <w:spacing w:beforeAutospacing="0" w:afterAutospacing="0"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75</w:t>
      </w:r>
      <w:r/>
    </w:p>
    <w:p>
      <w:pPr>
        <w:pageBreakBefore w:val="0"/>
        <w:spacing w:beforeAutospacing="0" w:afterAutospacing="0"/>
        <w:rPr>
          <w:rFonts w:hint="eastAsia" w:ascii="Times New Roman" w:hAnsi="Times New Roman"/>
          <w:color w:val="000000"/>
          <w:szCs w:val="21"/>
        </w:rPr>
      </w:pPr>
      <w:r>
        <w:rPr>
          <w:rFonts w:hint="eastAsia" w:ascii="Times New Roman" w:hAnsi="Times New Roman"/>
          <w:color w:val="000000"/>
          <w:szCs w:val="21"/>
        </w:rPr>
      </w:r>
      <w:r/>
    </w:p>
    <w:p>
      <w:pPr>
        <w:pageBreakBefore w:val="0"/>
        <w:spacing w:beforeAutospacing="0" w:afterAutospacing="0"/>
        <w:rPr>
          <w:rFonts w:hint="eastAsia" w:ascii="Times New Roman" w:hAnsi="Times New Roman"/>
          <w:color w:val="000000"/>
          <w:szCs w:val="21"/>
        </w:rPr>
      </w:pPr>
      <w:r>
        <w:rPr>
          <w:rFonts w:hint="eastAsia" w:ascii="Times New Roman" w:hAnsi="Times New Roman"/>
          <w:color w:val="000000"/>
          <w:szCs w:val="21"/>
        </w:rPr>
      </w:r>
      <w:r/>
    </w:p>
    <w:p>
      <w:pPr>
        <w:pageBreakBefore w:val="0"/>
        <w:spacing w:beforeAutospacing="0" w:afterAutospacing="0"/>
        <w:rPr>
          <w:rFonts w:hint="eastAsia" w:ascii="Times New Roman" w:hAnsi="Times New Roman"/>
          <w:color w:val="000000"/>
          <w:szCs w:val="21"/>
        </w:rPr>
      </w:pPr>
      <w:r>
        <w:rPr>
          <w:rFonts w:hint="eastAsia" w:ascii="Times New Roman" w:hAnsi="Times New Roman"/>
          <w:color w:val="000000"/>
          <w:szCs w:val="21"/>
        </w:rPr>
      </w:r>
      <w:r/>
    </w:p>
    <w:p>
      <w:pPr>
        <w:pageBreakBefore w:val="0"/>
        <w:spacing w:beforeAutospacing="0" w:afterAutospacing="0"/>
        <w:rPr>
          <w:rFonts w:hint="eastAsia" w:ascii="Times New Roman" w:hAnsi="Times New Roman"/>
          <w:color w:val="000000"/>
          <w:szCs w:val="21"/>
        </w:rPr>
      </w:pPr>
      <w:r>
        <w:rPr>
          <w:rFonts w:hint="eastAsia" w:ascii="Times New Roman" w:hAnsi="Times New Roman"/>
          <w:color w:val="000000"/>
          <w:szCs w:val="21"/>
        </w:rPr>
      </w:r>
      <w:r/>
    </w:p>
    <w:p>
      <w:pPr>
        <w:pageBreakBefore w:val="0"/>
        <w:spacing w:beforeAutospacing="0" w:afterAutospacing="0"/>
        <w:rPr>
          <w:rFonts w:hint="eastAsia" w:ascii="Times New Roman" w:hAnsi="Times New Roman"/>
          <w:color w:val="000000"/>
          <w:szCs w:val="21"/>
        </w:rPr>
      </w:pPr>
      <w:r>
        <w:rPr>
          <w:rFonts w:hint="eastAsia" w:ascii="Times New Roman" w:hAnsi="Times New Roman"/>
          <w:color w:val="000000"/>
          <w:szCs w:val="21"/>
        </w:rPr>
      </w:r>
      <w:r/>
    </w:p>
    <w:p>
      <w:pPr>
        <w:pageBreakBefore w:val="0"/>
        <w:spacing w:beforeAutospacing="0" w:afterAutospacing="0"/>
        <w:rPr>
          <w:rFonts w:hint="eastAsia" w:ascii="Times New Roman" w:hAnsi="Times New Roman"/>
          <w:color w:val="000000"/>
          <w:szCs w:val="21"/>
        </w:rPr>
      </w:pPr>
      <w:r>
        <w:rPr>
          <w:rFonts w:hint="eastAsia" w:ascii="Times New Roman" w:hAnsi="Times New Roman"/>
          <w:color w:val="000000"/>
          <w:szCs w:val="21"/>
        </w:rPr>
      </w:r>
      <w:r/>
    </w:p>
    <w:p>
      <w:pPr>
        <w:pageBreakBefore w:val="0"/>
        <w:spacing w:beforeAutospacing="0" w:afterAutospacing="0"/>
        <w:rPr>
          <w:rFonts w:hint="eastAsia" w:ascii="Times New Roman" w:hAnsi="Times New Roman"/>
          <w:color w:val="000000"/>
          <w:szCs w:val="21"/>
        </w:rPr>
      </w:pPr>
      <w:r>
        <w:rPr>
          <w:rFonts w:hint="eastAsia" w:ascii="Times New Roman" w:hAnsi="Times New Roman"/>
          <w:color w:val="000000"/>
          <w:szCs w:val="21"/>
        </w:rPr>
      </w:r>
      <w:r/>
    </w:p>
    <w:p>
      <w:pPr>
        <w:pageBreakBefore w:val="0"/>
        <w:spacing w:beforeAutospacing="0" w:afterAutospacing="0"/>
        <w:rPr>
          <w:rFonts w:hint="eastAsia" w:ascii="Times New Roman" w:hAnsi="Times New Roman"/>
          <w:color w:val="000000"/>
          <w:szCs w:val="21"/>
        </w:rPr>
      </w:pPr>
      <w:r>
        <w:rPr>
          <w:rFonts w:hint="eastAsia" w:ascii="Times New Roman" w:hAnsi="Times New Roman"/>
          <w:color w:val="000000"/>
          <w:szCs w:val="21"/>
        </w:rPr>
      </w:r>
      <w:r/>
    </w:p>
    <w:p>
      <w:pPr>
        <w:pageBreakBefore w:val="0"/>
        <w:spacing w:beforeAutospacing="0" w:afterAutospacing="0"/>
        <w:rPr>
          <w:rFonts w:hint="eastAsia" w:ascii="Times New Roman" w:hAnsi="Times New Roman"/>
          <w:color w:val="000000"/>
          <w:szCs w:val="21"/>
        </w:rPr>
      </w:pPr>
      <w:r>
        <w:rPr>
          <w:rFonts w:hint="eastAsia" w:ascii="Times New Roman" w:hAnsi="Times New Roman"/>
          <w:color w:val="000000"/>
          <w:szCs w:val="21"/>
        </w:rPr>
      </w:r>
      <w:r/>
    </w:p>
    <w:p>
      <w:pPr>
        <w:pageBreakBefore w:val="0"/>
        <w:spacing w:beforeAutospacing="0" w:afterAutospacing="0"/>
        <w:rPr>
          <w:rFonts w:hint="eastAsia" w:ascii="Times New Roman" w:hAnsi="Times New Roman"/>
          <w:color w:val="000000"/>
          <w:szCs w:val="21"/>
        </w:rPr>
      </w:pPr>
      <w:r>
        <w:rPr>
          <w:rFonts w:hint="eastAsia" w:ascii="Times New Roman" w:hAnsi="Times New Roman"/>
          <w:color w:val="000000"/>
          <w:szCs w:val="21"/>
        </w:rPr>
      </w:r>
      <w:r/>
    </w:p>
    <w:p>
      <w:pPr>
        <w:pageBreakBefore w:val="0"/>
        <w:spacing w:beforeAutospacing="0" w:afterAutospacing="0"/>
        <w:rPr>
          <w:rFonts w:hint="eastAsia" w:ascii="Times New Roman" w:hAnsi="Times New Roman"/>
          <w:color w:val="000000"/>
          <w:szCs w:val="21"/>
        </w:rPr>
      </w:pPr>
      <w:r>
        <w:rPr>
          <w:rFonts w:hint="eastAsia" w:ascii="Times New Roman" w:hAnsi="Times New Roman"/>
          <w:color w:val="000000"/>
          <w:szCs w:val="21"/>
        </w:rPr>
      </w:r>
      <w:r/>
    </w:p>
    <w:p>
      <w:pPr>
        <w:pageBreakBefore w:val="0"/>
        <w:spacing w:beforeAutospacing="0" w:afterAutospacing="0"/>
        <w:rPr>
          <w:rFonts w:hint="eastAsia" w:ascii="Times New Roman" w:hAnsi="Times New Roman"/>
          <w:color w:val="000000"/>
          <w:szCs w:val="21"/>
        </w:rPr>
      </w:pPr>
      <w:r>
        <w:rPr>
          <w:rFonts w:hint="eastAsia" w:ascii="Times New Roman" w:hAnsi="Times New Roman"/>
          <w:color w:val="000000"/>
          <w:szCs w:val="21"/>
        </w:rPr>
      </w:r>
      <w:r/>
    </w:p>
    <w:p>
      <w:pPr>
        <w:pageBreakBefore w:val="0"/>
        <w:spacing w:beforeAutospacing="0" w:afterAutospacing="0"/>
        <w:rPr>
          <w:rFonts w:hint="eastAsia" w:ascii="Times New Roman" w:hAnsi="Times New Roman"/>
          <w:color w:val="000000"/>
          <w:szCs w:val="21"/>
        </w:rPr>
      </w:pPr>
      <w:r>
        <w:rPr>
          <w:rFonts w:hint="eastAsia" w:ascii="Times New Roman" w:hAnsi="Times New Roman"/>
          <w:color w:val="000000"/>
          <w:szCs w:val="21"/>
        </w:rPr>
      </w:r>
      <w:r/>
    </w:p>
    <w:p>
      <w:pPr>
        <w:pageBreakBefore w:val="0"/>
        <w:spacing w:beforeAutospacing="0" w:afterAutospacing="0"/>
        <w:rPr>
          <w:rFonts w:hint="eastAsia" w:ascii="Times New Roman" w:hAnsi="Times New Roman"/>
          <w:color w:val="000000"/>
          <w:szCs w:val="21"/>
        </w:rPr>
      </w:pPr>
      <w:r>
        <w:rPr>
          <w:rFonts w:hint="eastAsia" w:ascii="Times New Roman" w:hAnsi="Times New Roman"/>
          <w:color w:val="000000"/>
          <w:szCs w:val="21"/>
        </w:rPr>
      </w:r>
      <w:r/>
    </w:p>
    <w:p>
      <w:pPr>
        <w:pageBreakBefore w:val="0"/>
        <w:spacing w:beforeAutospacing="0" w:afterAutospacing="0"/>
        <w:rPr>
          <w:rFonts w:hint="eastAsia" w:ascii="Times New Roman" w:hAnsi="Times New Roman"/>
          <w:color w:val="000000"/>
          <w:szCs w:val="21"/>
        </w:rPr>
      </w:pPr>
      <w:r>
        <w:rPr>
          <w:rFonts w:hint="eastAsia" w:ascii="Times New Roman" w:hAnsi="Times New Roman"/>
          <w:color w:val="000000"/>
          <w:szCs w:val="21"/>
        </w:rPr>
      </w:r>
      <w:r/>
    </w:p>
    <w:p>
      <w:pPr>
        <w:pageBreakBefore w:val="0"/>
        <w:spacing w:beforeAutospacing="0" w:afterAutospacing="0"/>
        <w:rPr>
          <w:rFonts w:hint="eastAsia" w:ascii="Times New Roman" w:hAnsi="Times New Roman"/>
          <w:color w:val="000000"/>
          <w:szCs w:val="21"/>
        </w:rPr>
      </w:pPr>
      <w:r>
        <w:rPr>
          <w:rFonts w:hint="eastAsia" w:ascii="Times New Roman" w:hAnsi="Times New Roman"/>
          <w:color w:val="000000"/>
          <w:szCs w:val="21"/>
        </w:rPr>
      </w:r>
      <w:r/>
    </w:p>
    <w:p>
      <w:pPr>
        <w:pageBreakBefore w:val="0"/>
        <w:spacing w:beforeAutospacing="0" w:afterAutospacing="0"/>
        <w:rPr>
          <w:rFonts w:hint="eastAsia" w:ascii="Times New Roman" w:hAnsi="Times New Roman"/>
          <w:color w:val="000000"/>
          <w:szCs w:val="21"/>
        </w:rPr>
      </w:pPr>
      <w:r>
        <w:rPr>
          <w:rFonts w:hint="eastAsia" w:ascii="Times New Roman" w:hAnsi="Times New Roman"/>
          <w:color w:val="000000"/>
          <w:szCs w:val="21"/>
        </w:rPr>
      </w:r>
      <w:r/>
    </w:p>
    <w:p>
      <w:pPr>
        <w:pageBreakBefore w:val="0"/>
        <w:spacing w:beforeAutospacing="0" w:afterAutospacing="0"/>
        <w:rPr>
          <w:rFonts w:hint="eastAsia" w:ascii="Times New Roman" w:hAnsi="Times New Roman"/>
          <w:color w:val="000000"/>
          <w:szCs w:val="21"/>
        </w:rPr>
      </w:pPr>
      <w:r>
        <w:rPr>
          <w:rFonts w:hint="eastAsia" w:ascii="Times New Roman" w:hAnsi="Times New Roman"/>
          <w:color w:val="000000"/>
          <w:szCs w:val="21"/>
        </w:rPr>
      </w:r>
      <w:r/>
    </w:p>
    <w:p>
      <w:pPr>
        <w:pageBreakBefore w:val="0"/>
        <w:spacing w:beforeAutospacing="0" w:afterAutospacing="0"/>
        <w:rPr>
          <w:rFonts w:hint="eastAsia" w:ascii="Times New Roman" w:hAnsi="Times New Roman"/>
          <w:color w:val="000000"/>
          <w:szCs w:val="21"/>
        </w:rPr>
      </w:pPr>
      <w:r>
        <w:rPr>
          <w:rFonts w:hint="eastAsia" w:ascii="Times New Roman" w:hAnsi="Times New Roman"/>
          <w:color w:val="000000"/>
          <w:szCs w:val="21"/>
        </w:rPr>
      </w:r>
      <w:r/>
    </w:p>
    <w:p>
      <w:pPr>
        <w:pageBreakBefore w:val="0"/>
        <w:spacing w:beforeAutospacing="0" w:afterAutospacing="0"/>
        <w:rPr>
          <w:rFonts w:hint="eastAsia" w:ascii="Times New Roman" w:hAnsi="Times New Roman"/>
          <w:color w:val="000000"/>
          <w:szCs w:val="21"/>
        </w:rPr>
      </w:pPr>
      <w:r>
        <w:rPr>
          <w:rFonts w:hint="eastAsia" w:ascii="Times New Roman" w:hAnsi="Times New Roman"/>
          <w:color w:val="000000"/>
          <w:szCs w:val="21"/>
        </w:rPr>
      </w:r>
      <w:r/>
    </w:p>
    <w:p>
      <w:pPr>
        <w:pageBreakBefore w:val="0"/>
        <w:spacing w:beforeAutospacing="0" w:afterAutospacing="0"/>
        <w:rPr>
          <w:rFonts w:hint="eastAsia" w:ascii="Times New Roman" w:hAnsi="Times New Roman"/>
          <w:color w:val="000000"/>
          <w:szCs w:val="21"/>
        </w:rPr>
      </w:pPr>
      <w:r>
        <w:rPr>
          <w:rFonts w:hint="eastAsia" w:ascii="Times New Roman" w:hAnsi="Times New Roman"/>
          <w:color w:val="000000"/>
          <w:szCs w:val="21"/>
        </w:rPr>
      </w:r>
      <w:r/>
    </w:p>
    <w:p>
      <w:pPr>
        <w:pageBreakBefore w:val="0"/>
        <w:spacing w:beforeAutospacing="0" w:afterAutospacing="0"/>
        <w:rPr>
          <w:rFonts w:hint="eastAsia" w:ascii="Times New Roman" w:hAnsi="Times New Roman"/>
          <w:color w:val="000000"/>
          <w:szCs w:val="21"/>
        </w:rPr>
      </w:pPr>
      <w:r>
        <w:rPr>
          <w:rFonts w:hint="eastAsia" w:ascii="Times New Roman" w:hAnsi="Times New Roman"/>
          <w:color w:val="000000"/>
          <w:szCs w:val="21"/>
        </w:rPr>
      </w:r>
      <w:r/>
    </w:p>
    <w:p>
      <w:pPr>
        <w:pageBreakBefore w:val="0"/>
        <w:spacing w:beforeAutospacing="0" w:afterAutospacing="0"/>
        <w:rPr>
          <w:rFonts w:hint="eastAsia" w:ascii="Times New Roman" w:hAnsi="Times New Roman"/>
          <w:color w:val="000000"/>
          <w:szCs w:val="21"/>
        </w:rPr>
      </w:pPr>
      <w:r>
        <w:rPr>
          <w:rFonts w:hint="eastAsia" w:ascii="Times New Roman" w:hAnsi="Times New Roman"/>
          <w:color w:val="000000"/>
          <w:szCs w:val="21"/>
        </w:rPr>
      </w:r>
      <w:r/>
    </w:p>
    <w:p>
      <w:pPr>
        <w:pageBreakBefore w:val="0"/>
        <w:spacing w:beforeAutospacing="0" w:afterAutospacing="0"/>
        <w:rPr>
          <w:rFonts w:hint="eastAsia" w:ascii="Times New Roman" w:hAnsi="Times New Roman"/>
          <w:color w:val="000000"/>
          <w:szCs w:val="21"/>
        </w:rPr>
      </w:pPr>
      <w:r>
        <w:rPr>
          <w:rFonts w:hint="eastAsia" w:ascii="Times New Roman" w:hAnsi="Times New Roman"/>
          <w:color w:val="000000"/>
          <w:szCs w:val="21"/>
        </w:rPr>
      </w:r>
      <w:r/>
    </w:p>
    <w:p>
      <w:pPr>
        <w:pageBreakBefore w:val="0"/>
        <w:spacing w:beforeAutospacing="0" w:afterAutospacing="0"/>
        <w:rPr>
          <w:rFonts w:hint="eastAsia" w:ascii="Times New Roman" w:hAnsi="Times New Roman"/>
          <w:color w:val="000000"/>
          <w:szCs w:val="21"/>
        </w:rPr>
      </w:pPr>
      <w:r>
        <w:rPr>
          <w:rFonts w:hint="eastAsia" w:ascii="Times New Roman" w:hAnsi="Times New Roman"/>
          <w:color w:val="000000"/>
          <w:szCs w:val="21"/>
        </w:rPr>
      </w:r>
      <w:r/>
    </w:p>
    <w:p>
      <w:pPr>
        <w:pageBreakBefore w:val="0"/>
        <w:spacing w:beforeAutospacing="0" w:afterAutospacing="0"/>
        <w:rPr>
          <w:rFonts w:hint="eastAsia" w:ascii="Times New Roman" w:hAnsi="Times New Roman"/>
          <w:color w:val="000000"/>
          <w:szCs w:val="21"/>
        </w:rPr>
      </w:pPr>
      <w:r>
        <w:rPr>
          <w:rFonts w:hint="eastAsia" w:ascii="Times New Roman" w:hAnsi="Times New Roman"/>
          <w:color w:val="000000"/>
          <w:szCs w:val="21"/>
        </w:rPr>
      </w:r>
      <w:r/>
    </w:p>
    <w:p>
      <w:pPr>
        <w:pageBreakBefore w:val="0"/>
        <w:spacing w:beforeAutospacing="0" w:afterAutospacing="0"/>
        <w:rPr>
          <w:rFonts w:hint="eastAsia" w:ascii="Times New Roman" w:hAnsi="Times New Roman"/>
          <w:color w:val="000000"/>
          <w:szCs w:val="21"/>
        </w:rPr>
      </w:pPr>
      <w:r>
        <w:rPr>
          <w:rFonts w:hint="eastAsia" w:ascii="Times New Roman" w:hAnsi="Times New Roman"/>
          <w:color w:val="000000"/>
          <w:szCs w:val="21"/>
        </w:rPr>
      </w:r>
      <w:r/>
    </w:p>
    <w:p>
      <w:pPr>
        <w:pageBreakBefore w:val="0"/>
        <w:spacing w:beforeAutospacing="0" w:afterAutospacing="0"/>
        <w:rPr>
          <w:rFonts w:hint="eastAsia" w:ascii="Times New Roman" w:hAnsi="Times New Roman"/>
          <w:color w:val="000000"/>
          <w:szCs w:val="21"/>
        </w:rPr>
      </w:pPr>
      <w:r>
        <w:rPr>
          <w:rFonts w:hint="eastAsia" w:ascii="Times New Roman" w:hAnsi="Times New Roman"/>
          <w:color w:val="000000"/>
          <w:szCs w:val="21"/>
        </w:rPr>
      </w:r>
      <w:r/>
    </w:p>
    <w:p>
      <w:pPr>
        <w:pageBreakBefore w:val="0"/>
        <w:spacing w:beforeAutospacing="0" w:afterAutospacing="0"/>
        <w:rPr>
          <w:rFonts w:hint="eastAsia" w:ascii="Times New Roman" w:hAnsi="Times New Roman"/>
          <w:color w:val="000000"/>
          <w:szCs w:val="21"/>
        </w:rPr>
      </w:pPr>
      <w:r>
        <w:rPr>
          <w:rFonts w:hint="eastAsia" w:ascii="Times New Roman" w:hAnsi="Times New Roman"/>
          <w:color w:val="000000"/>
          <w:szCs w:val="21"/>
        </w:rPr>
      </w:r>
      <w:r/>
    </w:p>
    <w:p>
      <w:pPr>
        <w:jc w:val="center"/>
        <w:keepNext/>
        <w:pageBreakBefore w:val="0"/>
        <w:spacing w:beforeAutospacing="0" w:afterAutospacing="0"/>
        <w:rPr>
          <w:rFonts w:hint="eastAsia" w:ascii="黑体" w:hAnsi="Times New Roman" w:eastAsia="黑体"/>
          <w:bCs/>
          <w:color w:val="000000"/>
          <w:sz w:val="44"/>
          <w:szCs w:val="44"/>
        </w:rPr>
        <w:outlineLvl w:val="0"/>
      </w:pPr>
      <w:r>
        <w:rPr>
          <w:rFonts w:hint="eastAsia" w:ascii="黑体" w:hAnsi="Times New Roman" w:eastAsia="黑体"/>
          <w:color w:val="000000"/>
          <w:sz w:val="44"/>
          <w:szCs w:val="44"/>
        </w:rPr>
        <w:t xml:space="preserve">第一章  </w:t>
      </w:r>
      <w:bookmarkEnd w:id="0"/>
      <w:r>
        <w:rPr>
          <w:rFonts w:hint="eastAsia" w:ascii="黑体" w:hAnsi="Times New Roman" w:eastAsia="黑体"/>
          <w:color w:val="000000"/>
          <w:sz w:val="44"/>
          <w:szCs w:val="44"/>
        </w:rPr>
        <w:t xml:space="preserve">投标邀请</w:t>
      </w:r>
      <w:r/>
    </w:p>
    <w:p>
      <w:pPr>
        <w:ind w:firstLine="480"/>
        <w:pageBreakBefore w:val="0"/>
        <w:spacing w:beforeAutospacing="0" w:afterAutospacing="0" w:line="400" w:lineRule="exact"/>
        <w:rPr>
          <w:rFonts w:ascii="宋体" w:hAnsi="宋体"/>
          <w:color w:val="000000"/>
          <w:sz w:val="24"/>
          <w:szCs w:val="24"/>
        </w:rPr>
      </w:pPr>
      <w:r>
        <w:rPr>
          <w:rFonts w:hint="eastAsia" w:ascii="宋体" w:hAnsi="宋体"/>
          <w:color w:val="000000"/>
          <w:sz w:val="24"/>
          <w:szCs w:val="24"/>
        </w:rPr>
        <w:t xml:space="preserve">受江苏省消防救援总队的委托，江苏省政府采购中心就江苏省消防救援总队全省器材装备采购</w:t>
      </w:r>
      <w:r>
        <w:rPr>
          <w:rFonts w:hint="eastAsia" w:ascii="宋体" w:hAnsi="宋体"/>
          <w:color w:val="000000"/>
          <w:sz w:val="24"/>
          <w:szCs w:val="24"/>
        </w:rPr>
        <w:t xml:space="preserve">项目（第二批次）</w:t>
      </w:r>
      <w:r>
        <w:rPr>
          <w:rFonts w:hint="eastAsia" w:ascii="宋体" w:hAnsi="宋体"/>
          <w:color w:val="000000"/>
          <w:sz w:val="24"/>
          <w:szCs w:val="24"/>
        </w:rPr>
        <w:t xml:space="preserve">(JSZC-320000-SCZX-G2026-0197)项目进行公开招标采购，欢迎符合条件的供应商投标。</w:t>
      </w:r>
      <w:r/>
    </w:p>
    <w:p>
      <w:pPr>
        <w:ind w:firstLine="480"/>
        <w:pageBreakBefore w:val="0"/>
        <w:spacing w:beforeAutospacing="0" w:afterAutospacing="0"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pageBreakBefore w:val="0"/>
        <w:spacing w:beforeAutospacing="0" w:afterAutospacing="0"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 江苏省消防救援总队全省器材装备采购</w:t>
      </w:r>
      <w:r>
        <w:rPr>
          <w:rFonts w:hint="eastAsia" w:ascii="宋体" w:hAnsi="宋体"/>
          <w:color w:val="000000"/>
          <w:sz w:val="24"/>
          <w:szCs w:val="24"/>
          <w:u w:val="single"/>
        </w:rPr>
        <w:t xml:space="preserve">项目</w:t>
      </w:r>
      <w:r>
        <w:rPr>
          <w:rFonts w:hint="eastAsia" w:ascii="宋体" w:hAnsi="宋体"/>
          <w:color w:val="000000"/>
          <w:sz w:val="24"/>
          <w:szCs w:val="24"/>
          <w:u w:val="single"/>
        </w:rPr>
        <w:t xml:space="preserve">（第二批次）</w:t>
      </w:r>
      <w:r>
        <w:rPr>
          <w:rFonts w:hint="eastAsia" w:ascii="宋体" w:hAnsi="宋体"/>
          <w:color w:val="000000"/>
          <w:sz w:val="24"/>
          <w:szCs w:val="24"/>
        </w:rPr>
        <w:t xml:space="preserve"> 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ascii="宋体" w:hAnsi="宋体"/>
          <w:color w:val="000000"/>
          <w:sz w:val="24"/>
          <w:szCs w:val="24"/>
          <w:u w:val="single"/>
        </w:rPr>
        <w:t xml:space="preserve">  2026 </w:t>
      </w:r>
      <w:r>
        <w:rPr>
          <w:rFonts w:hint="eastAsia" w:ascii="宋体" w:hAnsi="宋体"/>
          <w:bCs/>
          <w:color w:val="000000"/>
          <w:sz w:val="24"/>
          <w:szCs w:val="24"/>
          <w:u w:val="single"/>
        </w:rPr>
        <w:t xml:space="preserve">年 7 月 22</w:t>
      </w:r>
      <w:r>
        <w:rPr>
          <w:rFonts w:hint="eastAsia" w:ascii="宋体" w:hAnsi="宋体"/>
          <w:bCs/>
          <w:color w:val="000000"/>
          <w:sz w:val="24"/>
          <w:szCs w:val="24"/>
          <w:u w:val="single"/>
        </w:rPr>
        <w:t xml:space="preserve"> 日 9 点30    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ind w:firstLine="496"/>
        <w:keepLines/>
        <w:keepNext/>
        <w:pageBreakBefore w:val="0"/>
        <w:spacing w:beforeAutospacing="0" w:afterAutospacing="0" w:line="400" w:lineRule="exact"/>
        <w:rPr>
          <w:rFonts w:ascii="Times New Roman" w:hAnsi="Times New Roman"/>
          <w:b/>
          <w:bCs/>
          <w:color w:val="000000"/>
          <w:sz w:val="32"/>
          <w:szCs w:val="32"/>
        </w:rPr>
        <w:outlineLvl w:val="2"/>
      </w:pPr>
      <w:r/>
      <w:bookmarkStart w:id="6" w:name="_Toc28359002"/>
      <w:r/>
      <w:bookmarkStart w:id="7" w:name="_Toc35393790"/>
      <w:r/>
      <w:bookmarkStart w:id="8" w:name="_Toc28359079"/>
      <w:r/>
      <w:bookmarkStart w:id="9" w:name="_Toc38985263"/>
      <w:r/>
      <w:bookmarkStart w:id="10" w:name="_Toc35393621"/>
      <w:r/>
      <w:bookmarkStart w:id="11" w:name="_Hlk24379207"/>
      <w:r>
        <w:rPr>
          <w:rFonts w:hint="eastAsia" w:ascii="Times New Roman" w:hAnsi="Times New Roman"/>
          <w:b/>
          <w:bCs/>
          <w:color w:val="000000"/>
          <w:sz w:val="32"/>
          <w:szCs w:val="32"/>
        </w:rPr>
        <w:t xml:space="preserve">一、项目基本情况</w:t>
      </w:r>
      <w:bookmarkEnd w:id="6"/>
      <w:r/>
      <w:bookmarkEnd w:id="7"/>
      <w:r/>
      <w:bookmarkEnd w:id="8"/>
      <w:r/>
      <w:bookmarkEnd w:id="9"/>
      <w:r/>
      <w:bookmarkEnd w:id="10"/>
      <w:r/>
      <w:r/>
    </w:p>
    <w:p>
      <w:pPr>
        <w:ind w:firstLine="480"/>
        <w:pageBreakBefore w:val="0"/>
        <w:spacing w:beforeAutospacing="0" w:afterAutospacing="0" w:line="400" w:lineRule="exact"/>
        <w:rPr>
          <w:rFonts w:ascii="宋体" w:hAnsi="宋体" w:eastAsia="宋体" w:cs="Times New Roman"/>
          <w:color w:val="000000"/>
          <w:sz w:val="24"/>
          <w:szCs w:val="24"/>
          <w:lang w:val="en-US" w:eastAsia="zh-CN"/>
        </w:rPr>
      </w:pPr>
      <w:r>
        <w:rPr>
          <w:rFonts w:hint="eastAsia" w:ascii="宋体" w:hAnsi="宋体"/>
          <w:color w:val="000000"/>
          <w:sz w:val="24"/>
          <w:szCs w:val="24"/>
        </w:rPr>
        <w:t xml:space="preserve">1.</w:t>
      </w:r>
      <w:r>
        <w:rPr>
          <w:rFonts w:hint="eastAsia" w:ascii="宋体" w:hAnsi="宋体"/>
          <w:color w:val="000000"/>
          <w:sz w:val="24"/>
          <w:szCs w:val="24"/>
          <w:lang w:eastAsia="zh-CN"/>
        </w:rPr>
        <w:t xml:space="preserve">采购编号</w:t>
      </w:r>
      <w:r>
        <w:rPr>
          <w:rFonts w:hint="eastAsia" w:ascii="宋体" w:hAnsi="宋体"/>
          <w:color w:val="000000"/>
          <w:sz w:val="24"/>
          <w:szCs w:val="24"/>
        </w:rPr>
        <w:t xml:space="preserve">：</w:t>
      </w:r>
      <w:r>
        <w:rPr>
          <w:rFonts w:hint="eastAsia" w:ascii="宋体" w:hAnsi="宋体" w:eastAsia="宋体" w:cs="Times New Roman"/>
          <w:color w:val="000000"/>
          <w:sz w:val="24"/>
          <w:szCs w:val="24"/>
          <w:lang w:eastAsia="zh-CN"/>
        </w:rPr>
        <w:t xml:space="preserve">JSZC-320000-</w:t>
      </w:r>
      <w:r>
        <w:rPr>
          <w:rFonts w:hint="eastAsia" w:ascii="宋体" w:hAnsi="宋体" w:eastAsia="宋体" w:cs="Times New Roman"/>
          <w:color w:val="000000"/>
          <w:sz w:val="24"/>
          <w:szCs w:val="24"/>
          <w:lang w:val="en-US" w:eastAsia="zh-CN"/>
        </w:rPr>
        <w:t xml:space="preserve">SCZX-G2026-0197</w:t>
      </w:r>
      <w:r/>
    </w:p>
    <w:p>
      <w:pPr>
        <w:ind w:firstLine="480"/>
        <w:pageBreakBefore w:val="0"/>
        <w:spacing w:beforeAutospacing="0" w:afterAutospacing="0" w:line="400" w:lineRule="exact"/>
        <w:rPr>
          <w:rFonts w:ascii="宋体" w:hAnsi="宋体"/>
          <w:color w:val="000000"/>
          <w:sz w:val="28"/>
          <w:szCs w:val="28"/>
        </w:rPr>
      </w:pPr>
      <w:r>
        <w:rPr>
          <w:rFonts w:hint="eastAsia" w:ascii="宋体" w:hAnsi="宋体"/>
          <w:color w:val="000000"/>
          <w:sz w:val="24"/>
          <w:szCs w:val="24"/>
        </w:rPr>
        <w:t xml:space="preserve">2.项目名称：江苏省消防救援总队全省器材装备采购项目</w:t>
      </w:r>
      <w:bookmarkEnd w:id="11"/>
      <w:r>
        <w:rPr>
          <w:rFonts w:hint="eastAsia" w:ascii="宋体" w:hAnsi="宋体"/>
          <w:color w:val="000000"/>
          <w:sz w:val="24"/>
          <w:szCs w:val="24"/>
        </w:rPr>
        <w:t xml:space="preserve">（</w:t>
      </w:r>
      <w:r>
        <w:rPr>
          <w:rFonts w:hint="eastAsia" w:ascii="宋体" w:hAnsi="宋体"/>
          <w:color w:val="000000"/>
          <w:sz w:val="24"/>
          <w:szCs w:val="24"/>
        </w:rPr>
        <w:t xml:space="preserve">第二批次</w:t>
      </w:r>
      <w:r>
        <w:rPr>
          <w:rFonts w:hint="eastAsia" w:ascii="宋体" w:hAnsi="宋体"/>
          <w:color w:val="000000"/>
          <w:sz w:val="24"/>
          <w:szCs w:val="24"/>
        </w:rPr>
        <w:t xml:space="preserve">）</w:t>
      </w:r>
      <w:r>
        <w:rPr>
          <w:sz w:val="22"/>
          <w:szCs w:val="24"/>
        </w:rPr>
      </w:r>
      <w:r/>
    </w:p>
    <w:p>
      <w:pPr>
        <w:ind w:firstLine="480"/>
        <w:pageBreakBefore w:val="0"/>
        <w:spacing w:beforeAutospacing="0" w:afterAutospacing="0" w:line="400" w:lineRule="exact"/>
        <w:rPr>
          <w:rFonts w:ascii="宋体" w:hAnsi="宋体"/>
          <w:sz w:val="24"/>
          <w:szCs w:val="24"/>
        </w:rPr>
      </w:pPr>
      <w:r>
        <w:rPr>
          <w:rFonts w:hint="eastAsia" w:ascii="宋体" w:hAnsi="宋体"/>
          <w:sz w:val="24"/>
          <w:szCs w:val="24"/>
        </w:rPr>
        <w:t xml:space="preserve">3.预算金额</w:t>
      </w:r>
      <w:r/>
    </w:p>
    <w:tbl>
      <w:tblPr>
        <w:tblStyle w:val="719"/>
        <w:tblW w:w="3948"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jc w:val="center"/>
              <w:pageBreakBefore w:val="0"/>
              <w:spacing w:beforeAutospacing="0" w:afterAutospacing="0" w:line="0" w:lineRule="atLeast"/>
              <w:rPr>
                <w:rFonts w:ascii="宋体" w:hAnsi="宋体"/>
                <w:sz w:val="24"/>
                <w:szCs w:val="24"/>
              </w:rPr>
            </w:pPr>
            <w:r>
              <w:rPr>
                <w:rFonts w:hint="eastAsia" w:ascii="宋体" w:hAnsi="宋体"/>
                <w:sz w:val="24"/>
                <w:szCs w:val="24"/>
              </w:rPr>
              <w:t xml:space="preserve">采购</w:t>
            </w:r>
            <w:r/>
          </w:p>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t xml:space="preserve">包号</w:t>
            </w:r>
            <w:r/>
          </w:p>
        </w:tc>
        <w:tc>
          <w:tcPr>
            <w:tcW w:w="2800" w:type="dxa"/>
            <w:vAlign w:val="top"/>
            <w:textDirection w:val="lrTb"/>
            <w:noWrap w:val="false"/>
          </w:tcPr>
          <w:p>
            <w:pPr>
              <w:jc w:val="center"/>
              <w:pageBreakBefore w:val="0"/>
              <w:spacing w:beforeAutospacing="0" w:afterAutospacing="0" w:line="0" w:lineRule="atLeast"/>
              <w:rPr>
                <w:rFonts w:ascii="宋体" w:hAnsi="宋体"/>
                <w:sz w:val="24"/>
                <w:szCs w:val="24"/>
              </w:rPr>
            </w:pPr>
            <w:r>
              <w:rPr>
                <w:rFonts w:hint="eastAsia" w:ascii="宋体" w:hAnsi="宋体"/>
                <w:sz w:val="24"/>
                <w:szCs w:val="24"/>
              </w:rPr>
              <w:t xml:space="preserve">预算</w:t>
            </w:r>
            <w:r>
              <w:rPr>
                <w:rFonts w:ascii="宋体" w:hAnsi="宋体"/>
                <w:sz w:val="24"/>
                <w:szCs w:val="24"/>
              </w:rPr>
              <w:t xml:space="preserve">金额</w:t>
            </w:r>
            <w:r/>
          </w:p>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148" w:type="dxa"/>
            <w:vAlign w:val="top"/>
            <w:textDirection w:val="lrTb"/>
            <w:noWrap w:val="false"/>
          </w:tcPr>
          <w:p>
            <w:pPr>
              <w:jc w:val="center"/>
              <w:pageBreakBefore w:val="0"/>
              <w:spacing w:beforeAutospacing="0" w:afterAutospacing="0" w:line="400" w:lineRule="exact"/>
              <w:rPr>
                <w:rFonts w:ascii="宋体" w:hAnsi="宋体"/>
                <w:sz w:val="24"/>
                <w:szCs w:val="24"/>
              </w:rPr>
            </w:pPr>
            <w:r>
              <w:rPr>
                <w:rFonts w:hint="eastAsia" w:ascii="宋体" w:hAnsi="宋体"/>
                <w:sz w:val="24"/>
                <w:szCs w:val="24"/>
              </w:rPr>
              <w:t xml:space="preserve">1</w:t>
            </w:r>
            <w:r/>
          </w:p>
        </w:tc>
        <w:tc>
          <w:tcPr>
            <w:tcW w:w="2800" w:type="dxa"/>
            <w:vAlign w:val="top"/>
            <w:textDirection w:val="lrTb"/>
            <w:noWrap w:val="false"/>
          </w:tcPr>
          <w:p>
            <w:pPr>
              <w:jc w:val="center"/>
              <w:pageBreakBefore w:val="0"/>
              <w:spacing w:beforeAutospacing="0" w:afterAutospacing="0" w:line="0" w:lineRule="atLeast"/>
              <w:rPr>
                <w:rFonts w:hint="default" w:ascii="宋体" w:hAnsi="宋体" w:eastAsia="宋体"/>
                <w:sz w:val="24"/>
                <w:szCs w:val="24"/>
                <w:lang w:val="en-US" w:eastAsia="zh-CN"/>
              </w:rPr>
            </w:pPr>
            <w:r>
              <w:rPr>
                <w:rFonts w:hint="eastAsia" w:ascii="宋体" w:hAnsi="宋体"/>
                <w:sz w:val="24"/>
                <w:szCs w:val="24"/>
                <w:lang w:val="en-US" w:eastAsia="zh-CN"/>
              </w:rPr>
              <w:t xml:space="preserve">55.984</w:t>
            </w:r>
            <w:r/>
          </w:p>
        </w:tc>
      </w:tr>
      <w:tr>
        <w:trPr/>
        <w:tc>
          <w:tcPr>
            <w:tcW w:w="1148" w:type="dxa"/>
            <w:vAlign w:val="top"/>
            <w:textDirection w:val="lrTb"/>
            <w:noWrap w:val="false"/>
          </w:tcPr>
          <w:p>
            <w:pPr>
              <w:jc w:val="center"/>
              <w:pageBreakBefore w:val="0"/>
              <w:spacing w:beforeAutospacing="0" w:afterAutospacing="0" w:line="400" w:lineRule="exact"/>
              <w:rPr>
                <w:rFonts w:ascii="宋体" w:hAnsi="宋体"/>
                <w:sz w:val="24"/>
                <w:szCs w:val="24"/>
              </w:rPr>
            </w:pPr>
            <w:r>
              <w:rPr>
                <w:rFonts w:hint="eastAsia" w:ascii="宋体" w:hAnsi="宋体"/>
                <w:sz w:val="24"/>
                <w:szCs w:val="24"/>
              </w:rPr>
              <w:t xml:space="preserve">2</w:t>
            </w:r>
            <w:r/>
          </w:p>
        </w:tc>
        <w:tc>
          <w:tcPr>
            <w:tcW w:w="2800" w:type="dxa"/>
            <w:vAlign w:val="top"/>
            <w:textDirection w:val="lrTb"/>
            <w:noWrap w:val="false"/>
          </w:tcPr>
          <w:p>
            <w:pPr>
              <w:jc w:val="center"/>
              <w:pageBreakBefore w:val="0"/>
              <w:spacing w:beforeAutospacing="0" w:afterAutospacing="0" w:line="0" w:lineRule="atLeast"/>
              <w:rPr>
                <w:rFonts w:hint="default" w:ascii="宋体" w:hAnsi="宋体" w:eastAsia="宋体"/>
                <w:sz w:val="24"/>
                <w:szCs w:val="24"/>
                <w:lang w:val="en-US" w:eastAsia="zh-CN"/>
              </w:rPr>
            </w:pPr>
            <w:r>
              <w:rPr>
                <w:rFonts w:hint="eastAsia" w:ascii="宋体" w:hAnsi="宋体"/>
                <w:sz w:val="24"/>
                <w:szCs w:val="24"/>
                <w:lang w:val="en-US" w:eastAsia="zh-CN"/>
              </w:rPr>
              <w:t xml:space="preserve">48.51</w:t>
            </w:r>
            <w:r/>
          </w:p>
        </w:tc>
      </w:tr>
      <w:tr>
        <w:trPr/>
        <w:tc>
          <w:tcPr>
            <w:tcW w:w="1148" w:type="dxa"/>
            <w:vAlign w:val="top"/>
            <w:textDirection w:val="lrTb"/>
            <w:noWrap w:val="false"/>
          </w:tcPr>
          <w:p>
            <w:pPr>
              <w:jc w:val="center"/>
              <w:pageBreakBefore w:val="0"/>
              <w:spacing w:beforeAutospacing="0" w:afterAutospacing="0" w:line="400" w:lineRule="exact"/>
              <w:rPr>
                <w:rFonts w:hint="eastAsia" w:ascii="宋体" w:hAnsi="宋体"/>
                <w:sz w:val="24"/>
                <w:szCs w:val="24"/>
              </w:rPr>
            </w:pPr>
            <w:r>
              <w:rPr>
                <w:rFonts w:hint="eastAsia" w:ascii="宋体" w:hAnsi="宋体"/>
                <w:sz w:val="24"/>
                <w:szCs w:val="24"/>
                <w:lang w:val="en-US" w:eastAsia="zh-CN"/>
              </w:rPr>
              <w:t xml:space="preserve">3</w:t>
            </w:r>
            <w:r/>
          </w:p>
        </w:tc>
        <w:tc>
          <w:tcPr>
            <w:tcW w:w="2800" w:type="dxa"/>
            <w:vAlign w:val="top"/>
            <w:textDirection w:val="lrTb"/>
            <w:noWrap w:val="false"/>
          </w:tcPr>
          <w:p>
            <w:pPr>
              <w:jc w:val="center"/>
              <w:pageBreakBefore w:val="0"/>
              <w:spacing w:beforeAutospacing="0" w:afterAutospacing="0" w:line="0" w:lineRule="atLeast"/>
              <w:rPr>
                <w:rFonts w:hint="default" w:ascii="宋体" w:hAnsi="宋体" w:eastAsia="宋体"/>
                <w:sz w:val="24"/>
                <w:szCs w:val="24"/>
                <w:lang w:val="en-US" w:eastAsia="zh-CN"/>
              </w:rPr>
            </w:pPr>
            <w:r>
              <w:rPr>
                <w:rFonts w:hint="eastAsia" w:ascii="宋体" w:hAnsi="宋体"/>
                <w:sz w:val="24"/>
                <w:szCs w:val="24"/>
                <w:lang w:val="en-US" w:eastAsia="zh-CN"/>
              </w:rPr>
              <w:t xml:space="preserve">45</w:t>
            </w:r>
            <w:r/>
          </w:p>
        </w:tc>
      </w:tr>
      <w:tr>
        <w:trPr/>
        <w:tc>
          <w:tcPr>
            <w:tcW w:w="1148" w:type="dxa"/>
            <w:vAlign w:val="top"/>
            <w:textDirection w:val="lrTb"/>
            <w:noWrap w:val="false"/>
          </w:tcPr>
          <w:p>
            <w:pPr>
              <w:jc w:val="center"/>
              <w:pageBreakBefore w:val="0"/>
              <w:spacing w:beforeAutospacing="0" w:afterAutospacing="0" w:line="400" w:lineRule="exact"/>
              <w:rPr>
                <w:rFonts w:ascii="宋体" w:hAnsi="宋体"/>
                <w:sz w:val="24"/>
                <w:szCs w:val="24"/>
              </w:rPr>
            </w:pPr>
            <w:r>
              <w:rPr>
                <w:rFonts w:hint="eastAsia" w:ascii="宋体" w:hAnsi="宋体"/>
                <w:sz w:val="24"/>
                <w:szCs w:val="24"/>
                <w:lang w:val="en-US" w:eastAsia="zh-CN"/>
              </w:rPr>
              <w:t xml:space="preserve">4</w:t>
            </w:r>
            <w:r/>
          </w:p>
        </w:tc>
        <w:tc>
          <w:tcPr>
            <w:tcW w:w="2800" w:type="dxa"/>
            <w:vAlign w:val="top"/>
            <w:textDirection w:val="lrTb"/>
            <w:noWrap w:val="false"/>
          </w:tcPr>
          <w:p>
            <w:pPr>
              <w:jc w:val="center"/>
              <w:pageBreakBefore w:val="0"/>
              <w:spacing w:beforeAutospacing="0" w:afterAutospacing="0" w:line="0" w:lineRule="atLeast"/>
              <w:rPr>
                <w:rFonts w:hint="default" w:ascii="宋体" w:hAnsi="宋体" w:eastAsia="宋体"/>
                <w:sz w:val="24"/>
                <w:szCs w:val="24"/>
                <w:lang w:val="en-US" w:eastAsia="zh-CN"/>
              </w:rPr>
            </w:pPr>
            <w:r>
              <w:rPr>
                <w:rFonts w:hint="eastAsia" w:ascii="宋体" w:hAnsi="宋体"/>
                <w:sz w:val="24"/>
                <w:szCs w:val="24"/>
                <w:lang w:val="en-US" w:eastAsia="zh-CN"/>
              </w:rPr>
              <w:t xml:space="preserve">84</w:t>
            </w:r>
            <w:r/>
          </w:p>
        </w:tc>
      </w:tr>
    </w:tbl>
    <w:p>
      <w:pPr>
        <w:numPr>
          <w:ilvl w:val="0"/>
          <w:numId w:val="5"/>
        </w:numPr>
        <w:ind w:firstLine="480"/>
        <w:pageBreakBefore w:val="0"/>
        <w:spacing w:beforeAutospacing="0" w:afterAutospacing="0" w:line="4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最高限价</w:t>
      </w:r>
      <w:r/>
    </w:p>
    <w:tbl>
      <w:tblPr>
        <w:tblStyle w:val="719"/>
        <w:tblW w:w="3948"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numPr>
                <w:ilvl w:val="0"/>
                <w:numId w:val="0"/>
              </w:numPr>
              <w:pageBreakBefore w:val="0"/>
              <w:spacing w:beforeAutospacing="0" w:afterAutospacing="0" w:line="400" w:lineRule="exact"/>
              <w:rPr>
                <w:rFonts w:ascii="宋体" w:hAnsi="宋体"/>
                <w:sz w:val="24"/>
                <w:szCs w:val="24"/>
              </w:rPr>
            </w:pPr>
            <w:r>
              <w:rPr>
                <w:rFonts w:hint="eastAsia" w:ascii="方正魏碑_GBK" w:hAnsi="方正魏碑_GBK" w:eastAsia="方正魏碑_GBK" w:cs="方正魏碑_GBK"/>
                <w:color w:val="000000"/>
                <w:sz w:val="24"/>
                <w:szCs w:val="24"/>
                <w:lang w:val="en-US" w:eastAsia="zh-CN"/>
              </w:rPr>
              <w:t xml:space="preserve">  </w:t>
            </w:r>
            <w:r>
              <w:rPr>
                <w:rFonts w:hint="eastAsia" w:ascii="宋体" w:hAnsi="宋体"/>
                <w:sz w:val="24"/>
                <w:szCs w:val="24"/>
              </w:rPr>
              <w:t xml:space="preserve">采购</w:t>
            </w:r>
            <w:r/>
          </w:p>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t xml:space="preserve">包号</w:t>
            </w:r>
            <w:r/>
          </w:p>
        </w:tc>
        <w:tc>
          <w:tcPr>
            <w:tcW w:w="2800" w:type="dxa"/>
            <w:vAlign w:val="top"/>
            <w:textDirection w:val="lrTb"/>
            <w:noWrap w:val="false"/>
          </w:tcPr>
          <w:p>
            <w:pPr>
              <w:jc w:val="center"/>
              <w:pageBreakBefore w:val="0"/>
              <w:spacing w:beforeAutospacing="0" w:afterAutospacing="0" w:line="0" w:lineRule="atLeast"/>
              <w:rPr>
                <w:rFonts w:ascii="宋体" w:hAnsi="宋体"/>
                <w:sz w:val="24"/>
                <w:szCs w:val="24"/>
              </w:rPr>
            </w:pPr>
            <w:r>
              <w:rPr>
                <w:rFonts w:hint="eastAsia" w:ascii="宋体" w:hAnsi="宋体"/>
                <w:sz w:val="24"/>
                <w:szCs w:val="24"/>
              </w:rPr>
              <w:t xml:space="preserve">预算</w:t>
            </w:r>
            <w:r>
              <w:rPr>
                <w:rFonts w:ascii="宋体" w:hAnsi="宋体"/>
                <w:sz w:val="24"/>
                <w:szCs w:val="24"/>
              </w:rPr>
              <w:t xml:space="preserve">金额</w:t>
            </w:r>
            <w:r/>
          </w:p>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148" w:type="dxa"/>
            <w:vAlign w:val="top"/>
            <w:textDirection w:val="lrTb"/>
            <w:noWrap w:val="false"/>
          </w:tcPr>
          <w:p>
            <w:pPr>
              <w:jc w:val="center"/>
              <w:pageBreakBefore w:val="0"/>
              <w:spacing w:beforeAutospacing="0" w:afterAutospacing="0" w:line="400" w:lineRule="exact"/>
              <w:rPr>
                <w:rFonts w:ascii="宋体" w:hAnsi="宋体"/>
                <w:sz w:val="24"/>
                <w:szCs w:val="24"/>
              </w:rPr>
            </w:pPr>
            <w:r>
              <w:rPr>
                <w:rFonts w:hint="eastAsia" w:ascii="宋体" w:hAnsi="宋体"/>
                <w:sz w:val="24"/>
                <w:szCs w:val="24"/>
              </w:rPr>
              <w:t xml:space="preserve">1</w:t>
            </w:r>
            <w:r/>
          </w:p>
        </w:tc>
        <w:tc>
          <w:tcPr>
            <w:shd w:val="clear" w:color="auto" w:fill="auto"/>
            <w:tcW w:w="2800" w:type="dxa"/>
            <w:vAlign w:val="top"/>
            <w:textDirection w:val="lrTb"/>
            <w:noWrap w:val="false"/>
          </w:tcPr>
          <w:p>
            <w:pPr>
              <w:jc w:val="center"/>
              <w:pageBreakBefore w:val="0"/>
              <w:spacing w:beforeAutospacing="0" w:afterAutospacing="0" w:line="0" w:lineRule="atLeast"/>
              <w:rPr>
                <w:rFonts w:hint="default" w:ascii="宋体" w:hAnsi="宋体" w:eastAsia="宋体" w:cs="Times New Roman"/>
                <w:sz w:val="24"/>
                <w:szCs w:val="24"/>
                <w:lang w:val="en-US" w:eastAsia="zh-CN" w:bidi="ar-SA"/>
              </w:rPr>
            </w:pPr>
            <w:r>
              <w:rPr>
                <w:rFonts w:hint="eastAsia" w:ascii="宋体" w:hAnsi="宋体"/>
                <w:sz w:val="24"/>
                <w:szCs w:val="24"/>
                <w:lang w:val="en-US" w:eastAsia="zh-CN"/>
              </w:rPr>
              <w:t xml:space="preserve">55.984</w:t>
            </w:r>
            <w:r/>
          </w:p>
        </w:tc>
      </w:tr>
      <w:tr>
        <w:trPr/>
        <w:tc>
          <w:tcPr>
            <w:tcW w:w="1148" w:type="dxa"/>
            <w:vAlign w:val="top"/>
            <w:textDirection w:val="lrTb"/>
            <w:noWrap w:val="false"/>
          </w:tcPr>
          <w:p>
            <w:pPr>
              <w:jc w:val="center"/>
              <w:pageBreakBefore w:val="0"/>
              <w:spacing w:beforeAutospacing="0" w:afterAutospacing="0" w:line="400" w:lineRule="exact"/>
              <w:rPr>
                <w:rFonts w:ascii="宋体" w:hAnsi="宋体"/>
                <w:sz w:val="24"/>
                <w:szCs w:val="24"/>
              </w:rPr>
            </w:pPr>
            <w:r>
              <w:rPr>
                <w:rFonts w:hint="eastAsia" w:ascii="宋体" w:hAnsi="宋体"/>
                <w:sz w:val="24"/>
                <w:szCs w:val="24"/>
              </w:rPr>
              <w:t xml:space="preserve">2</w:t>
            </w:r>
            <w:r/>
          </w:p>
        </w:tc>
        <w:tc>
          <w:tcPr>
            <w:shd w:val="clear" w:color="auto" w:fill="auto"/>
            <w:tcW w:w="2800" w:type="dxa"/>
            <w:vAlign w:val="top"/>
            <w:textDirection w:val="lrTb"/>
            <w:noWrap w:val="false"/>
          </w:tcPr>
          <w:p>
            <w:pPr>
              <w:jc w:val="center"/>
              <w:pageBreakBefore w:val="0"/>
              <w:spacing w:beforeAutospacing="0" w:afterAutospacing="0" w:line="0" w:lineRule="atLeast"/>
              <w:rPr>
                <w:rFonts w:hint="default" w:ascii="宋体" w:hAnsi="宋体" w:eastAsia="宋体" w:cs="Times New Roman"/>
                <w:sz w:val="24"/>
                <w:szCs w:val="24"/>
                <w:lang w:val="en-US" w:eastAsia="zh-CN" w:bidi="ar-SA"/>
              </w:rPr>
            </w:pPr>
            <w:r>
              <w:rPr>
                <w:rFonts w:hint="eastAsia" w:ascii="宋体" w:hAnsi="宋体"/>
                <w:sz w:val="24"/>
                <w:szCs w:val="24"/>
                <w:lang w:val="en-US" w:eastAsia="zh-CN"/>
              </w:rPr>
              <w:t xml:space="preserve">48.51</w:t>
            </w:r>
            <w:r/>
          </w:p>
        </w:tc>
      </w:tr>
      <w:tr>
        <w:trPr/>
        <w:tc>
          <w:tcPr>
            <w:tcW w:w="1148" w:type="dxa"/>
            <w:vAlign w:val="top"/>
            <w:textDirection w:val="lrTb"/>
            <w:noWrap w:val="false"/>
          </w:tcPr>
          <w:p>
            <w:pPr>
              <w:jc w:val="center"/>
              <w:pageBreakBefore w:val="0"/>
              <w:spacing w:beforeAutospacing="0" w:afterAutospacing="0" w:line="400" w:lineRule="exact"/>
              <w:rPr>
                <w:rFonts w:hint="eastAsia" w:ascii="宋体" w:hAnsi="宋体"/>
                <w:sz w:val="24"/>
                <w:szCs w:val="24"/>
              </w:rPr>
            </w:pPr>
            <w:r>
              <w:rPr>
                <w:rFonts w:hint="eastAsia" w:ascii="宋体" w:hAnsi="宋体"/>
                <w:sz w:val="24"/>
                <w:szCs w:val="24"/>
                <w:lang w:val="en-US" w:eastAsia="zh-CN"/>
              </w:rPr>
              <w:t xml:space="preserve">3</w:t>
            </w:r>
            <w:r/>
          </w:p>
        </w:tc>
        <w:tc>
          <w:tcPr>
            <w:shd w:val="clear" w:color="auto" w:fill="auto"/>
            <w:tcW w:w="2800" w:type="dxa"/>
            <w:vAlign w:val="top"/>
            <w:textDirection w:val="lrTb"/>
            <w:noWrap w:val="false"/>
          </w:tcPr>
          <w:p>
            <w:pPr>
              <w:jc w:val="center"/>
              <w:pageBreakBefore w:val="0"/>
              <w:spacing w:beforeAutospacing="0" w:afterAutospacing="0" w:line="0" w:lineRule="atLeast"/>
              <w:rPr>
                <w:rFonts w:hint="default" w:ascii="宋体" w:hAnsi="宋体" w:eastAsia="宋体" w:cs="Times New Roman"/>
                <w:sz w:val="24"/>
                <w:szCs w:val="24"/>
                <w:lang w:val="en-US" w:eastAsia="zh-CN" w:bidi="ar-SA"/>
              </w:rPr>
            </w:pPr>
            <w:r>
              <w:rPr>
                <w:rFonts w:hint="eastAsia" w:ascii="宋体" w:hAnsi="宋体"/>
                <w:sz w:val="24"/>
                <w:szCs w:val="24"/>
                <w:lang w:val="en-US" w:eastAsia="zh-CN"/>
              </w:rPr>
              <w:t xml:space="preserve">45</w:t>
            </w:r>
            <w:r/>
          </w:p>
        </w:tc>
      </w:tr>
      <w:tr>
        <w:trPr/>
        <w:tc>
          <w:tcPr>
            <w:tcW w:w="1148" w:type="dxa"/>
            <w:vAlign w:val="top"/>
            <w:textDirection w:val="lrTb"/>
            <w:noWrap w:val="false"/>
          </w:tcPr>
          <w:p>
            <w:pPr>
              <w:jc w:val="center"/>
              <w:pageBreakBefore w:val="0"/>
              <w:spacing w:beforeAutospacing="0" w:afterAutospacing="0" w:line="400" w:lineRule="exact"/>
              <w:rPr>
                <w:rFonts w:ascii="宋体" w:hAnsi="宋体"/>
                <w:sz w:val="24"/>
                <w:szCs w:val="24"/>
              </w:rPr>
            </w:pPr>
            <w:r>
              <w:rPr>
                <w:rFonts w:hint="eastAsia" w:ascii="宋体" w:hAnsi="宋体"/>
                <w:sz w:val="24"/>
                <w:szCs w:val="24"/>
                <w:lang w:val="en-US" w:eastAsia="zh-CN"/>
              </w:rPr>
              <w:t xml:space="preserve">4</w:t>
            </w:r>
            <w:r/>
          </w:p>
        </w:tc>
        <w:tc>
          <w:tcPr>
            <w:shd w:val="clear" w:color="auto" w:fill="auto"/>
            <w:tcW w:w="2800" w:type="dxa"/>
            <w:vAlign w:val="top"/>
            <w:textDirection w:val="lrTb"/>
            <w:noWrap w:val="false"/>
          </w:tcPr>
          <w:p>
            <w:pPr>
              <w:jc w:val="center"/>
              <w:pageBreakBefore w:val="0"/>
              <w:spacing w:beforeAutospacing="0" w:afterAutospacing="0" w:line="0" w:lineRule="atLeast"/>
              <w:rPr>
                <w:rFonts w:hint="default" w:ascii="宋体" w:hAnsi="宋体" w:eastAsia="宋体" w:cs="Times New Roman"/>
                <w:sz w:val="24"/>
                <w:szCs w:val="24"/>
                <w:lang w:val="en-US" w:eastAsia="zh-CN" w:bidi="ar-SA"/>
              </w:rPr>
            </w:pPr>
            <w:r>
              <w:rPr>
                <w:rFonts w:hint="eastAsia" w:ascii="宋体" w:hAnsi="宋体"/>
                <w:sz w:val="24"/>
                <w:szCs w:val="24"/>
                <w:lang w:val="en-US" w:eastAsia="zh-CN"/>
              </w:rPr>
              <w:t xml:space="preserve">84</w:t>
            </w:r>
            <w:r/>
          </w:p>
        </w:tc>
      </w:tr>
    </w:tbl>
    <w:p>
      <w:pPr>
        <w:ind w:firstLine="480"/>
        <w:pageBreakBefore w:val="0"/>
        <w:spacing w:beforeAutospacing="0" w:afterAutospacing="0"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5.采购需求(简介)：江苏省消防救援总队</w:t>
      </w:r>
      <w:r>
        <w:rPr>
          <w:rFonts w:hint="eastAsia" w:ascii="宋体" w:hAnsi="宋体"/>
          <w:color w:val="000000"/>
          <w:sz w:val="24"/>
          <w:szCs w:val="24"/>
          <w:highlight w:val="none"/>
          <w:lang w:val="en-US" w:eastAsia="zh-CN"/>
        </w:rPr>
        <w:t xml:space="preserve">进行</w:t>
      </w:r>
      <w:r>
        <w:rPr>
          <w:rFonts w:hint="eastAsia" w:ascii="宋体" w:hAnsi="宋体"/>
          <w:color w:val="000000"/>
          <w:sz w:val="24"/>
          <w:szCs w:val="24"/>
          <w:highlight w:val="none"/>
        </w:rPr>
        <w:t xml:space="preserve">全省器材装备采购</w:t>
      </w:r>
      <w:r>
        <w:rPr>
          <w:rFonts w:hint="eastAsia" w:ascii="宋体" w:hAnsi="宋体"/>
          <w:color w:val="000000"/>
          <w:sz w:val="24"/>
          <w:szCs w:val="24"/>
          <w:highlight w:val="none"/>
          <w:lang w:eastAsia="zh-CN"/>
        </w:rPr>
        <w:t xml:space="preserve">。</w:t>
      </w:r>
      <w:r>
        <w:rPr>
          <w:rFonts w:hint="eastAsia" w:ascii="宋体" w:hAnsi="宋体" w:cs="宋体"/>
          <w:color w:val="000000"/>
          <w:sz w:val="24"/>
          <w:szCs w:val="24"/>
          <w:highlight w:val="none"/>
        </w:rPr>
        <w:t xml:space="preserve">（详细内容见本招标文件第四章）</w:t>
      </w:r>
      <w:r/>
    </w:p>
    <w:p>
      <w:pPr>
        <w:ind w:firstLine="480"/>
        <w:pageBreakBefore w:val="0"/>
        <w:spacing w:beforeAutospacing="0" w:afterAutospacing="0" w:line="400" w:lineRule="exact"/>
        <w:rPr>
          <w:rFonts w:ascii="宋体" w:hAnsi="宋体"/>
          <w:color w:val="000000"/>
          <w:sz w:val="24"/>
          <w:szCs w:val="24"/>
          <w:highlight w:val="yellow"/>
          <w:u w:val="single"/>
        </w:rPr>
      </w:pPr>
      <w:r>
        <w:rPr>
          <w:rFonts w:hint="eastAsia" w:ascii="宋体" w:hAnsi="宋体"/>
          <w:color w:val="000000"/>
          <w:sz w:val="24"/>
          <w:szCs w:val="24"/>
          <w:highlight w:val="none"/>
        </w:rPr>
        <w:t xml:space="preserve">6.合同履行期限：</w:t>
      </w:r>
      <w:r>
        <w:rPr>
          <w:rFonts w:ascii="宋体" w:hAnsi="宋体" w:eastAsia="宋体" w:cs="Times New Roman"/>
          <w:color w:val="000000"/>
          <w:sz w:val="24"/>
          <w:szCs w:val="24"/>
          <w:highlight w:val="none"/>
        </w:rPr>
        <w:t xml:space="preserve">签订合同后60日内将货物送达指定地点。</w:t>
      </w:r>
      <w:r/>
    </w:p>
    <w:p>
      <w:pPr>
        <w:ind w:firstLine="496"/>
        <w:keepLines/>
        <w:keepNext/>
        <w:pageBreakBefore w:val="0"/>
        <w:spacing w:beforeAutospacing="0" w:afterAutospacing="0" w:line="360" w:lineRule="auto"/>
        <w:rPr>
          <w:rFonts w:ascii="Times New Roman" w:hAnsi="Times New Roman"/>
          <w:b/>
          <w:bCs/>
          <w:color w:val="000000"/>
          <w:sz w:val="32"/>
          <w:szCs w:val="32"/>
        </w:rPr>
        <w:outlineLvl w:val="2"/>
      </w:pPr>
      <w:r/>
      <w:bookmarkStart w:id="12" w:name="_Toc35393791"/>
      <w:r/>
      <w:bookmarkStart w:id="13" w:name="_Toc28359080"/>
      <w:r/>
      <w:bookmarkStart w:id="14" w:name="_Toc35393622"/>
      <w:r/>
      <w:bookmarkStart w:id="15" w:name="_Toc38985264"/>
      <w:r/>
      <w:bookmarkStart w:id="16" w:name="_Toc28359003"/>
      <w:r>
        <w:rPr>
          <w:rFonts w:hint="eastAsia" w:ascii="Times New Roman" w:hAnsi="Times New Roman"/>
          <w:b/>
          <w:bCs/>
          <w:color w:val="000000"/>
          <w:sz w:val="32"/>
          <w:szCs w:val="32"/>
        </w:rPr>
        <w:t xml:space="preserve">二、申请人的资格要求</w:t>
      </w:r>
      <w:bookmarkEnd w:id="12"/>
      <w:r/>
      <w:bookmarkEnd w:id="13"/>
      <w:r/>
      <w:bookmarkEnd w:id="14"/>
      <w:r/>
      <w:bookmarkEnd w:id="15"/>
      <w:r/>
      <w:bookmarkEnd w:id="16"/>
      <w:r/>
      <w:r/>
    </w:p>
    <w:p>
      <w:pPr>
        <w:ind w:firstLine="560"/>
        <w:pageBreakBefore w:val="0"/>
        <w:spacing w:beforeAutospacing="0" w:afterAutospacing="0" w:line="400" w:lineRule="exact"/>
        <w:rPr>
          <w:rFonts w:hint="eastAsia" w:ascii="宋体" w:hAnsi="宋体"/>
          <w:color w:val="000000"/>
          <w:sz w:val="28"/>
          <w:szCs w:val="28"/>
        </w:rPr>
      </w:pPr>
      <w:r/>
      <w:bookmarkStart w:id="17" w:name="_Toc28359081"/>
      <w:r/>
      <w:bookmarkStart w:id="18" w:name="_Toc28359004"/>
      <w:r/>
      <w:bookmarkStart w:id="19" w:name="_Toc35393623"/>
      <w:r/>
      <w:bookmarkStart w:id="20" w:name="_Toc38985265"/>
      <w:r/>
      <w:bookmarkStart w:id="21" w:name="_Toc35393792"/>
      <w:r>
        <w:rPr>
          <w:rFonts w:hint="eastAsia" w:ascii="宋体" w:hAnsi="宋体"/>
          <w:color w:val="000000"/>
          <w:sz w:val="28"/>
          <w:szCs w:val="28"/>
        </w:rPr>
        <w:t xml:space="preserve">（一</w:t>
      </w:r>
      <w:r>
        <w:rPr>
          <w:rFonts w:ascii="宋体" w:hAnsi="宋体"/>
          <w:color w:val="000000"/>
          <w:sz w:val="28"/>
          <w:szCs w:val="28"/>
        </w:rPr>
        <w:t xml:space="preserve">）</w:t>
      </w:r>
      <w:r>
        <w:rPr>
          <w:rFonts w:hint="eastAsia" w:ascii="宋体" w:hAnsi="宋体"/>
          <w:color w:val="000000"/>
          <w:sz w:val="28"/>
          <w:szCs w:val="28"/>
        </w:rPr>
        <w:t xml:space="preserve">通用</w:t>
      </w:r>
      <w:r>
        <w:rPr>
          <w:rFonts w:ascii="宋体" w:hAnsi="宋体"/>
          <w:color w:val="000000"/>
          <w:sz w:val="28"/>
          <w:szCs w:val="28"/>
        </w:rPr>
        <w:t xml:space="preserve">资格要求</w:t>
      </w:r>
      <w:r/>
    </w:p>
    <w:p>
      <w:pPr>
        <w:ind w:firstLine="480"/>
        <w:pageBreakBefore w:val="0"/>
        <w:spacing w:beforeAutospacing="0" w:afterAutospacing="0"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pageBreakBefore w:val="0"/>
        <w:spacing w:beforeAutospacing="0" w:afterAutospacing="0"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p>
    <w:p>
      <w:pPr>
        <w:ind w:firstLine="480"/>
        <w:pageBreakBefore w:val="0"/>
        <w:spacing w:beforeAutospacing="0" w:afterAutospacing="0" w:line="400" w:lineRule="exact"/>
        <w:rPr>
          <w:rFonts w:ascii="宋体" w:hAnsi="宋体"/>
          <w:color w:val="000000"/>
          <w:sz w:val="24"/>
          <w:szCs w:val="24"/>
        </w:rPr>
      </w:pPr>
      <w:r>
        <w:rPr>
          <w:rFonts w:hint="eastAsia" w:ascii="宋体" w:hAnsi="宋体"/>
          <w:color w:val="000000"/>
          <w:sz w:val="24"/>
          <w:szCs w:val="24"/>
        </w:rPr>
        <w:t xml:space="preserve">1.2上一年度的财务状况报告（成立不满一年无需提供）；</w:t>
      </w:r>
      <w:r/>
    </w:p>
    <w:p>
      <w:pPr>
        <w:ind w:firstLine="480"/>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pageBreakBefore w:val="0"/>
        <w:spacing w:beforeAutospacing="0" w:afterAutospacing="0"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80"/>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p>
    <w:p>
      <w:pPr>
        <w:ind w:firstLine="480"/>
        <w:pageBreakBefore w:val="0"/>
        <w:spacing w:beforeAutospacing="0" w:afterAutospacing="0" w:line="40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1.6</w:t>
      </w:r>
      <w:r>
        <w:rPr>
          <w:rFonts w:hint="eastAsia" w:ascii="宋体" w:hAnsi="宋体" w:eastAsia="宋体" w:cs="Times New Roman"/>
          <w:b w:val="0"/>
          <w:bCs w:val="0"/>
          <w:color w:val="000000"/>
          <w:sz w:val="24"/>
          <w:szCs w:val="24"/>
          <w:highlight w:val="none"/>
        </w:rPr>
        <w:t xml:space="preserve">投标人参加本次政府采购活动前3年内无涉及行贿等重大违法案件</w:t>
      </w:r>
      <w:r>
        <w:rPr>
          <w:rFonts w:hint="eastAsia" w:ascii="宋体" w:hAnsi="宋体" w:eastAsia="宋体" w:cs="Times New Roman"/>
          <w:b w:val="0"/>
          <w:bCs w:val="0"/>
          <w:color w:val="000000"/>
          <w:sz w:val="24"/>
          <w:szCs w:val="24"/>
          <w:highlight w:val="none"/>
          <w:lang w:val="en-US" w:eastAsia="zh-CN"/>
        </w:rPr>
        <w:t xml:space="preserve">声明</w:t>
      </w:r>
      <w:r/>
    </w:p>
    <w:p>
      <w:pPr>
        <w:ind w:firstLine="480"/>
        <w:pageBreakBefore w:val="0"/>
        <w:spacing w:beforeAutospacing="0" w:afterAutospacing="0"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pageBreakBefore w:val="0"/>
        <w:spacing w:beforeAutospacing="0" w:afterAutospacing="0" w:line="400" w:lineRule="exact"/>
        <w:rPr>
          <w:rFonts w:ascii="宋体" w:hAnsi="宋体" w:cs="宋体"/>
          <w:sz w:val="24"/>
          <w:szCs w:val="24"/>
        </w:rPr>
      </w:pPr>
      <w:r>
        <w:rPr>
          <w:rFonts w:hint="eastAsia" w:ascii="宋体" w:hAnsi="宋体"/>
          <w:sz w:val="24"/>
          <w:szCs w:val="24"/>
        </w:rPr>
        <w:t xml:space="preserve">3.落实政府采购政策需满足的资格要求：本项目采购包</w:t>
      </w:r>
      <w:r>
        <w:rPr>
          <w:rFonts w:hint="eastAsia" w:ascii="宋体" w:hAnsi="宋体"/>
          <w:sz w:val="24"/>
          <w:szCs w:val="24"/>
          <w:lang w:val="en-US" w:eastAsia="zh-CN"/>
        </w:rPr>
        <w:t xml:space="preserve">号1、2</w:t>
      </w:r>
      <w:r>
        <w:rPr>
          <w:rFonts w:hint="eastAsia" w:ascii="宋体" w:hAnsi="宋体"/>
          <w:sz w:val="24"/>
          <w:szCs w:val="24"/>
        </w:rPr>
        <w:t xml:space="preserve">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480"/>
        <w:pageBreakBefore w:val="0"/>
        <w:spacing w:beforeAutospacing="0" w:afterAutospacing="0" w:line="360" w:lineRule="auto"/>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p>
    <w:tbl>
      <w:tblPr>
        <w:tblStyle w:val="719"/>
        <w:tblW w:w="7083"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jc w:val="center"/>
              <w:pageBreakBefore w:val="0"/>
              <w:spacing w:beforeAutospacing="0" w:afterAutospacing="0" w:line="400" w:lineRule="exact"/>
              <w:rPr>
                <w:rFonts w:ascii="宋体" w:hAnsi="宋体"/>
                <w:sz w:val="24"/>
                <w:szCs w:val="24"/>
              </w:rPr>
            </w:pPr>
            <w:r>
              <w:rPr>
                <w:rFonts w:hint="eastAsia" w:ascii="宋体" w:hAnsi="宋体"/>
                <w:sz w:val="24"/>
                <w:szCs w:val="24"/>
              </w:rPr>
              <w:t xml:space="preserve">采购</w:t>
            </w:r>
            <w:r/>
          </w:p>
          <w:p>
            <w:pPr>
              <w:jc w:val="center"/>
              <w:pageBreakBefore w:val="0"/>
              <w:spacing w:beforeAutospacing="0" w:afterAutospacing="0" w:line="400" w:lineRule="exact"/>
              <w:rPr>
                <w:rFonts w:hint="eastAsia" w:ascii="宋体" w:hAnsi="宋体"/>
                <w:sz w:val="24"/>
                <w:szCs w:val="24"/>
              </w:rPr>
            </w:pPr>
            <w:r>
              <w:rPr>
                <w:rFonts w:hint="eastAsia" w:ascii="宋体" w:hAnsi="宋体"/>
                <w:sz w:val="24"/>
                <w:szCs w:val="24"/>
              </w:rPr>
              <w:t xml:space="preserve">包号</w:t>
            </w:r>
            <w:r/>
          </w:p>
        </w:tc>
        <w:tc>
          <w:tcPr>
            <w:tcW w:w="2968" w:type="dxa"/>
            <w:vAlign w:val="top"/>
            <w:textDirection w:val="lrTb"/>
            <w:noWrap w:val="false"/>
          </w:tcPr>
          <w:p>
            <w:pPr>
              <w:jc w:val="center"/>
              <w:pageBreakBefore w:val="0"/>
              <w:spacing w:beforeAutospacing="0" w:afterAutospacing="0" w:line="400" w:lineRule="exact"/>
              <w:rPr>
                <w:rFonts w:ascii="宋体" w:hAnsi="宋体"/>
                <w:sz w:val="24"/>
                <w:szCs w:val="24"/>
              </w:rPr>
            </w:pPr>
            <w:r>
              <w:rPr>
                <w:rFonts w:hint="eastAsia" w:ascii="宋体" w:hAnsi="宋体"/>
                <w:sz w:val="24"/>
                <w:szCs w:val="24"/>
              </w:rPr>
              <w:t xml:space="preserve">是否接受联合体</w:t>
            </w:r>
            <w:r>
              <w:rPr>
                <w:rFonts w:ascii="宋体" w:hAnsi="宋体"/>
                <w:sz w:val="24"/>
                <w:szCs w:val="24"/>
              </w:rPr>
              <w:t xml:space="preserve">投标</w:t>
            </w:r>
            <w:r/>
          </w:p>
          <w:p>
            <w:pPr>
              <w:jc w:val="center"/>
              <w:pageBreakBefore w:val="0"/>
              <w:spacing w:beforeAutospacing="0" w:afterAutospacing="0"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c>
          <w:tcPr>
            <w:tcW w:w="2967" w:type="dxa"/>
            <w:vAlign w:val="top"/>
            <w:textDirection w:val="lrTb"/>
            <w:noWrap w:val="false"/>
          </w:tcPr>
          <w:p>
            <w:pPr>
              <w:jc w:val="center"/>
              <w:pageBreakBefore w:val="0"/>
              <w:spacing w:beforeAutospacing="0" w:afterAutospacing="0" w:line="400" w:lineRule="exact"/>
              <w:rPr>
                <w:rFonts w:hint="eastAsia" w:ascii="宋体" w:hAnsi="宋体"/>
                <w:sz w:val="24"/>
                <w:szCs w:val="24"/>
              </w:rPr>
            </w:pPr>
            <w:r>
              <w:rPr>
                <w:rFonts w:hint="eastAsia" w:ascii="宋体" w:hAnsi="宋体"/>
                <w:sz w:val="24"/>
                <w:szCs w:val="24"/>
              </w:rPr>
              <w:t xml:space="preserve">该采购包中</w:t>
            </w:r>
            <w:r>
              <w:rPr>
                <w:rFonts w:ascii="宋体" w:hAnsi="宋体"/>
                <w:sz w:val="24"/>
                <w:szCs w:val="24"/>
              </w:rPr>
              <w:t xml:space="preserve">联合体成员数量</w:t>
            </w:r>
            <w:r>
              <w:rPr>
                <w:rFonts w:hint="eastAsia" w:ascii="宋体" w:hAnsi="宋体"/>
                <w:sz w:val="24"/>
                <w:szCs w:val="24"/>
              </w:rPr>
              <w:t xml:space="preserve">上限</w:t>
            </w:r>
            <w:r/>
          </w:p>
        </w:tc>
      </w:tr>
      <w:tr>
        <w:trPr/>
        <w:tc>
          <w:tcPr>
            <w:tcW w:w="1148" w:type="dxa"/>
            <w:vAlign w:val="top"/>
            <w:textDirection w:val="lrTb"/>
            <w:noWrap w:val="false"/>
          </w:tcPr>
          <w:p>
            <w:pPr>
              <w:jc w:val="center"/>
              <w:pageBreakBefore w:val="0"/>
              <w:spacing w:beforeAutospacing="0" w:afterAutospacing="0" w:line="400" w:lineRule="exact"/>
              <w:rPr>
                <w:rFonts w:ascii="宋体" w:hAnsi="宋体"/>
                <w:sz w:val="24"/>
                <w:szCs w:val="24"/>
              </w:rPr>
            </w:pPr>
            <w:r>
              <w:rPr>
                <w:rFonts w:hint="eastAsia" w:ascii="宋体" w:hAnsi="宋体"/>
                <w:sz w:val="24"/>
                <w:szCs w:val="24"/>
              </w:rPr>
              <w:t xml:space="preserve">1</w:t>
            </w:r>
            <w:r/>
          </w:p>
        </w:tc>
        <w:tc>
          <w:tcPr>
            <w:tcW w:w="2968" w:type="dxa"/>
            <w:vAlign w:val="top"/>
            <w:textDirection w:val="lrTb"/>
            <w:noWrap w:val="false"/>
          </w:tcPr>
          <w:p>
            <w:pPr>
              <w:jc w:val="center"/>
              <w:pageBreakBefore w:val="0"/>
              <w:spacing w:beforeAutospacing="0" w:afterAutospacing="0" w:line="400" w:lineRule="exact"/>
              <w:rPr>
                <w:rFonts w:hint="eastAsia" w:ascii="宋体" w:hAnsi="宋体" w:eastAsia="宋体"/>
                <w:sz w:val="24"/>
                <w:szCs w:val="24"/>
                <w:lang w:eastAsia="zh-CN"/>
              </w:rPr>
            </w:pPr>
            <w:r>
              <w:rPr>
                <w:rFonts w:hint="eastAsia" w:ascii="宋体" w:hAnsi="宋体"/>
                <w:sz w:val="24"/>
                <w:szCs w:val="24"/>
                <w:lang w:val="en-US" w:eastAsia="zh-CN"/>
              </w:rPr>
              <w:t xml:space="preserve">否</w:t>
            </w:r>
            <w:r/>
          </w:p>
        </w:tc>
        <w:tc>
          <w:tcPr>
            <w:tcW w:w="2967" w:type="dxa"/>
            <w:vAlign w:val="top"/>
            <w:textDirection w:val="lrTb"/>
            <w:noWrap w:val="false"/>
          </w:tcPr>
          <w:p>
            <w:pPr>
              <w:jc w:val="center"/>
              <w:pageBreakBefore w:val="0"/>
              <w:spacing w:beforeAutospacing="0" w:afterAutospacing="0" w:line="400" w:lineRule="exact"/>
              <w:rPr>
                <w:rFonts w:ascii="宋体" w:hAnsi="宋体"/>
                <w:sz w:val="24"/>
                <w:szCs w:val="24"/>
              </w:rPr>
            </w:pPr>
            <w:r>
              <w:rPr>
                <w:rFonts w:hint="eastAsia" w:ascii="宋体" w:hAnsi="宋体"/>
                <w:sz w:val="24"/>
                <w:szCs w:val="24"/>
              </w:rPr>
              <w:t xml:space="preserve">/</w:t>
            </w:r>
            <w:r/>
          </w:p>
        </w:tc>
      </w:tr>
      <w:tr>
        <w:trPr/>
        <w:tc>
          <w:tcPr>
            <w:tcW w:w="1148" w:type="dxa"/>
            <w:vAlign w:val="top"/>
            <w:textDirection w:val="lrTb"/>
            <w:noWrap w:val="false"/>
          </w:tcPr>
          <w:p>
            <w:pPr>
              <w:jc w:val="center"/>
              <w:pageBreakBefore w:val="0"/>
              <w:spacing w:beforeAutospacing="0" w:afterAutospacing="0" w:line="400" w:lineRule="exact"/>
              <w:rPr>
                <w:rFonts w:ascii="宋体" w:hAnsi="宋体"/>
                <w:sz w:val="24"/>
                <w:szCs w:val="24"/>
              </w:rPr>
            </w:pPr>
            <w:r>
              <w:rPr>
                <w:rFonts w:hint="eastAsia" w:ascii="宋体" w:hAnsi="宋体"/>
                <w:sz w:val="24"/>
                <w:szCs w:val="24"/>
              </w:rPr>
              <w:t xml:space="preserve">2</w:t>
            </w:r>
            <w:r/>
          </w:p>
        </w:tc>
        <w:tc>
          <w:tcPr>
            <w:tcW w:w="2968" w:type="dxa"/>
            <w:vAlign w:val="top"/>
            <w:textDirection w:val="lrTb"/>
            <w:noWrap w:val="false"/>
          </w:tcPr>
          <w:p>
            <w:pPr>
              <w:jc w:val="center"/>
              <w:pageBreakBefore w:val="0"/>
              <w:spacing w:beforeAutospacing="0" w:afterAutospacing="0" w:line="400" w:lineRule="exact"/>
              <w:rPr>
                <w:rFonts w:ascii="宋体" w:hAnsi="宋体"/>
                <w:sz w:val="24"/>
                <w:szCs w:val="24"/>
              </w:rPr>
            </w:pPr>
            <w:r>
              <w:rPr>
                <w:rFonts w:hint="eastAsia" w:ascii="宋体" w:hAnsi="宋体"/>
                <w:sz w:val="24"/>
                <w:szCs w:val="24"/>
              </w:rPr>
              <w:t xml:space="preserve">否</w:t>
            </w:r>
            <w:r/>
          </w:p>
        </w:tc>
        <w:tc>
          <w:tcPr>
            <w:tcW w:w="2967" w:type="dxa"/>
            <w:vAlign w:val="top"/>
            <w:textDirection w:val="lrTb"/>
            <w:noWrap w:val="false"/>
          </w:tcPr>
          <w:p>
            <w:pPr>
              <w:jc w:val="center"/>
              <w:pageBreakBefore w:val="0"/>
              <w:spacing w:beforeAutospacing="0" w:afterAutospacing="0" w:line="400" w:lineRule="exact"/>
              <w:rPr>
                <w:rFonts w:hint="eastAsia" w:ascii="宋体" w:hAnsi="宋体"/>
                <w:sz w:val="24"/>
                <w:szCs w:val="24"/>
              </w:rPr>
            </w:pPr>
            <w:r>
              <w:rPr>
                <w:rFonts w:hint="eastAsia" w:ascii="宋体" w:hAnsi="宋体"/>
                <w:sz w:val="24"/>
                <w:szCs w:val="24"/>
              </w:rPr>
              <w:t xml:space="preserve">/</w:t>
            </w:r>
            <w:r/>
          </w:p>
        </w:tc>
      </w:tr>
      <w:tr>
        <w:trPr/>
        <w:tc>
          <w:tcPr>
            <w:tcW w:w="1148" w:type="dxa"/>
            <w:vAlign w:val="top"/>
            <w:textDirection w:val="lrTb"/>
            <w:noWrap w:val="false"/>
          </w:tcPr>
          <w:p>
            <w:pPr>
              <w:jc w:val="center"/>
              <w:pageBreakBefore w:val="0"/>
              <w:spacing w:beforeAutospacing="0" w:afterAutospacing="0" w:line="400" w:lineRule="exact"/>
              <w:rPr>
                <w:rFonts w:hint="eastAsia" w:ascii="宋体" w:hAnsi="宋体" w:eastAsia="宋体"/>
                <w:sz w:val="24"/>
                <w:szCs w:val="24"/>
                <w:lang w:eastAsia="zh-CN"/>
              </w:rPr>
            </w:pPr>
            <w:r>
              <w:rPr>
                <w:rFonts w:hint="eastAsia" w:ascii="宋体" w:hAnsi="宋体"/>
                <w:sz w:val="24"/>
                <w:szCs w:val="24"/>
                <w:lang w:val="en-US" w:eastAsia="zh-CN"/>
              </w:rPr>
              <w:t xml:space="preserve">3</w:t>
            </w:r>
            <w:r/>
          </w:p>
        </w:tc>
        <w:tc>
          <w:tcPr>
            <w:tcW w:w="2968" w:type="dxa"/>
            <w:vAlign w:val="top"/>
            <w:textDirection w:val="lrTb"/>
            <w:noWrap w:val="false"/>
          </w:tcPr>
          <w:p>
            <w:pPr>
              <w:jc w:val="center"/>
              <w:pageBreakBefore w:val="0"/>
              <w:spacing w:beforeAutospacing="0" w:afterAutospacing="0" w:line="400" w:lineRule="exact"/>
              <w:rPr>
                <w:rFonts w:ascii="宋体" w:hAnsi="宋体"/>
                <w:sz w:val="24"/>
                <w:szCs w:val="24"/>
              </w:rPr>
            </w:pPr>
            <w:r>
              <w:rPr>
                <w:rFonts w:hint="eastAsia" w:ascii="宋体" w:hAnsi="宋体"/>
                <w:sz w:val="24"/>
                <w:szCs w:val="24"/>
              </w:rPr>
              <w:t xml:space="preserve">否</w:t>
            </w:r>
            <w:r/>
          </w:p>
        </w:tc>
        <w:tc>
          <w:tcPr>
            <w:tcW w:w="2967" w:type="dxa"/>
            <w:vAlign w:val="top"/>
            <w:textDirection w:val="lrTb"/>
            <w:noWrap w:val="false"/>
          </w:tcPr>
          <w:p>
            <w:pPr>
              <w:jc w:val="center"/>
              <w:pageBreakBefore w:val="0"/>
              <w:spacing w:beforeAutospacing="0" w:afterAutospacing="0" w:line="400" w:lineRule="exact"/>
              <w:rPr>
                <w:rFonts w:ascii="宋体" w:hAnsi="宋体"/>
                <w:sz w:val="24"/>
                <w:szCs w:val="24"/>
              </w:rPr>
            </w:pPr>
            <w:r>
              <w:rPr>
                <w:rFonts w:hint="eastAsia" w:ascii="宋体" w:hAnsi="宋体"/>
                <w:sz w:val="24"/>
                <w:szCs w:val="24"/>
              </w:rPr>
              <w:t xml:space="preserve">/</w:t>
            </w:r>
            <w:r/>
          </w:p>
        </w:tc>
      </w:tr>
      <w:tr>
        <w:trPr/>
        <w:tc>
          <w:tcPr>
            <w:tcW w:w="1148" w:type="dxa"/>
            <w:vAlign w:val="top"/>
            <w:textDirection w:val="lrTb"/>
            <w:noWrap w:val="false"/>
          </w:tcPr>
          <w:p>
            <w:pPr>
              <w:jc w:val="center"/>
              <w:pageBreakBefore w:val="0"/>
              <w:spacing w:beforeAutospacing="0" w:afterAutospacing="0" w:line="400" w:lineRule="exact"/>
              <w:rPr>
                <w:rFonts w:hint="eastAsia" w:ascii="宋体" w:hAnsi="宋体" w:eastAsia="宋体"/>
                <w:sz w:val="24"/>
                <w:szCs w:val="24"/>
                <w:lang w:val="en-US" w:eastAsia="zh-CN"/>
              </w:rPr>
            </w:pPr>
            <w:r>
              <w:rPr>
                <w:rFonts w:hint="eastAsia" w:ascii="宋体" w:hAnsi="宋体"/>
                <w:sz w:val="24"/>
                <w:szCs w:val="24"/>
                <w:lang w:val="en-US" w:eastAsia="zh-CN"/>
              </w:rPr>
              <w:t xml:space="preserve">4</w:t>
            </w:r>
            <w:r/>
          </w:p>
        </w:tc>
        <w:tc>
          <w:tcPr>
            <w:tcW w:w="2968" w:type="dxa"/>
            <w:vAlign w:val="top"/>
            <w:textDirection w:val="lrTb"/>
            <w:noWrap w:val="false"/>
          </w:tcPr>
          <w:p>
            <w:pPr>
              <w:jc w:val="center"/>
              <w:pageBreakBefore w:val="0"/>
              <w:spacing w:beforeAutospacing="0" w:afterAutospacing="0" w:line="400" w:lineRule="exact"/>
              <w:rPr>
                <w:rFonts w:ascii="宋体" w:hAnsi="宋体"/>
                <w:sz w:val="24"/>
                <w:szCs w:val="24"/>
              </w:rPr>
            </w:pPr>
            <w:r>
              <w:rPr>
                <w:rFonts w:hint="eastAsia" w:ascii="宋体" w:hAnsi="宋体"/>
                <w:sz w:val="24"/>
                <w:szCs w:val="24"/>
              </w:rPr>
              <w:t xml:space="preserve">否</w:t>
            </w:r>
            <w:r/>
          </w:p>
        </w:tc>
        <w:tc>
          <w:tcPr>
            <w:tcW w:w="2967" w:type="dxa"/>
            <w:vAlign w:val="top"/>
            <w:textDirection w:val="lrTb"/>
            <w:noWrap w:val="false"/>
          </w:tcPr>
          <w:p>
            <w:pPr>
              <w:jc w:val="center"/>
              <w:pageBreakBefore w:val="0"/>
              <w:spacing w:beforeAutospacing="0" w:afterAutospacing="0" w:line="400" w:lineRule="exact"/>
              <w:rPr>
                <w:rFonts w:ascii="宋体" w:hAnsi="宋体"/>
                <w:sz w:val="24"/>
                <w:szCs w:val="24"/>
              </w:rPr>
            </w:pPr>
            <w:r>
              <w:rPr>
                <w:rFonts w:hint="eastAsia" w:ascii="宋体" w:hAnsi="宋体"/>
                <w:sz w:val="24"/>
                <w:szCs w:val="24"/>
              </w:rPr>
              <w:t xml:space="preserve">/</w:t>
            </w:r>
            <w:r/>
          </w:p>
        </w:tc>
      </w:tr>
    </w:tbl>
    <w:p>
      <w:pPr>
        <w:ind w:firstLine="560"/>
        <w:pageBreakBefore w:val="0"/>
        <w:spacing w:beforeAutospacing="0" w:afterAutospacing="0" w:line="400" w:lineRule="exact"/>
        <w:rPr>
          <w:rFonts w:ascii="宋体" w:hAnsi="宋体"/>
          <w:color w:val="000000"/>
          <w:sz w:val="28"/>
          <w:szCs w:val="28"/>
          <w:highlight w:val="none"/>
        </w:rPr>
      </w:pPr>
      <w:r>
        <w:rPr>
          <w:rFonts w:hint="eastAsia" w:ascii="宋体" w:hAnsi="宋体"/>
          <w:color w:val="000000"/>
          <w:sz w:val="28"/>
          <w:szCs w:val="28"/>
          <w:highlight w:val="none"/>
        </w:rPr>
        <w:t xml:space="preserve">（二）本项目的特定资格要求</w:t>
      </w:r>
      <w:r/>
    </w:p>
    <w:tbl>
      <w:tblPr>
        <w:tblStyle w:val="719"/>
        <w:tblW w:w="7069"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jc w:val="center"/>
              <w:pageBreakBefore w:val="0"/>
              <w:spacing w:beforeAutospacing="0" w:afterAutospacing="0" w:line="400" w:lineRule="exact"/>
              <w:rPr>
                <w:rFonts w:ascii="宋体" w:hAnsi="宋体"/>
                <w:sz w:val="24"/>
                <w:szCs w:val="24"/>
                <w:highlight w:val="none"/>
              </w:rPr>
            </w:pPr>
            <w:r>
              <w:rPr>
                <w:rFonts w:hint="eastAsia" w:ascii="宋体" w:hAnsi="宋体"/>
                <w:sz w:val="24"/>
                <w:szCs w:val="24"/>
                <w:highlight w:val="none"/>
              </w:rPr>
              <w:t xml:space="preserve">采购</w:t>
            </w:r>
            <w:r/>
          </w:p>
          <w:p>
            <w:pPr>
              <w:jc w:val="center"/>
              <w:pageBreakBefore w:val="0"/>
              <w:spacing w:beforeAutospacing="0" w:afterAutospacing="0" w:line="400" w:lineRule="exact"/>
              <w:rPr>
                <w:rFonts w:hint="eastAsia" w:ascii="宋体" w:hAnsi="宋体"/>
                <w:sz w:val="24"/>
                <w:szCs w:val="24"/>
                <w:highlight w:val="none"/>
              </w:rPr>
            </w:pPr>
            <w:r>
              <w:rPr>
                <w:rFonts w:hint="eastAsia" w:ascii="宋体" w:hAnsi="宋体"/>
                <w:sz w:val="24"/>
                <w:szCs w:val="24"/>
                <w:highlight w:val="none"/>
              </w:rPr>
              <w:t xml:space="preserve">包号</w:t>
            </w:r>
            <w:r/>
          </w:p>
        </w:tc>
        <w:tc>
          <w:tcPr>
            <w:tcW w:w="5921" w:type="dxa"/>
            <w:vAlign w:val="top"/>
            <w:textDirection w:val="lrTb"/>
            <w:noWrap w:val="false"/>
          </w:tcPr>
          <w:p>
            <w:pPr>
              <w:jc w:val="center"/>
              <w:pageBreakBefore w:val="0"/>
              <w:spacing w:beforeAutospacing="0" w:afterAutospacing="0" w:line="400" w:lineRule="exact"/>
              <w:rPr>
                <w:rFonts w:hint="eastAsia" w:ascii="宋体" w:hAnsi="宋体"/>
                <w:sz w:val="24"/>
                <w:szCs w:val="24"/>
                <w:highlight w:val="none"/>
              </w:rPr>
            </w:pPr>
            <w:r>
              <w:rPr>
                <w:rFonts w:hint="eastAsia" w:ascii="宋体" w:hAnsi="宋体"/>
                <w:sz w:val="24"/>
                <w:szCs w:val="24"/>
                <w:highlight w:val="none"/>
              </w:rPr>
              <w:t xml:space="preserve">特定</w:t>
            </w:r>
            <w:r>
              <w:rPr>
                <w:rFonts w:ascii="宋体" w:hAnsi="宋体"/>
                <w:sz w:val="24"/>
                <w:szCs w:val="24"/>
                <w:highlight w:val="none"/>
              </w:rPr>
              <w:t xml:space="preserve">资格要求</w:t>
            </w:r>
            <w:r/>
          </w:p>
        </w:tc>
      </w:tr>
      <w:tr>
        <w:trPr/>
        <w:tc>
          <w:tcPr>
            <w:tcW w:w="1148" w:type="dxa"/>
            <w:vAlign w:val="top"/>
            <w:textDirection w:val="lrTb"/>
            <w:noWrap w:val="false"/>
          </w:tcPr>
          <w:p>
            <w:pPr>
              <w:jc w:val="center"/>
              <w:pageBreakBefore w:val="0"/>
              <w:spacing w:beforeAutospacing="0" w:afterAutospacing="0" w:line="400" w:lineRule="exact"/>
              <w:rPr>
                <w:rFonts w:ascii="宋体" w:hAnsi="宋体"/>
                <w:sz w:val="24"/>
                <w:szCs w:val="24"/>
                <w:highlight w:val="none"/>
              </w:rPr>
            </w:pPr>
            <w:r>
              <w:rPr>
                <w:rFonts w:hint="eastAsia" w:ascii="宋体" w:hAnsi="宋体"/>
                <w:sz w:val="24"/>
                <w:szCs w:val="24"/>
                <w:highlight w:val="none"/>
              </w:rPr>
              <w:t xml:space="preserve">1</w:t>
            </w:r>
            <w:r/>
          </w:p>
        </w:tc>
        <w:tc>
          <w:tcPr>
            <w:tcW w:w="5921" w:type="dxa"/>
            <w:vAlign w:val="top"/>
            <w:textDirection w:val="lrTb"/>
            <w:noWrap w:val="false"/>
          </w:tcPr>
          <w:p>
            <w:pPr>
              <w:jc w:val="center"/>
              <w:pageBreakBefore w:val="0"/>
              <w:spacing w:beforeAutospacing="0" w:afterAutospacing="0" w:line="400" w:lineRule="exact"/>
              <w:rPr>
                <w:rFonts w:hint="eastAsia" w:ascii="宋体" w:hAnsi="宋体" w:eastAsia="宋体"/>
                <w:sz w:val="24"/>
                <w:szCs w:val="24"/>
                <w:highlight w:val="none"/>
                <w:lang w:eastAsia="zh-CN"/>
              </w:rPr>
            </w:pPr>
            <w:r>
              <w:rPr>
                <w:rFonts w:hint="eastAsia" w:ascii="宋体" w:hAnsi="宋体"/>
                <w:sz w:val="24"/>
                <w:szCs w:val="24"/>
                <w:highlight w:val="none"/>
              </w:rPr>
              <w:t xml:space="preserve">/</w:t>
            </w:r>
            <w:r/>
          </w:p>
        </w:tc>
      </w:tr>
      <w:tr>
        <w:trPr/>
        <w:tc>
          <w:tcPr>
            <w:tcW w:w="1148" w:type="dxa"/>
            <w:vAlign w:val="top"/>
            <w:textDirection w:val="lrTb"/>
            <w:noWrap w:val="false"/>
          </w:tcPr>
          <w:p>
            <w:pPr>
              <w:jc w:val="center"/>
              <w:pageBreakBefore w:val="0"/>
              <w:spacing w:beforeAutospacing="0" w:afterAutospacing="0" w:line="400" w:lineRule="exact"/>
              <w:rPr>
                <w:rFonts w:ascii="宋体" w:hAnsi="宋体"/>
                <w:sz w:val="24"/>
                <w:szCs w:val="24"/>
                <w:highlight w:val="none"/>
              </w:rPr>
            </w:pPr>
            <w:r>
              <w:rPr>
                <w:rFonts w:hint="eastAsia" w:ascii="宋体" w:hAnsi="宋体"/>
                <w:sz w:val="24"/>
                <w:szCs w:val="24"/>
                <w:highlight w:val="none"/>
              </w:rPr>
              <w:t xml:space="preserve">2</w:t>
            </w:r>
            <w:r/>
          </w:p>
        </w:tc>
        <w:tc>
          <w:tcPr>
            <w:tcW w:w="5921" w:type="dxa"/>
            <w:vAlign w:val="top"/>
            <w:textDirection w:val="lrTb"/>
            <w:noWrap w:val="false"/>
          </w:tcPr>
          <w:p>
            <w:pPr>
              <w:jc w:val="center"/>
              <w:pageBreakBefore w:val="0"/>
              <w:spacing w:beforeAutospacing="0" w:afterAutospacing="0" w:line="400" w:lineRule="exact"/>
              <w:rPr>
                <w:rFonts w:hint="eastAsia" w:ascii="宋体" w:hAnsi="宋体"/>
                <w:sz w:val="24"/>
                <w:szCs w:val="24"/>
                <w:highlight w:val="none"/>
              </w:rPr>
            </w:pPr>
            <w:r>
              <w:rPr>
                <w:rFonts w:hint="eastAsia" w:ascii="宋体" w:hAnsi="宋体"/>
                <w:sz w:val="24"/>
                <w:szCs w:val="24"/>
                <w:highlight w:val="none"/>
              </w:rPr>
              <w:t xml:space="preserve">/</w:t>
            </w:r>
            <w:r/>
          </w:p>
        </w:tc>
      </w:tr>
      <w:tr>
        <w:trPr/>
        <w:tc>
          <w:tcPr>
            <w:tcW w:w="1148" w:type="dxa"/>
            <w:vAlign w:val="top"/>
            <w:textDirection w:val="lrTb"/>
            <w:noWrap w:val="false"/>
          </w:tcPr>
          <w:p>
            <w:pPr>
              <w:jc w:val="center"/>
              <w:pageBreakBefore w:val="0"/>
              <w:spacing w:beforeAutospacing="0" w:afterAutospacing="0" w:line="400" w:lineRule="exact"/>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3</w:t>
            </w:r>
            <w:r/>
          </w:p>
        </w:tc>
        <w:tc>
          <w:tcPr>
            <w:tcW w:w="5921" w:type="dxa"/>
            <w:vAlign w:val="top"/>
            <w:textDirection w:val="lrTb"/>
            <w:noWrap w:val="false"/>
          </w:tcPr>
          <w:p>
            <w:pPr>
              <w:jc w:val="center"/>
              <w:pageBreakBefore w:val="0"/>
              <w:spacing w:beforeAutospacing="0" w:afterAutospacing="0" w:line="400" w:lineRule="exact"/>
              <w:rPr>
                <w:rFonts w:ascii="宋体" w:hAnsi="宋体"/>
                <w:sz w:val="24"/>
                <w:szCs w:val="24"/>
                <w:highlight w:val="none"/>
              </w:rPr>
            </w:pPr>
            <w:r>
              <w:rPr>
                <w:rFonts w:hint="eastAsia" w:ascii="宋体" w:hAnsi="宋体"/>
                <w:sz w:val="24"/>
                <w:szCs w:val="24"/>
                <w:highlight w:val="none"/>
              </w:rPr>
              <w:t xml:space="preserve">/</w:t>
            </w:r>
            <w:r/>
          </w:p>
        </w:tc>
      </w:tr>
      <w:tr>
        <w:trPr/>
        <w:tc>
          <w:tcPr>
            <w:tcW w:w="1148" w:type="dxa"/>
            <w:vAlign w:val="top"/>
            <w:textDirection w:val="lrTb"/>
            <w:noWrap w:val="false"/>
          </w:tcPr>
          <w:p>
            <w:pPr>
              <w:jc w:val="center"/>
              <w:pageBreakBefore w:val="0"/>
              <w:spacing w:beforeAutospacing="0" w:afterAutospacing="0" w:line="400" w:lineRule="exac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4</w:t>
            </w:r>
            <w:r/>
          </w:p>
        </w:tc>
        <w:tc>
          <w:tcPr>
            <w:tcW w:w="5921" w:type="dxa"/>
            <w:vAlign w:val="top"/>
            <w:textDirection w:val="lrTb"/>
            <w:noWrap w:val="false"/>
          </w:tcPr>
          <w:p>
            <w:pPr>
              <w:jc w:val="center"/>
              <w:pageBreakBefore w:val="0"/>
              <w:spacing w:beforeAutospacing="0" w:afterAutospacing="0" w:line="400" w:lineRule="exact"/>
              <w:rPr>
                <w:rFonts w:ascii="宋体" w:hAnsi="宋体"/>
                <w:sz w:val="24"/>
                <w:szCs w:val="24"/>
                <w:highlight w:val="none"/>
              </w:rPr>
            </w:pPr>
            <w:r>
              <w:rPr>
                <w:rFonts w:hint="eastAsia" w:ascii="宋体" w:hAnsi="宋体"/>
                <w:sz w:val="24"/>
                <w:szCs w:val="24"/>
                <w:highlight w:val="none"/>
              </w:rPr>
              <w:t xml:space="preserve">/</w:t>
            </w:r>
            <w:r/>
          </w:p>
        </w:tc>
      </w:tr>
    </w:tbl>
    <w:p>
      <w:pPr>
        <w:ind w:firstLine="496"/>
        <w:keepLines/>
        <w:keepNext/>
        <w:pageBreakBefore w:val="0"/>
        <w:spacing w:beforeAutospacing="0" w:afterAutospacing="0" w:line="360" w:lineRule="auto"/>
        <w:rPr>
          <w:rFonts w:ascii="Times New Roman" w:hAnsi="Times New Roman"/>
          <w:b/>
          <w:bCs/>
          <w:color w:val="000000"/>
          <w:sz w:val="32"/>
          <w:szCs w:val="32"/>
          <w:highlight w:val="none"/>
        </w:rPr>
        <w:outlineLvl w:val="2"/>
      </w:pPr>
      <w:r>
        <w:rPr>
          <w:rFonts w:hint="eastAsia" w:ascii="Times New Roman" w:hAnsi="Times New Roman"/>
          <w:b/>
          <w:bCs/>
          <w:color w:val="000000"/>
          <w:sz w:val="32"/>
          <w:szCs w:val="32"/>
          <w:highlight w:val="none"/>
        </w:rPr>
        <w:t xml:space="preserve">三、获取招标文件</w:t>
      </w:r>
      <w:r/>
    </w:p>
    <w:p>
      <w:pPr>
        <w:ind w:firstLine="540"/>
        <w:pageBreakBefore w:val="0"/>
        <w:spacing w:beforeAutospacing="0" w:afterAutospacing="0"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pageBreakBefore w:val="0"/>
        <w:spacing w:beforeAutospacing="0" w:afterAutospacing="0"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bookmarkEnd w:id="17"/>
      <w:r/>
      <w:bookmarkEnd w:id="18"/>
      <w:r/>
      <w:bookmarkEnd w:id="19"/>
      <w:r/>
      <w:bookmarkEnd w:id="20"/>
      <w:r/>
      <w:bookmarkEnd w:id="21"/>
      <w:r/>
      <w:r/>
    </w:p>
    <w:p>
      <w:pPr>
        <w:ind w:firstLine="496"/>
        <w:keepLines/>
        <w:keepNext/>
        <w:pageBreakBefore w:val="0"/>
        <w:spacing w:beforeAutospacing="0" w:afterAutospacing="0" w:line="400" w:lineRule="exact"/>
        <w:rPr>
          <w:rFonts w:ascii="Times New Roman" w:hAnsi="Times New Roman"/>
          <w:b/>
          <w:bCs/>
          <w:color w:val="000000"/>
          <w:sz w:val="32"/>
          <w:szCs w:val="32"/>
        </w:rPr>
        <w:outlineLvl w:val="2"/>
      </w:pPr>
      <w:r/>
      <w:bookmarkStart w:id="22" w:name="_Toc28359005"/>
      <w:r/>
      <w:bookmarkStart w:id="23" w:name="_Toc28359082"/>
      <w:r/>
      <w:bookmarkStart w:id="24" w:name="_Toc35393793"/>
      <w:r/>
      <w:bookmarkStart w:id="25" w:name="_Toc35393624"/>
      <w:r/>
      <w:bookmarkStart w:id="26" w:name="_Toc38985266"/>
      <w:r>
        <w:rPr>
          <w:rFonts w:hint="eastAsia" w:ascii="Times New Roman" w:hAnsi="Times New Roman"/>
          <w:b/>
          <w:bCs/>
          <w:color w:val="000000"/>
          <w:sz w:val="32"/>
          <w:szCs w:val="32"/>
        </w:rPr>
        <w:t xml:space="preserve">四、提交投标文件</w:t>
      </w:r>
      <w:bookmarkEnd w:id="22"/>
      <w:r/>
      <w:bookmarkEnd w:id="23"/>
      <w:r>
        <w:rPr>
          <w:rFonts w:hint="eastAsia" w:ascii="Times New Roman" w:hAnsi="Times New Roman"/>
          <w:b/>
          <w:bCs/>
          <w:color w:val="000000"/>
          <w:sz w:val="32"/>
          <w:szCs w:val="32"/>
        </w:rPr>
        <w:t xml:space="preserve">截止时间、开标时间和地点</w:t>
      </w:r>
      <w:bookmarkEnd w:id="24"/>
      <w:r/>
      <w:bookmarkEnd w:id="25"/>
      <w:r/>
      <w:bookmarkEnd w:id="26"/>
      <w:r/>
      <w:r/>
    </w:p>
    <w:p>
      <w:pPr>
        <w:ind w:firstLine="480"/>
        <w:pageBreakBefore w:val="0"/>
        <w:spacing w:beforeAutospacing="0" w:afterAutospacing="0" w:line="400" w:lineRule="exact"/>
        <w:rPr>
          <w:rFonts w:hint="eastAsia" w:ascii="宋体" w:hAnsi="宋体"/>
          <w:bCs/>
          <w:color w:val="000000"/>
          <w:sz w:val="24"/>
          <w:szCs w:val="24"/>
        </w:rPr>
      </w:pPr>
      <w:r>
        <w:rPr>
          <w:rFonts w:hint="eastAsia" w:ascii="宋体" w:hAnsi="宋体"/>
          <w:bCs/>
          <w:color w:val="000000"/>
          <w:sz w:val="24"/>
          <w:szCs w:val="24"/>
        </w:rPr>
        <w:t xml:space="preserve">1.</w:t>
      </w:r>
      <w:r>
        <w:rPr>
          <w:rFonts w:hint="eastAsia" w:ascii="宋体" w:hAnsi="宋体"/>
          <w:bCs/>
          <w:color w:val="000000"/>
          <w:sz w:val="24"/>
          <w:szCs w:val="24"/>
          <w:u w:val="single"/>
        </w:rPr>
        <w:t xml:space="preserve"> 2026 </w:t>
      </w:r>
      <w:r>
        <w:rPr>
          <w:rFonts w:hint="eastAsia" w:ascii="宋体" w:hAnsi="宋体"/>
          <w:bCs/>
          <w:color w:val="000000"/>
          <w:sz w:val="24"/>
          <w:szCs w:val="24"/>
        </w:rPr>
        <w:t xml:space="preserve">年</w:t>
      </w:r>
      <w:r>
        <w:rPr>
          <w:rFonts w:hint="eastAsia" w:ascii="宋体" w:hAnsi="宋体"/>
          <w:bCs/>
          <w:color w:val="000000"/>
          <w:sz w:val="24"/>
          <w:szCs w:val="24"/>
          <w:u w:val="single"/>
        </w:rPr>
        <w:t xml:space="preserve">7 </w:t>
      </w:r>
      <w:r>
        <w:rPr>
          <w:rFonts w:hint="eastAsia" w:ascii="宋体" w:hAnsi="宋体"/>
          <w:bCs/>
          <w:color w:val="000000"/>
          <w:sz w:val="24"/>
          <w:szCs w:val="24"/>
        </w:rPr>
        <w:t xml:space="preserve">月</w:t>
      </w:r>
      <w:r>
        <w:rPr>
          <w:rFonts w:hint="eastAsia" w:ascii="宋体" w:hAnsi="宋体"/>
          <w:bCs/>
          <w:color w:val="000000"/>
          <w:sz w:val="24"/>
          <w:szCs w:val="24"/>
          <w:u w:val="single"/>
          <w:lang w:val="en-US" w:eastAsia="zh-CN"/>
        </w:rPr>
        <w:t xml:space="preserve">  22 </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日</w:t>
      </w:r>
      <w:r>
        <w:rPr>
          <w:rFonts w:hint="eastAsia" w:ascii="宋体" w:hAnsi="宋体"/>
          <w:bCs/>
          <w:color w:val="000000"/>
          <w:sz w:val="24"/>
          <w:szCs w:val="24"/>
          <w:u w:val="single"/>
        </w:rPr>
        <w:t xml:space="preserve"> 9 </w:t>
      </w:r>
      <w:r>
        <w:rPr>
          <w:rFonts w:hint="eastAsia" w:ascii="宋体" w:hAnsi="宋体"/>
          <w:bCs/>
          <w:color w:val="000000"/>
          <w:sz w:val="24"/>
          <w:szCs w:val="24"/>
        </w:rPr>
        <w:t xml:space="preserve">点</w:t>
      </w:r>
      <w:r>
        <w:rPr>
          <w:rFonts w:hint="eastAsia" w:ascii="宋体" w:hAnsi="宋体"/>
          <w:bCs/>
          <w:color w:val="000000"/>
          <w:sz w:val="24"/>
          <w:szCs w:val="24"/>
          <w:u w:val="single"/>
        </w:rPr>
        <w:t xml:space="preserve"> 30 </w:t>
      </w:r>
      <w:r>
        <w:rPr>
          <w:rFonts w:hint="eastAsia" w:ascii="宋体" w:hAnsi="宋体"/>
          <w:bCs/>
          <w:color w:val="000000"/>
          <w:sz w:val="24"/>
          <w:szCs w:val="24"/>
        </w:rPr>
        <w:t xml:space="preserve">分（北京时间）。</w:t>
      </w:r>
      <w:r/>
    </w:p>
    <w:p>
      <w:pPr>
        <w:ind w:firstLine="480"/>
        <w:pageBreakBefore w:val="0"/>
        <w:spacing w:beforeAutospacing="0" w:afterAutospacing="0" w:line="400" w:lineRule="exact"/>
        <w:rPr>
          <w:rFonts w:ascii="宋体" w:hAnsi="宋体"/>
          <w:sz w:val="24"/>
          <w:szCs w:val="24"/>
        </w:rPr>
      </w:pPr>
      <w:r>
        <w:rPr>
          <w:rFonts w:hint="eastAsia" w:ascii="宋体" w:hAnsi="宋体"/>
          <w:sz w:val="24"/>
          <w:szCs w:val="24"/>
        </w:rPr>
        <w:t xml:space="preserve">2.地点：“苏采云”政府采购交易系统。</w:t>
      </w:r>
      <w:r/>
    </w:p>
    <w:p>
      <w:pPr>
        <w:ind w:firstLine="496"/>
        <w:keepLines/>
        <w:keepNext/>
        <w:pageBreakBefore w:val="0"/>
        <w:spacing w:beforeAutospacing="0" w:afterAutospacing="0" w:line="360" w:lineRule="auto"/>
        <w:rPr>
          <w:rFonts w:ascii="Times New Roman" w:hAnsi="Times New Roman"/>
          <w:b/>
          <w:bCs/>
          <w:color w:val="000000"/>
          <w:sz w:val="32"/>
          <w:szCs w:val="32"/>
        </w:rPr>
        <w:outlineLvl w:val="2"/>
      </w:pPr>
      <w:r/>
      <w:bookmarkStart w:id="27" w:name="_Toc28359084"/>
      <w:r/>
      <w:bookmarkStart w:id="28" w:name="_Toc35393794"/>
      <w:r/>
      <w:bookmarkStart w:id="29" w:name="_Toc38985267"/>
      <w:r/>
      <w:bookmarkStart w:id="30" w:name="_Toc28359007"/>
      <w:r/>
      <w:bookmarkStart w:id="31" w:name="_Toc35393625"/>
      <w:r>
        <w:rPr>
          <w:rFonts w:hint="eastAsia" w:ascii="Times New Roman" w:hAnsi="Times New Roman"/>
          <w:b/>
          <w:bCs/>
          <w:color w:val="000000"/>
          <w:sz w:val="32"/>
          <w:szCs w:val="32"/>
        </w:rPr>
        <w:t xml:space="preserve">五、公告期限</w:t>
      </w:r>
      <w:bookmarkEnd w:id="27"/>
      <w:r/>
      <w:bookmarkEnd w:id="28"/>
      <w:r/>
      <w:bookmarkEnd w:id="29"/>
      <w:r/>
      <w:bookmarkEnd w:id="30"/>
      <w:r/>
      <w:bookmarkEnd w:id="31"/>
      <w:r/>
      <w:r/>
    </w:p>
    <w:p>
      <w:pPr>
        <w:ind w:firstLine="480"/>
        <w:pageBreakBefore w:val="0"/>
        <w:spacing w:beforeAutospacing="0" w:afterAutospacing="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ind w:firstLine="496"/>
        <w:keepLines/>
        <w:keepNext/>
        <w:pageBreakBefore w:val="0"/>
        <w:spacing w:beforeAutospacing="0" w:afterAutospacing="0" w:line="400" w:lineRule="exact"/>
        <w:rPr>
          <w:rFonts w:ascii="Times New Roman" w:hAnsi="Times New Roman"/>
          <w:b/>
          <w:bCs/>
          <w:color w:val="000000"/>
          <w:sz w:val="32"/>
          <w:szCs w:val="32"/>
        </w:rPr>
        <w:outlineLvl w:val="2"/>
      </w:pPr>
      <w:r/>
      <w:bookmarkStart w:id="32" w:name="_Toc35393626"/>
      <w:r/>
      <w:bookmarkStart w:id="33" w:name="_Toc35393795"/>
      <w:r/>
      <w:bookmarkStart w:id="34" w:name="_Toc38985268"/>
      <w:r>
        <w:rPr>
          <w:rFonts w:hint="eastAsia" w:ascii="Times New Roman" w:hAnsi="Times New Roman"/>
          <w:b/>
          <w:bCs/>
          <w:color w:val="000000"/>
          <w:sz w:val="32"/>
          <w:szCs w:val="32"/>
        </w:rPr>
        <w:t xml:space="preserve">六、其他补充事宜</w:t>
      </w:r>
      <w:bookmarkEnd w:id="32"/>
      <w:r/>
      <w:bookmarkEnd w:id="33"/>
      <w:r/>
      <w:bookmarkEnd w:id="34"/>
      <w:r/>
      <w:r/>
    </w:p>
    <w:p>
      <w:pPr>
        <w:ind w:firstLine="480"/>
        <w:pageBreakBefore w:val="0"/>
        <w:spacing w:beforeAutospacing="0" w:afterAutospacing="0" w:line="400" w:lineRule="exact"/>
        <w:rPr>
          <w:rFonts w:ascii="宋体" w:hAnsi="宋体" w:cs="宋体"/>
          <w:color w:val="000000"/>
          <w:sz w:val="24"/>
          <w:szCs w:val="24"/>
        </w:rPr>
      </w:pPr>
      <w:r>
        <w:rPr>
          <w:rFonts w:hint="eastAsia" w:ascii="宋体" w:hAnsi="宋体" w:cs="宋体"/>
          <w:color w:val="000000"/>
          <w:sz w:val="24"/>
          <w:szCs w:val="24"/>
        </w:rPr>
        <w:t xml:space="preserve">无</w:t>
      </w:r>
      <w:r/>
    </w:p>
    <w:p>
      <w:pPr>
        <w:ind w:firstLine="496"/>
        <w:keepLines/>
        <w:keepNext/>
        <w:pageBreakBefore w:val="0"/>
        <w:spacing w:beforeAutospacing="0" w:afterAutospacing="0" w:line="400" w:lineRule="exact"/>
        <w:rPr>
          <w:rFonts w:ascii="Times New Roman" w:hAnsi="Times New Roman"/>
          <w:b/>
          <w:bCs/>
          <w:color w:val="000000"/>
          <w:sz w:val="32"/>
          <w:szCs w:val="32"/>
        </w:rPr>
        <w:outlineLvl w:val="2"/>
      </w:pPr>
      <w:r/>
      <w:bookmarkStart w:id="35" w:name="_Toc35393796"/>
      <w:r/>
      <w:bookmarkStart w:id="36" w:name="_Toc35393627"/>
      <w:r/>
      <w:bookmarkStart w:id="37" w:name="_Toc38985269"/>
      <w:r/>
      <w:bookmarkStart w:id="38" w:name="_Toc28359085"/>
      <w:r/>
      <w:bookmarkStart w:id="39" w:name="_Toc28359008"/>
      <w:r>
        <w:rPr>
          <w:rFonts w:hint="eastAsia" w:ascii="Times New Roman" w:hAnsi="Times New Roman"/>
          <w:b/>
          <w:bCs/>
          <w:color w:val="000000"/>
          <w:sz w:val="32"/>
          <w:szCs w:val="32"/>
        </w:rPr>
        <w:t xml:space="preserve">七、本次招标联系方式</w:t>
      </w:r>
      <w:bookmarkEnd w:id="35"/>
      <w:r/>
      <w:bookmarkEnd w:id="36"/>
      <w:r/>
      <w:bookmarkEnd w:id="37"/>
      <w:r/>
      <w:bookmarkEnd w:id="38"/>
      <w:r/>
      <w:bookmarkEnd w:id="39"/>
      <w:r/>
      <w:r/>
    </w:p>
    <w:p>
      <w:pPr>
        <w:jc w:val="left"/>
        <w:pageBreakBefore w:val="0"/>
        <w:spacing w:beforeAutospacing="0" w:afterAutospacing="0" w:line="400" w:lineRule="exact"/>
        <w:widowControl/>
        <w:rPr>
          <w:rFonts w:ascii="宋体" w:hAnsi="宋体"/>
          <w:color w:val="000000"/>
          <w:sz w:val="24"/>
          <w:szCs w:val="24"/>
          <w:highlight w:val="none"/>
        </w:rPr>
      </w:pPr>
      <w:r>
        <w:rPr>
          <w:rFonts w:hint="eastAsia" w:ascii="仿宋" w:hAnsi="仿宋" w:eastAsia="仿宋" w:cs="宋体"/>
          <w:color w:val="000000"/>
          <w:sz w:val="28"/>
          <w:szCs w:val="28"/>
        </w:rPr>
        <w:t xml:space="preserve">　　</w:t>
      </w:r>
      <w:r>
        <w:rPr>
          <w:rFonts w:hint="eastAsia" w:ascii="宋体" w:hAnsi="宋体" w:cs="宋体"/>
          <w:color w:val="000000"/>
          <w:sz w:val="24"/>
          <w:szCs w:val="24"/>
          <w:highlight w:val="none"/>
        </w:rPr>
        <w:t xml:space="preserve">1.采购人信息</w:t>
      </w:r>
      <w:r/>
    </w:p>
    <w:p>
      <w:pPr>
        <w:ind w:firstLine="480"/>
        <w:jc w:val="left"/>
        <w:pageBreakBefore w:val="0"/>
        <w:spacing w:beforeAutospacing="0" w:afterAutospacing="0" w:line="400" w:lineRule="exact"/>
        <w:rPr>
          <w:rFonts w:ascii="宋体" w:hAnsi="宋体"/>
          <w:color w:val="000000"/>
          <w:sz w:val="24"/>
          <w:szCs w:val="24"/>
          <w:highlight w:val="none"/>
        </w:rPr>
      </w:pPr>
      <w:r>
        <w:rPr>
          <w:rFonts w:hint="eastAsia" w:ascii="宋体" w:hAnsi="宋体"/>
          <w:color w:val="000000"/>
          <w:sz w:val="24"/>
          <w:szCs w:val="24"/>
          <w:highlight w:val="none"/>
        </w:rPr>
        <w:t xml:space="preserve">名 称：</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江苏省消防救援总队</w:t>
      </w:r>
      <w:r>
        <w:rPr>
          <w:rFonts w:hint="eastAsia" w:ascii="宋体" w:hAnsi="宋体"/>
          <w:color w:val="000000"/>
          <w:sz w:val="24"/>
          <w:szCs w:val="24"/>
          <w:highlight w:val="none"/>
          <w:u w:val="single"/>
        </w:rPr>
        <w:t xml:space="preserve">　</w:t>
      </w:r>
      <w:r/>
    </w:p>
    <w:p>
      <w:pPr>
        <w:ind w:firstLine="480"/>
        <w:jc w:val="left"/>
        <w:pageBreakBefore w:val="0"/>
        <w:spacing w:beforeAutospacing="0" w:afterAutospacing="0" w:line="400" w:lineRule="exact"/>
        <w:rPr>
          <w:rFonts w:ascii="宋体" w:hAnsi="宋体"/>
          <w:color w:val="000000"/>
          <w:sz w:val="24"/>
          <w:szCs w:val="24"/>
          <w:highlight w:val="none"/>
        </w:rPr>
      </w:pPr>
      <w:r>
        <w:rPr>
          <w:rFonts w:hint="eastAsia" w:ascii="宋体" w:hAnsi="宋体"/>
          <w:color w:val="000000"/>
          <w:sz w:val="24"/>
          <w:szCs w:val="24"/>
          <w:highlight w:val="none"/>
        </w:rPr>
        <w:t xml:space="preserve">地 址：</w:t>
      </w:r>
      <w:r>
        <w:rPr>
          <w:rFonts w:hint="eastAsia" w:ascii="宋体" w:hAnsi="宋体"/>
          <w:color w:val="000000"/>
          <w:sz w:val="24"/>
          <w:szCs w:val="24"/>
          <w:highlight w:val="none"/>
          <w:u w:val="single"/>
        </w:rPr>
        <w:t xml:space="preserve">　　</w:t>
      </w:r>
      <w:r>
        <w:rPr>
          <w:rFonts w:hint="eastAsia" w:ascii="宋体" w:hAnsi="宋体" w:eastAsia="宋体" w:cs="Times New Roman"/>
          <w:color w:val="000000"/>
          <w:sz w:val="24"/>
          <w:szCs w:val="24"/>
          <w:highlight w:val="none"/>
          <w:u w:val="single"/>
          <w:lang w:val="en-US" w:eastAsia="zh-CN"/>
        </w:rPr>
        <w:t xml:space="preserve">　</w:t>
      </w:r>
      <w:r>
        <w:rPr>
          <w:rFonts w:ascii="宋体" w:hAnsi="宋体" w:eastAsia="宋体" w:cs="Times New Roman"/>
          <w:color w:val="000000"/>
          <w:sz w:val="24"/>
          <w:szCs w:val="24"/>
          <w:highlight w:val="none"/>
          <w:u w:val="single"/>
          <w:lang w:val="en-US" w:eastAsia="zh-CN"/>
        </w:rPr>
        <w:t xml:space="preserve">南京市鼓楼区月光广场6号</w:t>
      </w:r>
      <w:r>
        <w:rPr>
          <w:rFonts w:hint="eastAsia" w:ascii="宋体" w:hAnsi="宋体" w:eastAsia="宋体" w:cs="Times New Roman"/>
          <w:color w:val="000000"/>
          <w:sz w:val="24"/>
          <w:szCs w:val="24"/>
          <w:highlight w:val="none"/>
          <w:u w:val="single"/>
          <w:lang w:val="en-US" w:eastAsia="zh-CN"/>
        </w:rPr>
        <w:t xml:space="preserve">　　　　</w:t>
      </w:r>
      <w:r>
        <w:rPr>
          <w:rFonts w:hint="eastAsia" w:ascii="宋体" w:hAnsi="宋体"/>
          <w:color w:val="000000"/>
          <w:sz w:val="24"/>
          <w:szCs w:val="24"/>
          <w:highlight w:val="none"/>
          <w:u w:val="single"/>
        </w:rPr>
        <w:t xml:space="preserve">　　　　　</w:t>
      </w:r>
      <w:r/>
    </w:p>
    <w:p>
      <w:pPr>
        <w:ind w:firstLine="480"/>
        <w:jc w:val="left"/>
        <w:pageBreakBefore w:val="0"/>
        <w:spacing w:beforeAutospacing="0" w:afterAutospacing="0" w:line="400" w:lineRule="exact"/>
        <w:rPr>
          <w:rFonts w:hint="eastAsia" w:ascii="宋体" w:hAnsi="宋体" w:eastAsia="宋体" w:cs="Times New Roman"/>
          <w:color w:val="000000"/>
          <w:sz w:val="24"/>
          <w:szCs w:val="24"/>
          <w:highlight w:val="none"/>
          <w:u w:val="single"/>
          <w:lang w:val="en-US" w:eastAsia="zh-CN"/>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u w:val="single"/>
        </w:rPr>
        <w:t xml:space="preserve">     </w:t>
      </w:r>
      <w:r>
        <w:rPr>
          <w:rFonts w:hint="eastAsia" w:ascii="宋体" w:hAnsi="宋体" w:eastAsia="宋体" w:cs="Times New Roman"/>
          <w:color w:val="000000"/>
          <w:sz w:val="24"/>
          <w:szCs w:val="24"/>
          <w:highlight w:val="none"/>
          <w:u w:val="single"/>
          <w:lang w:val="en-US" w:eastAsia="zh-CN"/>
        </w:rPr>
        <w:t xml:space="preserve">周</w:t>
      </w:r>
      <w:r>
        <w:rPr>
          <w:rFonts w:ascii="宋体" w:hAnsi="宋体" w:eastAsia="宋体" w:cs="Times New Roman"/>
          <w:color w:val="000000"/>
          <w:sz w:val="24"/>
          <w:szCs w:val="24"/>
          <w:highlight w:val="none"/>
          <w:u w:val="single"/>
          <w:lang w:val="en-US" w:eastAsia="zh-CN"/>
        </w:rPr>
        <w:t xml:space="preserve">工</w:t>
      </w:r>
      <w:r>
        <w:rPr>
          <w:rFonts w:hint="eastAsia" w:ascii="宋体" w:hAnsi="宋体" w:eastAsia="宋体" w:cs="Times New Roman"/>
          <w:color w:val="000000"/>
          <w:sz w:val="24"/>
          <w:szCs w:val="24"/>
          <w:highlight w:val="none"/>
          <w:u w:val="single"/>
          <w:lang w:val="en-US" w:eastAsia="zh-CN"/>
        </w:rPr>
        <w:t xml:space="preserve">           </w:t>
      </w:r>
      <w:r/>
    </w:p>
    <w:p>
      <w:pPr>
        <w:ind w:firstLine="480"/>
        <w:jc w:val="left"/>
        <w:pageBreakBefore w:val="0"/>
        <w:spacing w:beforeAutospacing="0" w:afterAutospacing="0" w:line="400" w:lineRule="exact"/>
        <w:rPr>
          <w:rFonts w:hint="eastAsia" w:ascii="宋体" w:hAnsi="宋体" w:eastAsia="宋体" w:cs="Times New Roman"/>
          <w:color w:val="000000"/>
          <w:sz w:val="24"/>
          <w:szCs w:val="24"/>
          <w:highlight w:val="none"/>
          <w:u w:val="single"/>
          <w:lang w:val="en-US" w:eastAsia="zh-CN"/>
        </w:rPr>
      </w:pPr>
      <w:r>
        <w:rPr>
          <w:rFonts w:hint="eastAsia" w:ascii="宋体" w:hAnsi="宋体" w:eastAsia="宋体" w:cs="Times New Roman"/>
          <w:color w:val="000000"/>
          <w:sz w:val="24"/>
          <w:szCs w:val="24"/>
          <w:highlight w:val="none"/>
          <w:u w:val="none"/>
          <w:lang w:val="en-US" w:eastAsia="zh-CN"/>
        </w:rPr>
        <w:t xml:space="preserve">联系方式：</w:t>
      </w:r>
      <w:r>
        <w:rPr>
          <w:rFonts w:hint="eastAsia" w:ascii="宋体" w:hAnsi="宋体" w:eastAsia="宋体" w:cs="Times New Roman"/>
          <w:color w:val="000000"/>
          <w:sz w:val="24"/>
          <w:szCs w:val="24"/>
          <w:highlight w:val="none"/>
          <w:u w:val="single"/>
          <w:lang w:val="en-US" w:eastAsia="zh-CN"/>
        </w:rPr>
        <w:t xml:space="preserve">　</w:t>
      </w:r>
      <w:r>
        <w:rPr>
          <w:rFonts w:ascii="宋体" w:hAnsi="宋体" w:eastAsia="宋体" w:cs="Times New Roman"/>
          <w:color w:val="000000"/>
          <w:sz w:val="24"/>
          <w:szCs w:val="24"/>
          <w:highlight w:val="none"/>
          <w:u w:val="single"/>
          <w:lang w:val="en-US" w:eastAsia="zh-CN"/>
        </w:rPr>
        <w:t xml:space="preserve">025-86335357</w:t>
      </w:r>
      <w:r>
        <w:rPr>
          <w:rFonts w:hint="eastAsia" w:ascii="宋体" w:hAnsi="宋体" w:eastAsia="宋体" w:cs="Times New Roman"/>
          <w:color w:val="000000"/>
          <w:sz w:val="24"/>
          <w:szCs w:val="24"/>
          <w:highlight w:val="none"/>
          <w:u w:val="single"/>
          <w:lang w:val="en-US" w:eastAsia="zh-CN"/>
        </w:rPr>
        <w:t xml:space="preserve"> </w:t>
      </w:r>
      <w:bookmarkStart w:id="40" w:name="_Toc28359009"/>
      <w:r/>
      <w:bookmarkStart w:id="41" w:name="_Toc28359086"/>
      <w:r/>
      <w:r/>
    </w:p>
    <w:p>
      <w:pPr>
        <w:ind w:firstLine="480"/>
        <w:jc w:val="left"/>
        <w:pageBreakBefore w:val="0"/>
        <w:spacing w:beforeAutospacing="0" w:afterAutospacing="0" w:line="400" w:lineRule="exact"/>
        <w:rPr>
          <w:rFonts w:ascii="宋体" w:hAnsi="宋体"/>
          <w:color w:val="000000"/>
          <w:sz w:val="24"/>
          <w:szCs w:val="24"/>
        </w:rPr>
      </w:pPr>
      <w:r>
        <w:rPr>
          <w:rFonts w:hint="eastAsia" w:ascii="宋体" w:hAnsi="宋体" w:cs="宋体"/>
          <w:color w:val="000000"/>
          <w:sz w:val="24"/>
          <w:szCs w:val="24"/>
        </w:rPr>
        <w:t xml:space="preserve">2.江苏省政府采购中心信息</w:t>
      </w:r>
      <w:bookmarkEnd w:id="40"/>
      <w:r/>
      <w:bookmarkEnd w:id="41"/>
      <w:r/>
      <w:r/>
    </w:p>
    <w:p>
      <w:pPr>
        <w:ind w:firstLine="480"/>
        <w:jc w:val="left"/>
        <w:pageBreakBefore w:val="0"/>
        <w:spacing w:beforeAutospacing="0" w:afterAutospacing="0" w:line="500" w:lineRule="exact"/>
        <w:rPr>
          <w:rFonts w:ascii="宋体" w:hAnsi="宋体"/>
          <w:sz w:val="24"/>
          <w:szCs w:val="24"/>
          <w:u w:val="single"/>
        </w:rPr>
      </w:pPr>
      <w:r/>
      <w:bookmarkStart w:id="42" w:name="_Toc28359087"/>
      <w:r/>
      <w:bookmarkStart w:id="43" w:name="_Toc28359010"/>
      <w:r>
        <w:rPr>
          <w:rFonts w:hint="eastAsia" w:ascii="宋体" w:hAnsi="宋体"/>
          <w:sz w:val="24"/>
          <w:szCs w:val="24"/>
        </w:rPr>
        <w:t xml:space="preserve">地 址：</w:t>
      </w:r>
      <w:r>
        <w:rPr>
          <w:rFonts w:hint="eastAsia" w:ascii="宋体" w:hAnsi="宋体"/>
          <w:sz w:val="24"/>
          <w:szCs w:val="24"/>
          <w:u w:val="single"/>
        </w:rPr>
        <w:t xml:space="preserve">南京市汉中门大街145号省政务中心二期3楼南区</w:t>
      </w:r>
      <w:r/>
    </w:p>
    <w:p>
      <w:pPr>
        <w:ind w:firstLine="480"/>
        <w:jc w:val="left"/>
        <w:pageBreakBefore w:val="0"/>
        <w:spacing w:beforeAutospacing="0" w:afterAutospacing="0" w:line="500" w:lineRule="exact"/>
        <w:rPr>
          <w:rFonts w:ascii="宋体" w:hAns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程施雪、许滢</w:t>
      </w:r>
      <w:r/>
    </w:p>
    <w:p>
      <w:pPr>
        <w:ind w:firstLine="480"/>
        <w:pageBreakBefore w:val="0"/>
        <w:spacing w:beforeAutospacing="0" w:afterAutospacing="0" w:line="360" w:lineRule="auto"/>
        <w:rPr>
          <w:rFonts w:ascii="宋体" w:hAnsi="宋体"/>
          <w:sz w:val="24"/>
          <w:szCs w:val="24"/>
        </w:rPr>
      </w:pPr>
      <w:r>
        <w:rPr>
          <w:rFonts w:hint="eastAsia" w:ascii="宋体" w:hAnsi="宋体"/>
          <w:sz w:val="24"/>
          <w:szCs w:val="24"/>
        </w:rPr>
        <w:t xml:space="preserve">联系方式：</w:t>
      </w:r>
      <w:r>
        <w:rPr>
          <w:rFonts w:hint="eastAsia" w:ascii="宋体" w:hAnsi="宋体"/>
          <w:sz w:val="24"/>
          <w:szCs w:val="24"/>
          <w:u w:val="single"/>
        </w:rPr>
        <w:t xml:space="preserve">025-83668556</w:t>
      </w:r>
      <w:bookmarkEnd w:id="42"/>
      <w:r/>
      <w:bookmarkEnd w:id="43"/>
      <w:r/>
      <w:r/>
    </w:p>
    <w:p>
      <w:pPr>
        <w:ind w:firstLine="496"/>
        <w:keepLines/>
        <w:keepNext/>
        <w:pageBreakBefore w:val="0"/>
        <w:spacing w:beforeAutospacing="0" w:afterAutospacing="0"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八、其他</w:t>
      </w:r>
      <w:r/>
    </w:p>
    <w:p>
      <w:pPr>
        <w:ind w:firstLine="480"/>
        <w:keepLines w:val="0"/>
        <w:keepNext w:val="0"/>
        <w:pageBreakBefore w:val="0"/>
        <w:spacing w:beforeAutospacing="0" w:afterAutospacing="0" w:line="400" w:lineRule="exact"/>
        <w:widowControl w:val="off"/>
        <w:tabs>
          <w:tab w:val="left" w:pos="900" w:leader="none"/>
        </w:tabs>
        <w:rPr>
          <w:rFonts w:ascii="宋体" w:hAnsi="宋体"/>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rFonts w:ascii="Times New Roman" w:hAnsi="Times New Roman"/>
          <w:bCs/>
          <w:color w:val="000000"/>
          <w:szCs w:val="21"/>
          <w:u w:val="none"/>
        </w:rPr>
        <w:t xml:space="preserve">http://www.ccgp-jiangsu.gov.cn/jiangsu/zlxz/ee/ee3a4bc5a3454aa2b0d9312230633ce9.html</w:t>
      </w:r>
      <w:r>
        <w:rPr>
          <w:rFonts w:ascii="Times New Roman" w:hAnsi="Times New Roman"/>
          <w:bCs/>
          <w:szCs w:val="21"/>
        </w:rPr>
        <w:t xml:space="preserve">。</w:t>
      </w:r>
      <w:r/>
    </w:p>
    <w:p>
      <w:pPr>
        <w:ind w:firstLine="480"/>
        <w:keepLines w:val="0"/>
        <w:keepNext w:val="0"/>
        <w:pageBreakBefore w:val="0"/>
        <w:spacing w:beforeAutospacing="0" w:afterAutospacing="0" w:line="400" w:lineRule="exact"/>
        <w:widowControl w:val="off"/>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Times New Roman" w:hAnsi="Times New Roman"/>
          <w:bCs/>
          <w:szCs w:val="21"/>
        </w:rPr>
        <w:t xml:space="preserve">（www.jszwfw.gov.cn）</w:t>
      </w:r>
      <w:r>
        <w:rPr>
          <w:rFonts w:hint="eastAsia" w:ascii="宋体" w:hAnsi="宋体"/>
          <w:bCs/>
          <w:sz w:val="24"/>
          <w:szCs w:val="24"/>
        </w:rPr>
        <w:t xml:space="preserve">，“一企来办”专栏下“政府采购”模块详细了解关于CA办理、标书制作、开标投标指引等事宜。</w:t>
      </w:r>
      <w:r/>
    </w:p>
    <w:p>
      <w:pPr>
        <w:ind w:firstLine="480"/>
        <w:keepLines w:val="0"/>
        <w:keepNext w:val="0"/>
        <w:pageBreakBefore w:val="0"/>
        <w:spacing w:beforeAutospacing="0" w:afterAutospacing="0" w:line="400" w:lineRule="exact"/>
        <w:widowControl w:val="off"/>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rFonts w:ascii="Times New Roman" w:hAnsi="Times New Roman"/>
          <w:bCs/>
          <w:szCs w:val="21"/>
        </w:rPr>
        <w:t xml:space="preserve">（www.ccgp-jiangsu.gov.cn）</w:t>
      </w:r>
      <w:r>
        <w:rPr>
          <w:rFonts w:hint="eastAsia" w:ascii="Times New Roman" w:hAnsi="Times New Roman"/>
          <w:bCs/>
          <w:sz w:val="24"/>
          <w:szCs w:val="24"/>
        </w:rPr>
        <w:t xml:space="preserve">信息</w:t>
      </w:r>
      <w:r>
        <w:rPr>
          <w:rFonts w:hint="eastAsia" w:ascii="宋体" w:hAnsi="宋体"/>
          <w:bCs/>
          <w:sz w:val="24"/>
          <w:szCs w:val="24"/>
        </w:rPr>
        <w:t xml:space="preserve">与“江苏政务服务网” </w:t>
      </w:r>
      <w:r>
        <w:rPr>
          <w:rFonts w:ascii="Times New Roman" w:hAnsi="Times New Roman"/>
          <w:bCs/>
          <w:szCs w:val="21"/>
        </w:rPr>
        <w:t xml:space="preserve">（www.jszwfw.gov.cn）</w:t>
      </w:r>
      <w:r>
        <w:rPr>
          <w:rFonts w:hint="eastAsia" w:ascii="宋体" w:hAnsi="宋体"/>
          <w:bCs/>
          <w:sz w:val="24"/>
          <w:szCs w:val="24"/>
        </w:rPr>
        <w:t xml:space="preserve">，“一企来办”专栏下“政府采购”模块中信息不一致，以“江苏政府采购网”信息为准。</w:t>
      </w:r>
      <w:r/>
    </w:p>
    <w:p>
      <w:pPr>
        <w:ind w:firstLine="480"/>
        <w:pageBreakBefore w:val="0"/>
        <w:spacing w:beforeAutospacing="0" w:afterAutospacing="0" w:line="400" w:lineRule="exact"/>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.有关本次招标的事项若存在变动或修改，敬请及时关注江苏省政府采购中心在“江苏政府采购网”发布的更正公告。</w:t>
      </w:r>
      <w:r/>
    </w:p>
    <w:p>
      <w:pPr>
        <w:ind w:firstLine="480"/>
        <w:pageBreakBefore w:val="0"/>
        <w:spacing w:beforeAutospacing="0" w:afterAutospacing="0" w:line="400" w:lineRule="exact"/>
        <w:tabs>
          <w:tab w:val="left" w:pos="90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.本次招标不收取投标保证金。</w:t>
      </w:r>
      <w:r/>
    </w:p>
    <w:p>
      <w:pPr>
        <w:ind w:right="840"/>
        <w:pageBreakBefore w:val="0"/>
        <w:spacing w:beforeAutospacing="0" w:afterAutospacing="0"/>
        <w:rPr>
          <w:rFonts w:hint="eastAsia" w:ascii="宋体" w:hAnsi="宋体"/>
          <w:color w:val="000000"/>
          <w:sz w:val="24"/>
          <w:szCs w:val="24"/>
        </w:rPr>
      </w:pPr>
      <w:r>
        <w:rPr>
          <w:rFonts w:ascii="宋体" w:hAnsi="宋体"/>
          <w:color w:val="000000"/>
          <w:sz w:val="24"/>
          <w:szCs w:val="24"/>
        </w:rPr>
        <w:br w:type="page" w:clear="all"/>
      </w:r>
      <w:r/>
    </w:p>
    <w:p>
      <w:pPr>
        <w:ind w:firstLine="2420"/>
        <w:keepLines/>
        <w:keepNext/>
        <w:pageBreakBefore w:val="0"/>
        <w:spacing w:beforeAutospacing="0" w:afterAutospacing="0" w:line="416" w:lineRule="auto"/>
        <w:rPr>
          <w:rFonts w:hint="eastAsia" w:ascii="黑体" w:hAnsi="Arial" w:eastAsia="黑体" w:cs="Arial"/>
          <w:color w:val="000000"/>
          <w:sz w:val="44"/>
          <w:szCs w:val="44"/>
        </w:rPr>
        <w:outlineLvl w:val="1"/>
      </w:pPr>
      <w:r/>
      <w:bookmarkStart w:id="44" w:name="_Toc120614211"/>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4"/>
      <w:r/>
      <w:bookmarkStart w:id="45" w:name="_Toc20823274"/>
      <w:r/>
      <w:bookmarkStart w:id="46" w:name="_Toc513029202"/>
      <w:r/>
      <w:bookmarkStart w:id="47" w:name="_Toc16938518"/>
      <w:r/>
      <w:bookmarkStart w:id="48" w:name="_Toc120614213"/>
      <w:r>
        <w:rPr>
          <w:rFonts w:hint="eastAsia" w:ascii="黑体" w:hAnsi="Arial" w:eastAsia="黑体" w:cs="Arial"/>
          <w:b/>
          <w:bCs/>
          <w:color w:val="000000"/>
          <w:sz w:val="44"/>
          <w:szCs w:val="44"/>
        </w:rPr>
        <w:t xml:space="preserve">投标人须知</w:t>
      </w:r>
      <w:bookmarkEnd w:id="45"/>
      <w:r/>
      <w:bookmarkEnd w:id="46"/>
      <w:r/>
      <w:bookmarkEnd w:id="47"/>
      <w:r/>
      <w:bookmarkEnd w:id="48"/>
      <w:r/>
      <w:r/>
    </w:p>
    <w:p>
      <w:pPr>
        <w:ind w:firstLine="496"/>
        <w:keepLines/>
        <w:keepNext/>
        <w:pageBreakBefore w:val="0"/>
        <w:spacing w:beforeAutospacing="0" w:afterAutospacing="0" w:line="400" w:lineRule="exact"/>
        <w:rPr>
          <w:rFonts w:hint="eastAsia" w:ascii="Times New Roman" w:hAnsi="Times New Roman"/>
          <w:b/>
          <w:bCs/>
          <w:color w:val="000000"/>
          <w:sz w:val="32"/>
          <w:szCs w:val="32"/>
        </w:rPr>
        <w:outlineLvl w:val="2"/>
      </w:pPr>
      <w:r/>
      <w:bookmarkStart w:id="49" w:name="_Toc20823275"/>
      <w:r/>
      <w:bookmarkStart w:id="50" w:name="_Toc513029203"/>
      <w:r/>
      <w:bookmarkStart w:id="51" w:name="_Toc120614214"/>
      <w:r/>
      <w:bookmarkStart w:id="52" w:name="_Toc16938519"/>
      <w:r>
        <w:rPr>
          <w:rFonts w:hint="eastAsia" w:ascii="Times New Roman" w:hAnsi="Times New Roman"/>
          <w:b/>
          <w:bCs/>
          <w:color w:val="000000"/>
          <w:sz w:val="32"/>
          <w:szCs w:val="32"/>
        </w:rPr>
        <w:t xml:space="preserve">一、总则</w:t>
      </w:r>
      <w:bookmarkEnd w:id="49"/>
      <w:r/>
      <w:bookmarkEnd w:id="50"/>
      <w:r/>
      <w:bookmarkEnd w:id="51"/>
      <w:r/>
      <w:bookmarkEnd w:id="52"/>
      <w:r/>
      <w:r/>
    </w:p>
    <w:p>
      <w:pPr>
        <w:ind w:firstLine="420"/>
        <w:keepLines/>
        <w:keepNext/>
        <w:pageBreakBefore w:val="0"/>
        <w:spacing w:beforeAutospacing="0" w:afterAutospacing="0" w:line="400" w:lineRule="exact"/>
        <w:rPr>
          <w:rFonts w:hint="eastAsia" w:ascii="Arial" w:hAnsi="Arial" w:eastAsia="黑体" w:cs="Arial"/>
          <w:color w:val="000000"/>
          <w:sz w:val="28"/>
          <w:szCs w:val="28"/>
        </w:rPr>
        <w:outlineLvl w:val="3"/>
      </w:pPr>
      <w:r/>
      <w:bookmarkStart w:id="53" w:name="_Hlt16619475"/>
      <w:r/>
      <w:bookmarkEnd w:id="53"/>
      <w:r/>
      <w:bookmarkStart w:id="54" w:name="_Toc458694821"/>
      <w:r/>
      <w:bookmarkStart w:id="55" w:name="_Toc16938520"/>
      <w:r/>
      <w:bookmarkStart w:id="56" w:name="_Toc20823276"/>
      <w:r/>
      <w:bookmarkStart w:id="57" w:name="_Toc513029204"/>
      <w:r>
        <w:rPr>
          <w:rFonts w:hint="eastAsia" w:ascii="Arial" w:hAnsi="Arial" w:eastAsia="黑体" w:cs="Arial"/>
          <w:color w:val="000000"/>
          <w:sz w:val="28"/>
          <w:szCs w:val="28"/>
        </w:rPr>
        <w:t xml:space="preserve">1</w:t>
      </w:r>
      <w:bookmarkEnd w:id="54"/>
      <w:r>
        <w:rPr>
          <w:rFonts w:hint="eastAsia" w:ascii="Arial" w:hAnsi="Arial" w:eastAsia="黑体" w:cs="Arial"/>
          <w:color w:val="000000"/>
          <w:sz w:val="28"/>
          <w:szCs w:val="28"/>
        </w:rPr>
        <w:t xml:space="preserve">、招标方式</w:t>
      </w:r>
      <w:bookmarkEnd w:id="55"/>
      <w:r/>
      <w:bookmarkEnd w:id="56"/>
      <w:r/>
      <w:bookmarkEnd w:id="57"/>
      <w:r/>
      <w:r/>
    </w:p>
    <w:p>
      <w:pPr>
        <w:ind w:firstLine="480"/>
        <w:pageBreakBefore w:val="0"/>
        <w:spacing w:beforeAutospacing="0" w:afterAutospacing="0" w:line="4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p>
    <w:p>
      <w:pPr>
        <w:ind w:firstLine="420"/>
        <w:keepLines/>
        <w:keepNext/>
        <w:pageBreakBefore w:val="0"/>
        <w:spacing w:beforeAutospacing="0" w:afterAutospacing="0" w:line="400" w:lineRule="exact"/>
        <w:rPr>
          <w:rFonts w:hint="eastAsia" w:ascii="Arial" w:hAnsi="Arial" w:eastAsia="黑体" w:cs="Arial"/>
          <w:color w:val="000000"/>
          <w:sz w:val="28"/>
          <w:szCs w:val="28"/>
        </w:rPr>
        <w:outlineLvl w:val="3"/>
      </w:pPr>
      <w:r/>
      <w:bookmarkStart w:id="58" w:name="_Toc16938521"/>
      <w:r/>
      <w:bookmarkStart w:id="59" w:name="_Toc20823277"/>
      <w:r/>
      <w:bookmarkStart w:id="60" w:name="_Toc513029205"/>
      <w:r>
        <w:rPr>
          <w:rFonts w:hint="eastAsia" w:ascii="Arial" w:hAnsi="Arial" w:eastAsia="黑体" w:cs="Arial"/>
          <w:color w:val="000000"/>
          <w:sz w:val="28"/>
          <w:szCs w:val="28"/>
        </w:rPr>
        <w:t xml:space="preserve">2、合格的投标人</w:t>
      </w:r>
      <w:bookmarkEnd w:id="58"/>
      <w:r/>
      <w:bookmarkEnd w:id="59"/>
      <w:r/>
      <w:bookmarkEnd w:id="60"/>
      <w:r/>
      <w:r/>
    </w:p>
    <w:p>
      <w:pPr>
        <w:ind w:firstLine="480"/>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p>
    <w:p>
      <w:pPr>
        <w:ind w:firstLine="420"/>
        <w:keepLines/>
        <w:keepNext/>
        <w:pageBreakBefore w:val="0"/>
        <w:spacing w:beforeAutospacing="0" w:afterAutospacing="0" w:line="400" w:lineRule="exact"/>
        <w:rPr>
          <w:rFonts w:hint="eastAsia" w:ascii="Arial" w:hAnsi="Arial" w:eastAsia="黑体" w:cs="Arial"/>
          <w:color w:val="000000"/>
          <w:sz w:val="28"/>
          <w:szCs w:val="28"/>
          <w:lang w:eastAsia="zh-CN"/>
        </w:rPr>
        <w:outlineLvl w:val="3"/>
      </w:pPr>
      <w:r/>
      <w:bookmarkStart w:id="61" w:name="_Toc20823278"/>
      <w:r/>
      <w:bookmarkStart w:id="62" w:name="_Toc513029206"/>
      <w:r/>
      <w:bookmarkStart w:id="63" w:name="_Toc16938522"/>
      <w:r>
        <w:rPr>
          <w:rFonts w:hint="eastAsia" w:ascii="Arial" w:hAnsi="Arial" w:eastAsia="黑体" w:cs="Arial"/>
          <w:color w:val="000000"/>
          <w:sz w:val="28"/>
          <w:szCs w:val="28"/>
        </w:rPr>
        <w:t xml:space="preserve">3、适用法律</w:t>
      </w:r>
      <w:bookmarkEnd w:id="61"/>
      <w:r/>
      <w:bookmarkEnd w:id="62"/>
      <w:r/>
      <w:bookmarkEnd w:id="63"/>
      <w:r>
        <w:rPr>
          <w:rFonts w:hint="eastAsia" w:ascii="Arial" w:hAnsi="Arial" w:eastAsia="黑体" w:cs="Arial"/>
          <w:color w:val="000000"/>
          <w:sz w:val="28"/>
          <w:szCs w:val="28"/>
          <w:lang w:eastAsia="zh-CN"/>
        </w:rPr>
        <w:t xml:space="preserve">和标准</w:t>
      </w:r>
      <w:r/>
    </w:p>
    <w:p>
      <w:pPr>
        <w:ind w:firstLine="420"/>
        <w:pageBreakBefore w:val="0"/>
        <w:spacing w:beforeAutospacing="0" w:afterAutospacing="0" w:line="400" w:lineRule="exact"/>
        <w:rPr>
          <w:rFonts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p>
    <w:p>
      <w:pPr>
        <w:ind w:firstLine="420"/>
        <w:pageBreakBefore w:val="0"/>
        <w:spacing w:beforeAutospacing="0" w:afterAutospacing="0" w:line="400" w:lineRule="exact"/>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3.2 在本项目政府采购活动过程中，如果所执行的标准有更新的，按照最新标准执行。</w:t>
      </w:r>
      <w:r/>
    </w:p>
    <w:p>
      <w:pPr>
        <w:ind w:firstLine="420"/>
        <w:keepLines/>
        <w:keepNext/>
        <w:pageBreakBefore w:val="0"/>
        <w:spacing w:beforeAutospacing="0" w:afterAutospacing="0" w:line="400" w:lineRule="exact"/>
        <w:rPr>
          <w:rFonts w:hint="eastAsia" w:ascii="Arial" w:hAnsi="Arial" w:eastAsia="黑体" w:cs="Arial"/>
          <w:color w:val="000000"/>
          <w:sz w:val="28"/>
          <w:szCs w:val="28"/>
        </w:rPr>
        <w:outlineLvl w:val="3"/>
      </w:pPr>
      <w:r/>
      <w:bookmarkStart w:id="64" w:name="_Toc16938523"/>
      <w:r/>
      <w:bookmarkStart w:id="65" w:name="_Toc462564067"/>
      <w:r/>
      <w:bookmarkStart w:id="66" w:name="_Toc513029207"/>
      <w:r/>
      <w:bookmarkStart w:id="67" w:name="_Toc20823279"/>
      <w:r>
        <w:rPr>
          <w:rFonts w:hint="eastAsia" w:ascii="Arial" w:hAnsi="Arial" w:eastAsia="黑体" w:cs="Arial"/>
          <w:color w:val="000000"/>
          <w:sz w:val="28"/>
          <w:szCs w:val="28"/>
        </w:rPr>
        <w:t xml:space="preserve">4、投标费用</w:t>
      </w:r>
      <w:bookmarkEnd w:id="64"/>
      <w:r/>
      <w:bookmarkEnd w:id="65"/>
      <w:r/>
      <w:bookmarkEnd w:id="66"/>
      <w:r/>
      <w:bookmarkEnd w:id="67"/>
      <w:r/>
      <w:r/>
    </w:p>
    <w:p>
      <w:pPr>
        <w:ind w:firstLine="480"/>
        <w:pageBreakBefore w:val="0"/>
        <w:spacing w:beforeAutospacing="0" w:afterAutospacing="0" w:line="400" w:lineRule="exact"/>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投标人应自行承担所有与参加投标有关的费用，无论投标过程中的做法和结果如何，江苏省政府采购中心（以下简称采购中心）在任何情况下均无义务和责任承担这些费用。</w:t>
      </w:r>
      <w:r/>
    </w:p>
    <w:p>
      <w:pPr>
        <w:ind w:firstLine="480"/>
        <w:pageBreakBefore w:val="0"/>
        <w:spacing w:beforeAutospacing="0" w:afterAutospacing="0" w:line="400" w:lineRule="exact"/>
        <w:rPr>
          <w:rFonts w:hint="eastAsia" w:ascii="宋体" w:hAnsi="宋体"/>
          <w:color w:val="000000"/>
          <w:sz w:val="24"/>
          <w:szCs w:val="21"/>
        </w:rPr>
      </w:pPr>
      <w:r>
        <w:rPr>
          <w:rFonts w:hint="eastAsia" w:ascii="宋体" w:hAnsi="宋体"/>
          <w:color w:val="000000"/>
          <w:sz w:val="24"/>
          <w:szCs w:val="21"/>
        </w:rPr>
        <w:t xml:space="preserve">4.2本次招标采购中心和采购人不收取标书工本费与中标服务费。</w:t>
      </w:r>
      <w:r/>
    </w:p>
    <w:p>
      <w:pPr>
        <w:ind w:firstLine="450"/>
        <w:keepLines/>
        <w:keepNext/>
        <w:pageBreakBefore w:val="0"/>
        <w:spacing w:beforeAutospacing="0" w:afterAutospacing="0" w:line="40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p>
    <w:p>
      <w:pPr>
        <w:ind w:firstLine="480"/>
        <w:pageBreakBefore w:val="0"/>
        <w:spacing w:beforeAutospacing="0" w:afterAutospacing="0"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ind w:firstLine="320"/>
        <w:keepLines/>
        <w:keepNext/>
        <w:pageBreakBefore w:val="0"/>
        <w:spacing w:beforeAutospacing="0" w:afterAutospacing="0" w:line="400" w:lineRule="exact"/>
        <w:rPr>
          <w:rFonts w:hint="eastAsia" w:ascii="Times New Roman" w:hAnsi="Times New Roman"/>
          <w:b/>
          <w:bCs/>
          <w:color w:val="000000"/>
          <w:sz w:val="32"/>
          <w:szCs w:val="32"/>
        </w:rPr>
        <w:outlineLvl w:val="2"/>
      </w:pPr>
      <w:r/>
      <w:bookmarkStart w:id="68" w:name="_Toc513029209"/>
      <w:r/>
      <w:bookmarkStart w:id="69" w:name="_Toc20823281"/>
      <w:r/>
      <w:bookmarkStart w:id="70" w:name="_Toc16938525"/>
      <w:r/>
      <w:bookmarkStart w:id="71" w:name="_Toc120614215"/>
      <w:r>
        <w:rPr>
          <w:rFonts w:hint="eastAsia" w:ascii="Times New Roman" w:hAnsi="Times New Roman"/>
          <w:b/>
          <w:bCs/>
          <w:color w:val="000000"/>
          <w:sz w:val="32"/>
          <w:szCs w:val="32"/>
        </w:rPr>
        <w:t xml:space="preserve">二、招标文件</w:t>
      </w:r>
      <w:bookmarkEnd w:id="68"/>
      <w:r/>
      <w:bookmarkEnd w:id="69"/>
      <w:r/>
      <w:bookmarkEnd w:id="70"/>
      <w:r/>
      <w:bookmarkEnd w:id="71"/>
      <w:r/>
      <w:r/>
    </w:p>
    <w:p>
      <w:pPr>
        <w:ind w:firstLine="420"/>
        <w:keepLines/>
        <w:keepNext/>
        <w:pageBreakBefore w:val="0"/>
        <w:spacing w:beforeAutospacing="0" w:afterAutospacing="0" w:line="400" w:lineRule="exact"/>
        <w:rPr>
          <w:rFonts w:hint="eastAsia" w:ascii="Arial" w:hAnsi="Arial" w:eastAsia="黑体" w:cs="Arial"/>
          <w:color w:val="000000"/>
          <w:sz w:val="28"/>
          <w:szCs w:val="28"/>
        </w:rPr>
        <w:outlineLvl w:val="3"/>
      </w:pPr>
      <w:r/>
      <w:bookmarkStart w:id="72" w:name="_Toc513029210"/>
      <w:r/>
      <w:bookmarkStart w:id="73" w:name="_Toc20823282"/>
      <w:r/>
      <w:bookmarkStart w:id="74" w:name="_Toc16938526"/>
      <w:r>
        <w:rPr>
          <w:rFonts w:hint="eastAsia" w:ascii="Arial" w:hAnsi="Arial" w:eastAsia="黑体" w:cs="Arial"/>
          <w:color w:val="000000"/>
          <w:sz w:val="28"/>
          <w:szCs w:val="28"/>
        </w:rPr>
        <w:t xml:space="preserve">6、招标文件构成</w:t>
      </w:r>
      <w:bookmarkEnd w:id="72"/>
      <w:r/>
      <w:bookmarkEnd w:id="73"/>
      <w:r/>
      <w:bookmarkEnd w:id="74"/>
      <w:r/>
      <w:r/>
    </w:p>
    <w:p>
      <w:pPr>
        <w:ind w:firstLine="480"/>
        <w:pageBreakBefore w:val="0"/>
        <w:spacing w:beforeAutospacing="0" w:afterAutospacing="0" w:line="4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p>
    <w:p>
      <w:pPr>
        <w:ind w:firstLine="360"/>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ind w:firstLine="360"/>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4"/>
        </w:rPr>
        <w:t xml:space="preserve">（3）合同文本</w:t>
      </w:r>
      <w:r/>
    </w:p>
    <w:p>
      <w:pPr>
        <w:ind w:firstLine="360"/>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4"/>
        </w:rPr>
        <w:t xml:space="preserve">（4）采购需求</w:t>
      </w:r>
      <w:r/>
    </w:p>
    <w:p>
      <w:pPr>
        <w:ind w:firstLine="360"/>
        <w:pageBreakBefore w:val="0"/>
        <w:spacing w:beforeAutospacing="0" w:afterAutospacing="0" w:line="400" w:lineRule="exact"/>
        <w:rPr>
          <w:rFonts w:hint="eastAsia" w:ascii="Times New Roman" w:hAnsi="Times New Roman"/>
          <w:color w:val="000000"/>
          <w:sz w:val="24"/>
          <w:szCs w:val="24"/>
        </w:rPr>
      </w:pPr>
      <w:r>
        <w:rPr>
          <w:rFonts w:hint="eastAsia" w:ascii="宋体" w:hAnsi="宋体"/>
          <w:color w:val="000000"/>
          <w:sz w:val="24"/>
          <w:szCs w:val="24"/>
        </w:rPr>
        <w:t xml:space="preserve">（5）</w:t>
      </w:r>
      <w:r>
        <w:rPr>
          <w:rFonts w:hint="eastAsia" w:ascii="Times New Roman" w:hAnsi="宋体"/>
          <w:color w:val="000000"/>
          <w:sz w:val="24"/>
          <w:szCs w:val="24"/>
        </w:rPr>
        <w:t xml:space="preserve">评标方法与评标标准</w:t>
      </w:r>
      <w:r/>
    </w:p>
    <w:p>
      <w:pPr>
        <w:ind w:firstLine="360"/>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p>
    <w:p>
      <w:pPr>
        <w:ind w:firstLine="480"/>
        <w:pageBreakBefore w:val="0"/>
        <w:spacing w:beforeAutospacing="0" w:afterAutospacing="0" w:line="4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请仔细检查招标文件是否齐全，如有缺漏请立即与采购中心联系解决。</w:t>
      </w:r>
      <w:r/>
    </w:p>
    <w:p>
      <w:pPr>
        <w:ind w:firstLine="480"/>
        <w:pageBreakBefore w:val="0"/>
        <w:spacing w:beforeAutospacing="0" w:afterAutospacing="0" w:line="4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pageBreakBefore w:val="0"/>
        <w:spacing w:beforeAutospacing="0" w:afterAutospacing="0" w:line="400" w:lineRule="exact"/>
        <w:rPr>
          <w:rFonts w:hint="eastAsia" w:ascii="Arial" w:hAnsi="Arial" w:eastAsia="黑体" w:cs="Arial"/>
          <w:color w:val="000000"/>
          <w:sz w:val="28"/>
          <w:szCs w:val="28"/>
        </w:rPr>
        <w:outlineLvl w:val="3"/>
      </w:pPr>
      <w:r/>
      <w:bookmarkStart w:id="75" w:name="_Toc462564071"/>
      <w:r/>
      <w:bookmarkStart w:id="76" w:name="_Toc20823284"/>
      <w:r/>
      <w:bookmarkStart w:id="77" w:name="_Toc16938528"/>
      <w:r/>
      <w:bookmarkStart w:id="78" w:name="_Toc513029212"/>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、招标文件的修改</w:t>
      </w:r>
      <w:bookmarkEnd w:id="75"/>
      <w:r/>
      <w:bookmarkEnd w:id="76"/>
      <w:r/>
      <w:bookmarkEnd w:id="77"/>
      <w:r/>
      <w:bookmarkEnd w:id="78"/>
      <w:r/>
      <w:r/>
    </w:p>
    <w:p>
      <w:pPr>
        <w:ind w:firstLine="480"/>
        <w:pageBreakBefore w:val="0"/>
        <w:spacing w:beforeAutospacing="0" w:afterAutospacing="0"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，采购中心可以对招标文件进行修改。</w:t>
      </w:r>
      <w:r/>
    </w:p>
    <w:p>
      <w:pPr>
        <w:ind w:firstLine="480"/>
        <w:pageBreakBefore w:val="0"/>
        <w:spacing w:beforeAutospacing="0" w:afterAutospacing="0" w:line="400" w:lineRule="exact"/>
        <w:rPr>
          <w:rFonts w:hint="eastAsia"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 </w:t>
      </w:r>
      <w:r>
        <w:rPr>
          <w:rFonts w:hint="eastAsia" w:ascii="宋体" w:hAnsi="宋体"/>
          <w:color w:val="000000"/>
          <w:sz w:val="24"/>
          <w:szCs w:val="21"/>
        </w:rPr>
        <w:t xml:space="preserve">采购中心</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p>
    <w:p>
      <w:pPr>
        <w:ind w:firstLine="480"/>
        <w:pageBreakBefore w:val="0"/>
        <w:spacing w:beforeAutospacing="0" w:afterAutospacing="0"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p>
    <w:p>
      <w:pPr>
        <w:ind w:firstLine="480"/>
        <w:keepLines/>
        <w:keepNext/>
        <w:pageBreakBefore w:val="0"/>
        <w:spacing w:beforeAutospacing="0" w:afterAutospacing="0" w:line="400" w:lineRule="exact"/>
        <w:rPr>
          <w:rFonts w:hint="eastAsia" w:ascii="Times New Roman" w:hAnsi="Times New Roman"/>
          <w:b/>
          <w:bCs/>
          <w:color w:val="000000"/>
          <w:sz w:val="32"/>
          <w:szCs w:val="32"/>
        </w:rPr>
        <w:outlineLvl w:val="2"/>
      </w:pPr>
      <w:r/>
      <w:bookmarkStart w:id="79" w:name="_Toc16938529"/>
      <w:r/>
      <w:bookmarkStart w:id="80" w:name="_Toc462564072"/>
      <w:r/>
      <w:bookmarkStart w:id="81" w:name="_Toc120614216"/>
      <w:r/>
      <w:bookmarkStart w:id="82" w:name="_Toc513029213"/>
      <w:r/>
      <w:bookmarkStart w:id="83" w:name="_Toc20823285"/>
      <w:r>
        <w:rPr>
          <w:rFonts w:hint="eastAsia" w:ascii="Times New Roman" w:hAnsi="Times New Roman"/>
          <w:b/>
          <w:bCs/>
          <w:color w:val="000000"/>
          <w:sz w:val="32"/>
          <w:szCs w:val="32"/>
        </w:rPr>
        <w:t xml:space="preserve">三、投标文件的编制</w:t>
      </w:r>
      <w:bookmarkEnd w:id="79"/>
      <w:r/>
      <w:bookmarkEnd w:id="80"/>
      <w:r/>
      <w:bookmarkEnd w:id="81"/>
      <w:r/>
      <w:bookmarkEnd w:id="82"/>
      <w:r/>
      <w:bookmarkEnd w:id="83"/>
      <w:r/>
      <w:r/>
    </w:p>
    <w:p>
      <w:pPr>
        <w:ind w:firstLine="560"/>
        <w:keepLines/>
        <w:keepNext/>
        <w:pageBreakBefore w:val="0"/>
        <w:spacing w:beforeAutospacing="0" w:afterAutospacing="0" w:line="400" w:lineRule="exact"/>
        <w:rPr>
          <w:rFonts w:hint="eastAsia" w:ascii="Arial" w:hAnsi="Arial" w:eastAsia="黑体" w:cs="Arial"/>
          <w:b/>
          <w:color w:val="000000"/>
          <w:sz w:val="28"/>
          <w:szCs w:val="28"/>
        </w:rPr>
        <w:outlineLvl w:val="3"/>
      </w:pPr>
      <w:r/>
      <w:bookmarkStart w:id="84" w:name="_Toc20823286"/>
      <w:r/>
      <w:bookmarkStart w:id="85" w:name="_Toc513029214"/>
      <w:r/>
      <w:bookmarkStart w:id="86" w:name="_Toc16938530"/>
      <w:r/>
      <w:bookmarkStart w:id="87" w:name="_Toc462564073"/>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、投标文件的语言及度量衡单位</w:t>
      </w:r>
      <w:bookmarkEnd w:id="84"/>
      <w:r/>
      <w:bookmarkEnd w:id="85"/>
      <w:r/>
      <w:bookmarkEnd w:id="86"/>
      <w:r/>
      <w:bookmarkEnd w:id="87"/>
      <w:r/>
      <w:r/>
    </w:p>
    <w:p>
      <w:pPr>
        <w:ind w:firstLine="480"/>
        <w:pageBreakBefore w:val="0"/>
        <w:spacing w:beforeAutospacing="0" w:afterAutospacing="0"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 投标人提交的投标文件以及投标人与采购中心就有关投标的所有来往通知、函件和文件均应使用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ind w:firstLine="480"/>
        <w:pageBreakBefore w:val="0"/>
        <w:spacing w:beforeAutospacing="0" w:afterAutospacing="0"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 除技术性能另有规定外，投标文件所使用的度量衡单位，均须采用国家法定计量单位。</w:t>
      </w:r>
      <w:r/>
    </w:p>
    <w:p>
      <w:pPr>
        <w:ind w:firstLine="420"/>
        <w:keepLines/>
        <w:keepNext/>
        <w:pageBreakBefore w:val="0"/>
        <w:spacing w:beforeAutospacing="0" w:afterAutospacing="0" w:line="400" w:lineRule="exact"/>
        <w:rPr>
          <w:rFonts w:hint="eastAsia" w:ascii="Arial" w:hAnsi="Arial" w:eastAsia="黑体" w:cs="Arial"/>
          <w:color w:val="000000"/>
          <w:sz w:val="28"/>
          <w:szCs w:val="28"/>
        </w:rPr>
        <w:outlineLvl w:val="3"/>
      </w:pPr>
      <w:r/>
      <w:bookmarkStart w:id="88" w:name="_Toc20823287"/>
      <w:r/>
      <w:bookmarkStart w:id="89" w:name="_Toc513029215"/>
      <w:r/>
      <w:bookmarkStart w:id="90" w:name="_Toc16938531"/>
      <w:r/>
      <w:bookmarkStart w:id="91" w:name="_Toc462564074"/>
      <w:r>
        <w:rPr>
          <w:rFonts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、投标文件构成</w:t>
      </w:r>
      <w:bookmarkEnd w:id="88"/>
      <w:r/>
      <w:bookmarkEnd w:id="89"/>
      <w:r/>
      <w:bookmarkEnd w:id="90"/>
      <w:r/>
      <w:bookmarkEnd w:id="91"/>
      <w:r/>
      <w:r/>
    </w:p>
    <w:p>
      <w:pPr>
        <w:ind w:firstLine="480"/>
        <w:pageBreakBefore w:val="0"/>
        <w:spacing w:beforeAutospacing="0" w:afterAutospacing="0" w:line="400" w:lineRule="exact"/>
        <w:rPr>
          <w:rFonts w:hint="eastAsia"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、投标分项报价表、技术要求响应及偏离表、商务要求响应及偏离表、其他证明文件、投标函、开标一览表等部分。</w:t>
      </w:r>
      <w:r/>
    </w:p>
    <w:p>
      <w:pPr>
        <w:ind w:firstLine="480"/>
        <w:pageBreakBefore w:val="0"/>
        <w:spacing w:beforeAutospacing="0" w:afterAutospacing="0" w:line="400" w:lineRule="exact"/>
        <w:rPr>
          <w:rFonts w:hint="eastAsia" w:ascii="宋体" w:hAnsi="宋体"/>
          <w:color w:val="000000"/>
          <w:sz w:val="24"/>
          <w:szCs w:val="21"/>
        </w:rPr>
      </w:pPr>
      <w:r>
        <w:rPr>
          <w:rFonts w:ascii="宋体" w:hAnsi="宋体"/>
          <w:color w:val="000000"/>
          <w:sz w:val="24"/>
          <w:szCs w:val="21"/>
        </w:rPr>
        <w:t xml:space="preserve">9</w:t>
      </w:r>
      <w:r>
        <w:rPr>
          <w:rFonts w:hint="eastAsia" w:ascii="宋体" w:hAnsi="宋体"/>
          <w:color w:val="000000"/>
          <w:sz w:val="24"/>
          <w:szCs w:val="21"/>
        </w:rPr>
        <w:t xml:space="preserve">.2 如标书制作工具中格式和内容与“江苏政府采购网”发布的招标文件不一致，请以“江苏政府采购网”发布的招标文件为准。</w:t>
      </w:r>
      <w:r/>
    </w:p>
    <w:p>
      <w:pPr>
        <w:ind w:firstLine="420"/>
        <w:keepLines/>
        <w:keepNext/>
        <w:pageBreakBefore w:val="0"/>
        <w:spacing w:beforeAutospacing="0" w:afterAutospacing="0" w:line="400" w:lineRule="exact"/>
        <w:rPr>
          <w:rFonts w:hint="eastAsia" w:ascii="Arial" w:hAnsi="Arial" w:eastAsia="黑体" w:cs="Arial"/>
          <w:color w:val="000000"/>
          <w:sz w:val="28"/>
          <w:szCs w:val="28"/>
        </w:rPr>
        <w:outlineLvl w:val="3"/>
      </w:pPr>
      <w:r/>
      <w:bookmarkStart w:id="92" w:name="_Hlt26668975"/>
      <w:r/>
      <w:bookmarkEnd w:id="92"/>
      <w:r/>
      <w:bookmarkStart w:id="93" w:name="_Hlt26954838"/>
      <w:r/>
      <w:bookmarkEnd w:id="93"/>
      <w:r/>
      <w:bookmarkStart w:id="94" w:name="_Hlt26670360"/>
      <w:r/>
      <w:bookmarkEnd w:id="94"/>
      <w:r/>
      <w:bookmarkStart w:id="95" w:name="_Toc14577354"/>
      <w:r/>
      <w:bookmarkStart w:id="96" w:name="_Toc49090507"/>
      <w:r/>
      <w:bookmarkStart w:id="97" w:name="_Toc513029219"/>
      <w:r/>
      <w:bookmarkStart w:id="98" w:name="_Toc14577357"/>
      <w:r/>
      <w:bookmarkStart w:id="99" w:name="_Toc513029216"/>
      <w:r/>
      <w:bookmarkStart w:id="100" w:name="_Toc49090509"/>
      <w:r/>
      <w:bookmarkStart w:id="101" w:name="_Toc14577355"/>
      <w:r/>
      <w:bookmarkStart w:id="102" w:name="_Toc49090508"/>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、证明投标人及投标标的符合招标文件规定的文件</w:t>
      </w:r>
      <w:bookmarkEnd w:id="95"/>
      <w:r/>
      <w:bookmarkEnd w:id="96"/>
      <w:r/>
      <w:bookmarkEnd w:id="97"/>
      <w:r/>
      <w:bookmarkEnd w:id="98"/>
      <w:r/>
      <w:bookmarkEnd w:id="99"/>
      <w:r/>
      <w:bookmarkEnd w:id="100"/>
      <w:r/>
      <w:r/>
    </w:p>
    <w:p>
      <w:pPr>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投标人应按照招标文件要求提交证明文件，证明其及投标标的符合招标文件规定。</w:t>
      </w:r>
      <w:r/>
    </w:p>
    <w:p>
      <w:pPr>
        <w:ind w:firstLine="480"/>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bookmarkEnd w:id="101"/>
      <w:r/>
      <w:bookmarkEnd w:id="102"/>
      <w:r/>
      <w:r/>
    </w:p>
    <w:p>
      <w:pPr>
        <w:ind w:firstLine="420"/>
        <w:keepLines/>
        <w:keepNext/>
        <w:pageBreakBefore w:val="0"/>
        <w:spacing w:beforeAutospacing="0" w:afterAutospacing="0"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、投标分项报价表</w:t>
      </w:r>
      <w:r/>
    </w:p>
    <w:p>
      <w:pPr>
        <w:ind w:firstLine="480"/>
        <w:pageBreakBefore w:val="0"/>
        <w:spacing w:beforeAutospacing="0" w:afterAutospacing="0"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 投</w:t>
      </w:r>
      <w:bookmarkStart w:id="103" w:name="_Hlt26954840"/>
      <w:r/>
      <w:bookmarkEnd w:id="103"/>
      <w:r>
        <w:rPr>
          <w:rFonts w:hint="eastAsia" w:ascii="宋体" w:hAnsi="宋体"/>
          <w:sz w:val="24"/>
          <w:szCs w:val="21"/>
        </w:rPr>
        <w:t xml:space="preserve">标人按照招标文件规定格式填报投标分项报价表</w:t>
      </w:r>
      <w:bookmarkStart w:id="104" w:name="_Hlt26670399"/>
      <w:r/>
      <w:bookmarkEnd w:id="104"/>
      <w:r>
        <w:rPr>
          <w:rFonts w:hint="eastAsia" w:ascii="宋体" w:hAnsi="宋体"/>
          <w:sz w:val="24"/>
          <w:szCs w:val="21"/>
        </w:rPr>
        <w:t xml:space="preserve">。</w:t>
      </w:r>
      <w:r/>
    </w:p>
    <w:p>
      <w:pPr>
        <w:ind w:firstLine="480"/>
        <w:pageBreakBefore w:val="0"/>
        <w:spacing w:beforeAutospacing="0" w:afterAutospacing="0" w:line="4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p>
    <w:p>
      <w:pPr>
        <w:ind w:firstLine="420"/>
        <w:keepLines/>
        <w:keepNext/>
        <w:pageBreakBefore w:val="0"/>
        <w:spacing w:beforeAutospacing="0" w:afterAutospacing="0" w:line="400" w:lineRule="exact"/>
        <w:rPr>
          <w:rFonts w:hint="eastAsia" w:ascii="Arial" w:hAnsi="Arial" w:eastAsia="黑体" w:cs="Arial"/>
          <w:sz w:val="28"/>
          <w:szCs w:val="28"/>
        </w:rPr>
        <w:outlineLvl w:val="3"/>
      </w:pPr>
      <w:r/>
      <w:bookmarkStart w:id="105" w:name="_Hlt26670486"/>
      <w:r/>
      <w:bookmarkEnd w:id="105"/>
      <w:r/>
      <w:bookmarkStart w:id="106" w:name="_Hlt26670482"/>
      <w:r/>
      <w:bookmarkEnd w:id="106"/>
      <w:r/>
      <w:bookmarkStart w:id="107" w:name="_Hlt26954846"/>
      <w:r/>
      <w:bookmarkEnd w:id="107"/>
      <w:r/>
      <w:bookmarkStart w:id="108" w:name="_Hlt26954731"/>
      <w:r/>
      <w:bookmarkEnd w:id="108"/>
      <w:r/>
      <w:bookmarkStart w:id="109" w:name="_Hlt26954848"/>
      <w:r/>
      <w:bookmarkEnd w:id="109"/>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p>
    <w:p>
      <w:pPr>
        <w:ind w:firstLine="480"/>
        <w:pageBreakBefore w:val="0"/>
        <w:spacing w:beforeAutospacing="0" w:afterAutospacing="0" w:line="400" w:lineRule="exact"/>
        <w:rPr>
          <w:rFonts w:hint="eastAsia" w:ascii="宋体" w:hAnsi="Arial" w:cs="宋体"/>
          <w:sz w:val="24"/>
          <w:szCs w:val="21"/>
          <w:lang w:val="zh-CN"/>
        </w:rPr>
      </w:pPr>
      <w:r>
        <w:rPr>
          <w:rFonts w:ascii="宋体" w:hAnsi="Arial" w:cs="宋体"/>
          <w:bCs/>
          <w:sz w:val="24"/>
          <w:szCs w:val="21"/>
          <w:lang w:val="zh-CN"/>
        </w:rPr>
        <w:t xml:space="preserve">12.1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投标人需对招标文件中的技术要求与商务要求逐项作出响应或偏离，并说明原因。</w:t>
      </w:r>
      <w:r/>
    </w:p>
    <w:p>
      <w:pPr>
        <w:ind w:firstLine="480"/>
        <w:pageBreakBefore w:val="0"/>
        <w:spacing w:beforeAutospacing="0" w:afterAutospacing="0" w:line="400" w:lineRule="exact"/>
        <w:rPr>
          <w:rFonts w:hint="eastAsia"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 投标人需按照招标文件要求，在投标文件中提供与技术要求和商务要求相关的证明材料。</w:t>
      </w:r>
      <w:r/>
    </w:p>
    <w:p>
      <w:pPr>
        <w:ind w:firstLine="420"/>
        <w:keepLines/>
        <w:keepNext/>
        <w:pageBreakBefore w:val="0"/>
        <w:spacing w:beforeAutospacing="0" w:afterAutospacing="0"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、服务承诺、培训计划、人员安排及其他</w:t>
      </w:r>
      <w:r/>
    </w:p>
    <w:p>
      <w:pPr>
        <w:ind w:firstLine="480"/>
        <w:pageBreakBefore w:val="0"/>
        <w:spacing w:beforeAutospacing="0" w:afterAutospacing="0" w:line="400" w:lineRule="exact"/>
        <w:rPr>
          <w:rFonts w:hint="eastAsia"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 投标人需根据招标文件要求提供培训计划。</w:t>
      </w:r>
      <w:r/>
    </w:p>
    <w:p>
      <w:pPr>
        <w:ind w:firstLine="480"/>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 投标人需根据招标文件要求提供</w:t>
      </w:r>
      <w:r>
        <w:rPr>
          <w:rFonts w:hint="eastAsia" w:ascii="宋体" w:hAnsi="Arial" w:cs="宋体"/>
          <w:color w:val="000000"/>
          <w:sz w:val="24"/>
          <w:szCs w:val="21"/>
          <w:lang w:val="zh-CN"/>
        </w:rPr>
        <w:t xml:space="preserve">所投标的的主要组成部分、功能设计、实现思路及关键技术等。</w:t>
      </w:r>
      <w:r/>
    </w:p>
    <w:p>
      <w:pPr>
        <w:ind w:firstLine="420"/>
        <w:keepLines/>
        <w:keepNext/>
        <w:pageBreakBefore w:val="0"/>
        <w:spacing w:beforeAutospacing="0" w:afterAutospacing="0" w:line="400" w:lineRule="exact"/>
        <w:rPr>
          <w:rFonts w:hint="eastAsia" w:ascii="Arial" w:hAnsi="Arial" w:eastAsia="黑体" w:cs="Arial"/>
          <w:color w:val="000000"/>
          <w:sz w:val="28"/>
          <w:szCs w:val="28"/>
        </w:rPr>
        <w:outlineLvl w:val="3"/>
      </w:pPr>
      <w:r/>
      <w:bookmarkStart w:id="110" w:name="_Toc49090510"/>
      <w:r/>
      <w:bookmarkStart w:id="111" w:name="_Toc14577359"/>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、投标函和开标一览表</w:t>
      </w:r>
      <w:r/>
    </w:p>
    <w:p>
      <w:pPr>
        <w:ind w:firstLine="480"/>
        <w:pageBreakBefore w:val="0"/>
        <w:spacing w:beforeAutospacing="0" w:afterAutospacing="0" w:line="400" w:lineRule="exact"/>
        <w:rPr>
          <w:rFonts w:hint="eastAsia"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 投标人应按照招标文件中提供的格式完整、正确填写投标函、开标一览表。</w:t>
      </w:r>
      <w:r/>
    </w:p>
    <w:p>
      <w:pPr>
        <w:ind w:firstLine="480"/>
        <w:pageBreakBefore w:val="0"/>
        <w:spacing w:beforeAutospacing="0" w:afterAutospacing="0"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 对于采用货币报价的项目，开标一览表中的投标总报价应与投标分项报价表中的投标总报价一致，如不一致，不作为无效投标处理，但评标时按开标一览表中价格为准。</w:t>
      </w:r>
      <w:bookmarkEnd w:id="110"/>
      <w:r/>
      <w:bookmarkEnd w:id="111"/>
      <w:r/>
      <w:r/>
    </w:p>
    <w:p>
      <w:pPr>
        <w:ind w:firstLine="420"/>
        <w:keepLines/>
        <w:keepNext/>
        <w:pageBreakBefore w:val="0"/>
        <w:spacing w:beforeAutospacing="0" w:afterAutospacing="0" w:line="400" w:lineRule="exact"/>
        <w:rPr>
          <w:rFonts w:hint="eastAsia" w:ascii="Arial" w:hAnsi="Arial" w:eastAsia="黑体" w:cs="Arial"/>
          <w:color w:val="000000"/>
          <w:sz w:val="28"/>
          <w:szCs w:val="28"/>
        </w:rPr>
        <w:outlineLvl w:val="3"/>
      </w:pPr>
      <w:r/>
      <w:bookmarkStart w:id="112" w:name="_Toc14577360"/>
      <w:r/>
      <w:bookmarkStart w:id="113" w:name="_Toc49090511"/>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、投标有效期</w:t>
      </w:r>
      <w:bookmarkEnd w:id="112"/>
      <w:r/>
      <w:bookmarkEnd w:id="113"/>
      <w:r/>
      <w:r/>
    </w:p>
    <w:p>
      <w:pPr>
        <w:ind w:firstLine="480"/>
        <w:pageBreakBefore w:val="0"/>
        <w:spacing w:beforeAutospacing="0" w:afterAutospacing="0"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.1投标有效期为采购中心规定的开标之日后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p>
    <w:p>
      <w:pPr>
        <w:ind w:firstLine="420"/>
        <w:keepLines/>
        <w:keepNext/>
        <w:pageBreakBefore w:val="0"/>
        <w:spacing w:beforeAutospacing="0" w:afterAutospacing="0"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、投标有效期的延长</w:t>
      </w:r>
      <w:r/>
    </w:p>
    <w:p>
      <w:pPr>
        <w:ind w:firstLine="480"/>
        <w:pageBreakBefore w:val="0"/>
        <w:spacing w:beforeAutospacing="0" w:afterAutospacing="0"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p>
    <w:p>
      <w:pPr>
        <w:keepLines/>
        <w:keepNext/>
        <w:pageBreakBefore w:val="0"/>
        <w:spacing w:beforeAutospacing="0" w:afterAutospacing="0" w:line="400" w:lineRule="exact"/>
        <w:rPr>
          <w:rFonts w:hint="eastAsia" w:ascii="Times New Roman" w:hAnsi="Times New Roman"/>
          <w:b/>
          <w:bCs/>
          <w:color w:val="000000"/>
          <w:sz w:val="32"/>
          <w:szCs w:val="32"/>
        </w:rPr>
        <w:outlineLvl w:val="2"/>
      </w:pPr>
      <w:r/>
      <w:bookmarkStart w:id="114" w:name="_Hlt26954852"/>
      <w:r/>
      <w:bookmarkEnd w:id="114"/>
      <w:r/>
      <w:bookmarkStart w:id="115" w:name="_Hlt26954739"/>
      <w:r/>
      <w:bookmarkEnd w:id="115"/>
      <w:r/>
      <w:bookmarkStart w:id="116" w:name="_Toc120614217"/>
      <w:r/>
      <w:bookmarkStart w:id="117" w:name="_Toc16938540"/>
      <w:r/>
      <w:bookmarkStart w:id="118" w:name="_Toc20823296"/>
      <w:r/>
      <w:bookmarkStart w:id="119" w:name="_Toc513029224"/>
      <w:r>
        <w:rPr>
          <w:rFonts w:hint="eastAsia" w:ascii="Times New Roman" w:hAnsi="Times New Roman"/>
          <w:b/>
          <w:bCs/>
          <w:color w:val="000000"/>
          <w:sz w:val="32"/>
          <w:szCs w:val="32"/>
        </w:rPr>
        <w:t xml:space="preserve">四、投标文件的递交</w:t>
      </w:r>
      <w:bookmarkEnd w:id="116"/>
      <w:r/>
      <w:bookmarkEnd w:id="117"/>
      <w:r/>
      <w:bookmarkEnd w:id="118"/>
      <w:r/>
      <w:bookmarkEnd w:id="119"/>
      <w:r/>
      <w:r/>
    </w:p>
    <w:p>
      <w:pPr>
        <w:ind w:firstLine="420"/>
        <w:keepLines/>
        <w:keepNext/>
        <w:pageBreakBefore w:val="0"/>
        <w:spacing w:beforeAutospacing="0" w:afterAutospacing="0" w:line="400" w:lineRule="exact"/>
        <w:rPr>
          <w:rFonts w:hint="eastAsia" w:ascii="黑体" w:hAnsi="Arial" w:eastAsia="黑体" w:cs="Arial"/>
          <w:color w:val="000000"/>
          <w:sz w:val="28"/>
          <w:szCs w:val="28"/>
        </w:rPr>
        <w:outlineLvl w:val="3"/>
      </w:pPr>
      <w:r/>
      <w:bookmarkStart w:id="120" w:name="_Toc462564084"/>
      <w:r/>
      <w:bookmarkStart w:id="121" w:name="_Toc20823297"/>
      <w:r/>
      <w:bookmarkStart w:id="122" w:name="_Toc16938541"/>
      <w:r/>
      <w:bookmarkStart w:id="123" w:name="_Toc513029225"/>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20"/>
      <w:r/>
      <w:bookmarkEnd w:id="121"/>
      <w:r/>
      <w:bookmarkEnd w:id="122"/>
      <w:r/>
      <w:bookmarkEnd w:id="123"/>
      <w:r>
        <w:rPr>
          <w:rFonts w:hint="eastAsia" w:ascii="黑体" w:hAnsi="Arial" w:eastAsia="黑体" w:cs="Arial"/>
          <w:color w:val="000000"/>
          <w:sz w:val="28"/>
          <w:szCs w:val="28"/>
        </w:rPr>
        <w:t xml:space="preserve">的递交</w:t>
      </w:r>
      <w:r/>
    </w:p>
    <w:p>
      <w:pPr>
        <w:ind w:left="525"/>
        <w:pageBreakBefore w:val="0"/>
        <w:spacing w:beforeAutospacing="0" w:afterAutospacing="0"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p>
    <w:p>
      <w:pPr>
        <w:pageBreakBefore w:val="0"/>
        <w:spacing w:beforeAutospacing="0" w:afterAutospacing="0" w:line="400" w:lineRule="exact"/>
        <w:rPr>
          <w:rFonts w:ascii="宋体" w:hAnsi="宋体"/>
          <w:bCs/>
          <w:color w:val="000000"/>
          <w:sz w:val="24"/>
          <w:szCs w:val="21"/>
        </w:rPr>
      </w:pPr>
      <w:r>
        <w:rPr>
          <w:rFonts w:hint="eastAsia" w:ascii="宋体" w:hAnsi="宋体"/>
          <w:bCs/>
          <w:color w:val="000000"/>
          <w:sz w:val="24"/>
          <w:szCs w:val="21"/>
        </w:rPr>
        <w:t xml:space="preserve">子投标文件。</w:t>
      </w:r>
      <w:bookmarkStart w:id="124" w:name="_Toc16938542"/>
      <w:r/>
      <w:bookmarkStart w:id="125" w:name="_Toc20823298"/>
      <w:r/>
      <w:bookmarkStart w:id="126" w:name="_Toc513029226"/>
      <w:r/>
      <w:r/>
    </w:p>
    <w:p>
      <w:pPr>
        <w:ind w:firstLine="420"/>
        <w:keepLines/>
        <w:keepNext/>
        <w:pageBreakBefore w:val="0"/>
        <w:spacing w:beforeAutospacing="0" w:afterAutospacing="0" w:line="400" w:lineRule="exact"/>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18</w:t>
      </w:r>
      <w:r>
        <w:rPr>
          <w:rFonts w:hint="eastAsia" w:ascii="Arial" w:hAnsi="Arial" w:eastAsia="黑体" w:cs="Arial"/>
          <w:bCs/>
          <w:color w:val="000000"/>
          <w:sz w:val="28"/>
          <w:szCs w:val="28"/>
        </w:rPr>
        <w:t xml:space="preserve">、投标截止日期</w:t>
      </w:r>
      <w:bookmarkEnd w:id="124"/>
      <w:r/>
      <w:bookmarkEnd w:id="125"/>
      <w:r/>
      <w:bookmarkEnd w:id="126"/>
      <w:r/>
      <w:r/>
    </w:p>
    <w:p>
      <w:pPr>
        <w:ind w:firstLine="480"/>
        <w:pageBreakBefore w:val="0"/>
        <w:spacing w:beforeAutospacing="0" w:afterAutospacing="0"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 投标人上传电子投标文件的时间不得迟于招标公告中规定的投标截止时间。</w:t>
      </w:r>
      <w:r/>
    </w:p>
    <w:p>
      <w:pPr>
        <w:ind w:firstLine="480"/>
        <w:pageBreakBefore w:val="0"/>
        <w:spacing w:beforeAutospacing="0" w:afterAutospacing="0" w:line="4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.1.2条规定做无效投标处理。</w:t>
      </w:r>
      <w:r/>
    </w:p>
    <w:p>
      <w:pPr>
        <w:ind w:firstLine="480"/>
        <w:pageBreakBefore w:val="0"/>
        <w:spacing w:beforeAutospacing="0" w:afterAutospacing="0"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 采购中心可以按照规定，通过修改招标文件酌情延长投标截止日期，在此情况下，投标人的所有权利和义务以及投标人受制的截止日期均应以延长后新的截止日期为准。</w:t>
      </w:r>
      <w:r/>
    </w:p>
    <w:p>
      <w:pPr>
        <w:ind w:firstLine="420"/>
        <w:keepLines/>
        <w:keepNext/>
        <w:pageBreakBefore w:val="0"/>
        <w:spacing w:beforeAutospacing="0" w:afterAutospacing="0" w:line="400" w:lineRule="exact"/>
        <w:rPr>
          <w:rFonts w:hint="eastAsia" w:ascii="Arial" w:hAnsi="Arial" w:eastAsia="黑体" w:cs="Arial"/>
          <w:color w:val="000000"/>
          <w:sz w:val="28"/>
          <w:szCs w:val="28"/>
        </w:rPr>
        <w:outlineLvl w:val="3"/>
      </w:pPr>
      <w:r/>
      <w:bookmarkStart w:id="127" w:name="_Toc513029227"/>
      <w:r/>
      <w:bookmarkStart w:id="128" w:name="_Toc20823299"/>
      <w:r/>
      <w:bookmarkStart w:id="129" w:name="_Toc16938543"/>
      <w:r>
        <w:rPr>
          <w:rFonts w:ascii="Arial" w:hAnsi="Arial" w:eastAsia="黑体" w:cs="Arial"/>
          <w:color w:val="000000"/>
          <w:sz w:val="28"/>
          <w:szCs w:val="28"/>
        </w:rPr>
        <w:t xml:space="preserve">19</w:t>
      </w:r>
      <w:r>
        <w:rPr>
          <w:rFonts w:hint="eastAsia" w:ascii="Arial" w:hAnsi="Arial" w:eastAsia="黑体" w:cs="Arial"/>
          <w:color w:val="000000"/>
          <w:sz w:val="28"/>
          <w:szCs w:val="28"/>
        </w:rPr>
        <w:t xml:space="preserve">、投标文件</w:t>
      </w:r>
      <w:bookmarkEnd w:id="127"/>
      <w:r/>
      <w:bookmarkEnd w:id="128"/>
      <w:r/>
      <w:bookmarkEnd w:id="129"/>
      <w:r>
        <w:rPr>
          <w:rFonts w:hint="eastAsia" w:ascii="Arial" w:hAnsi="Arial" w:eastAsia="黑体" w:cs="Arial"/>
          <w:color w:val="000000"/>
          <w:sz w:val="28"/>
          <w:szCs w:val="28"/>
        </w:rPr>
        <w:t xml:space="preserve">的拒收</w:t>
      </w:r>
      <w:r/>
    </w:p>
    <w:p>
      <w:pPr>
        <w:ind w:firstLine="480"/>
        <w:pageBreakBefore w:val="0"/>
        <w:spacing w:beforeAutospacing="0" w:afterAutospacing="0" w:line="400" w:lineRule="exact"/>
        <w:rPr>
          <w:rFonts w:hint="eastAsia"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 采购中心拒绝接收在其规定的投标截止时间后上传的任何投标文件。</w:t>
      </w:r>
      <w:r/>
    </w:p>
    <w:p>
      <w:pPr>
        <w:ind w:firstLine="420"/>
        <w:keepLines/>
        <w:keepNext/>
        <w:pageBreakBefore w:val="0"/>
        <w:spacing w:beforeAutospacing="0" w:afterAutospacing="0" w:line="400" w:lineRule="exact"/>
        <w:rPr>
          <w:rFonts w:hint="eastAsia" w:ascii="Arial" w:hAnsi="Arial" w:eastAsia="黑体" w:cs="Arial"/>
          <w:color w:val="000000"/>
          <w:sz w:val="28"/>
          <w:szCs w:val="28"/>
        </w:rPr>
        <w:outlineLvl w:val="3"/>
      </w:pPr>
      <w:r/>
      <w:bookmarkStart w:id="130" w:name="_Toc20823300"/>
      <w:r/>
      <w:bookmarkStart w:id="131" w:name="_Toc513029228"/>
      <w:r/>
      <w:bookmarkStart w:id="132" w:name="_Toc1693854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、投标文件的撤回和修改</w:t>
      </w:r>
      <w:bookmarkEnd w:id="130"/>
      <w:r/>
      <w:bookmarkEnd w:id="131"/>
      <w:r/>
      <w:bookmarkEnd w:id="132"/>
      <w:r/>
      <w:r/>
    </w:p>
    <w:p>
      <w:pPr>
        <w:ind w:firstLine="480"/>
        <w:pageBreakBefore w:val="0"/>
        <w:spacing w:beforeAutospacing="0" w:afterAutospacing="0"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 投标文件的撤回</w:t>
      </w:r>
      <w:r/>
    </w:p>
    <w:p>
      <w:pPr>
        <w:ind w:firstLine="480"/>
        <w:pageBreakBefore w:val="0"/>
        <w:spacing w:beforeAutospacing="0" w:afterAutospacing="0"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 电子投标文件的撤回</w:t>
      </w:r>
      <w:r/>
    </w:p>
    <w:p>
      <w:pPr>
        <w:ind w:firstLine="480"/>
        <w:pageBreakBefore w:val="0"/>
        <w:spacing w:beforeAutospacing="0" w:afterAutospacing="0" w:line="40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p>
    <w:p>
      <w:pPr>
        <w:ind w:firstLine="480"/>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 投标文件的修改</w:t>
      </w:r>
      <w:r/>
    </w:p>
    <w:p>
      <w:pPr>
        <w:ind w:firstLine="480"/>
        <w:pageBreakBefore w:val="0"/>
        <w:spacing w:beforeAutospacing="0" w:afterAutospacing="0"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.2.1投标人可在投标截止时间前，对其电子投标文件进行修改，具体操作方法见《操作手册》。</w:t>
      </w:r>
      <w:r/>
    </w:p>
    <w:p>
      <w:pPr>
        <w:ind w:firstLine="480"/>
        <w:pageBreakBefore w:val="0"/>
        <w:spacing w:beforeAutospacing="0" w:afterAutospacing="0"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p>
    <w:p>
      <w:pPr>
        <w:ind w:firstLine="480"/>
        <w:pageBreakBefore w:val="0"/>
        <w:spacing w:beforeAutospacing="0" w:afterAutospacing="0"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p>
    <w:p>
      <w:pPr>
        <w:ind w:firstLine="480"/>
        <w:keepLines/>
        <w:keepNext/>
        <w:pageBreakBefore w:val="0"/>
        <w:spacing w:beforeAutospacing="0" w:afterAutospacing="0" w:line="400" w:lineRule="exact"/>
        <w:rPr>
          <w:rFonts w:hint="eastAsia" w:ascii="Times New Roman" w:hAnsi="Times New Roman"/>
          <w:b/>
          <w:bCs/>
          <w:color w:val="000000"/>
          <w:sz w:val="32"/>
          <w:szCs w:val="32"/>
        </w:rPr>
        <w:outlineLvl w:val="2"/>
      </w:pPr>
      <w:r/>
      <w:bookmarkStart w:id="133" w:name="_Toc16938545"/>
      <w:r/>
      <w:bookmarkStart w:id="134" w:name="_Toc513029229"/>
      <w:r/>
      <w:bookmarkStart w:id="135" w:name="_Toc20823301"/>
      <w:r/>
      <w:bookmarkStart w:id="136" w:name="_Toc120614218"/>
      <w:r>
        <w:rPr>
          <w:rFonts w:hint="eastAsia" w:ascii="Times New Roman" w:hAnsi="Times New Roman"/>
          <w:b/>
          <w:bCs/>
          <w:color w:val="000000"/>
          <w:sz w:val="32"/>
          <w:szCs w:val="32"/>
        </w:rPr>
        <w:t xml:space="preserve">五、开标与评标</w:t>
      </w:r>
      <w:bookmarkEnd w:id="133"/>
      <w:r/>
      <w:bookmarkEnd w:id="134"/>
      <w:r/>
      <w:bookmarkEnd w:id="135"/>
      <w:r/>
      <w:bookmarkEnd w:id="136"/>
      <w:r/>
      <w:r/>
    </w:p>
    <w:p>
      <w:pPr>
        <w:ind w:firstLine="420"/>
        <w:keepLines/>
        <w:keepNext/>
        <w:pageBreakBefore w:val="0"/>
        <w:spacing w:beforeAutospacing="0" w:afterAutospacing="0" w:line="400" w:lineRule="exact"/>
        <w:rPr>
          <w:rFonts w:hint="eastAsia" w:ascii="Arial" w:hAnsi="Arial" w:eastAsia="黑体" w:cs="Arial"/>
          <w:color w:val="000000"/>
          <w:sz w:val="28"/>
          <w:szCs w:val="28"/>
        </w:rPr>
        <w:outlineLvl w:val="3"/>
      </w:pPr>
      <w:r/>
      <w:bookmarkStart w:id="137" w:name="_Toc513029230"/>
      <w:r/>
      <w:bookmarkStart w:id="138" w:name="_Toc20823302"/>
      <w:r/>
      <w:bookmarkStart w:id="139" w:name="_Toc16938546"/>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、开标</w:t>
      </w:r>
      <w:bookmarkEnd w:id="137"/>
      <w:r/>
      <w:bookmarkEnd w:id="138"/>
      <w:r/>
      <w:bookmarkEnd w:id="139"/>
      <w:r/>
      <w:r/>
    </w:p>
    <w:p>
      <w:pPr>
        <w:ind w:firstLine="480"/>
        <w:pageBreakBefore w:val="0"/>
        <w:spacing w:beforeAutospacing="0" w:afterAutospacing="0" w:line="400" w:lineRule="exact"/>
        <w:rPr>
          <w:rFonts w:hint="eastAsia" w:ascii="Times New Roman" w:hAnsi="Times New Roman"/>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pageBreakBefore w:val="0"/>
        <w:spacing w:beforeAutospacing="0" w:afterAutospacing="0" w:line="40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p>
    <w:p>
      <w:pPr>
        <w:ind w:firstLine="480"/>
        <w:pageBreakBefore w:val="0"/>
        <w:spacing w:beforeAutospacing="0" w:afterAutospacing="0" w:line="400" w:lineRule="exact"/>
        <w:rPr>
          <w:rFonts w:hint="eastAsia"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p>
    <w:p>
      <w:pPr>
        <w:ind w:firstLine="480"/>
        <w:pageBreakBefore w:val="0"/>
        <w:spacing w:beforeAutospacing="0" w:afterAutospacing="0"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p>
    <w:p>
      <w:pPr>
        <w:ind w:firstLine="420"/>
        <w:keepLines/>
        <w:keepNext/>
        <w:pageBreakBefore w:val="0"/>
        <w:spacing w:beforeAutospacing="0" w:afterAutospacing="0" w:line="400" w:lineRule="exact"/>
        <w:rPr>
          <w:rFonts w:hint="eastAsia" w:ascii="Arial" w:hAnsi="Arial" w:eastAsia="黑体" w:cs="Arial"/>
          <w:sz w:val="28"/>
          <w:szCs w:val="28"/>
        </w:rPr>
        <w:outlineLvl w:val="3"/>
      </w:pPr>
      <w:r/>
      <w:bookmarkStart w:id="140" w:name="_Toc513029231"/>
      <w:r/>
      <w:bookmarkStart w:id="141" w:name="_Toc20823303"/>
      <w:r/>
      <w:bookmarkStart w:id="142" w:name="_Toc16938547"/>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p>
    <w:p>
      <w:pPr>
        <w:pageBreakBefore w:val="0"/>
        <w:spacing w:beforeAutospacing="0" w:afterAutospacing="0"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开标后，采购中心将立即组织评标委员会进行评标。</w:t>
      </w:r>
      <w:r/>
    </w:p>
    <w:p>
      <w:pPr>
        <w:pageBreakBefore w:val="0"/>
        <w:spacing w:beforeAutospacing="0" w:afterAutospacing="0"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.2 </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由采购人代表和有关技术、经济等方面的专家组成，且人员构成符合政府采购有关规定。</w:t>
      </w:r>
      <w:r/>
    </w:p>
    <w:p>
      <w:pPr>
        <w:pageBreakBefore w:val="0"/>
        <w:spacing w:beforeAutospacing="0" w:afterAutospacing="0"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独立工作，负责评审所有投标文件并确定中标侯选人。</w:t>
      </w:r>
      <w:r/>
    </w:p>
    <w:p>
      <w:pPr>
        <w:ind w:firstLine="420"/>
        <w:keepLines/>
        <w:keepNext/>
        <w:pageBreakBefore w:val="0"/>
        <w:spacing w:beforeAutospacing="0" w:afterAutospacing="0" w:line="400" w:lineRule="exac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3</w:t>
      </w:r>
      <w:r>
        <w:rPr>
          <w:rFonts w:hint="eastAsia" w:ascii="黑体" w:hAnsi="Arial" w:eastAsia="黑体" w:cs="Arial"/>
          <w:color w:val="000000"/>
          <w:sz w:val="28"/>
          <w:szCs w:val="28"/>
        </w:rPr>
        <w:t xml:space="preserve">、评标过程的保密与公正</w:t>
      </w:r>
      <w:bookmarkEnd w:id="140"/>
      <w:r/>
      <w:bookmarkEnd w:id="141"/>
      <w:r/>
      <w:bookmarkEnd w:id="142"/>
      <w:r/>
      <w:r/>
    </w:p>
    <w:p>
      <w:pPr>
        <w:ind w:firstLine="480"/>
        <w:pageBreakBefore w:val="0"/>
        <w:spacing w:beforeAutospacing="0" w:afterAutospacing="0"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凡是与审查、澄清、评价和比较投标的有关资料以及授标建议等，采购人、评委、采购中心均不得向投标人或与评标无关的其他人员透露。</w:t>
      </w:r>
      <w:r/>
    </w:p>
    <w:p>
      <w:pPr>
        <w:ind w:firstLine="480"/>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pageBreakBefore w:val="0"/>
        <w:spacing w:beforeAutospacing="0" w:afterAutospacing="0" w:line="400" w:lineRule="exact"/>
        <w:rPr>
          <w:rFonts w:hint="eastAsia"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采购中心和评标委员会不向未中标的投标人解释未中标原因，也不公布评标过程中的相关细节。</w:t>
      </w:r>
      <w:r/>
    </w:p>
    <w:p>
      <w:pPr>
        <w:ind w:firstLine="480"/>
        <w:pageBreakBefore w:val="0"/>
        <w:spacing w:beforeAutospacing="0" w:afterAutospacing="0"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p>
    <w:p>
      <w:pPr>
        <w:ind w:firstLine="420"/>
        <w:keepLines/>
        <w:keepNext/>
        <w:pageBreakBefore w:val="0"/>
        <w:spacing w:beforeAutospacing="0" w:afterAutospacing="0" w:line="400" w:lineRule="exact"/>
        <w:rPr>
          <w:rFonts w:hint="eastAsia" w:ascii="Arial" w:hAnsi="Arial" w:eastAsia="黑体" w:cs="Arial"/>
          <w:color w:val="000000"/>
          <w:sz w:val="28"/>
          <w:szCs w:val="28"/>
        </w:rPr>
        <w:outlineLvl w:val="3"/>
      </w:pPr>
      <w:r/>
      <w:bookmarkStart w:id="143" w:name="_Toc16938548"/>
      <w:r/>
      <w:bookmarkStart w:id="144" w:name="_Toc20823304"/>
      <w:r/>
      <w:bookmarkStart w:id="145" w:name="_Toc513029232"/>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、投标文件的澄清</w:t>
      </w:r>
      <w:bookmarkEnd w:id="143"/>
      <w:r/>
      <w:bookmarkEnd w:id="144"/>
      <w:r/>
      <w:bookmarkEnd w:id="145"/>
      <w:r/>
      <w:r/>
    </w:p>
    <w:p>
      <w:pPr>
        <w:ind w:firstLine="480"/>
        <w:pageBreakBefore w:val="0"/>
        <w:spacing w:beforeAutospacing="0" w:afterAutospacing="0" w:line="400" w:lineRule="exact"/>
        <w:rPr>
          <w:rFonts w:ascii="宋体" w:hAnsi="宋体"/>
          <w:color w:val="000000"/>
          <w:sz w:val="24"/>
          <w:szCs w:val="24"/>
        </w:rPr>
      </w:pPr>
      <w:r/>
      <w:bookmarkStart w:id="146" w:name="_Toc16938549"/>
      <w:r/>
      <w:bookmarkStart w:id="147" w:name="_Toc20823305"/>
      <w:r/>
      <w:bookmarkStart w:id="148" w:name="_Toc513029233"/>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p>
    <w:p>
      <w:pPr>
        <w:ind w:firstLine="480"/>
        <w:pageBreakBefore w:val="0"/>
        <w:spacing w:beforeAutospacing="0" w:afterAutospacing="0"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p>
    <w:p>
      <w:pPr>
        <w:ind w:firstLine="480"/>
        <w:pageBreakBefore w:val="0"/>
        <w:spacing w:beforeAutospacing="0" w:afterAutospacing="0"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w:t>
      </w:r>
      <w:r>
        <w:rPr>
          <w:rFonts w:hint="eastAsia" w:ascii="宋体" w:hAnsi="宋体"/>
          <w:color w:val="000000"/>
          <w:sz w:val="24"/>
          <w:szCs w:val="24"/>
          <w:lang w:eastAsia="zh-CN"/>
        </w:rPr>
        <w:t xml:space="preserve">评标委员会</w:t>
      </w:r>
      <w:r>
        <w:rPr>
          <w:rFonts w:hint="eastAsia" w:ascii="宋体" w:hAnsi="宋体"/>
          <w:sz w:val="24"/>
          <w:szCs w:val="24"/>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澄清、说明和补正要求的投标人如未按规定做出澄清、说明和补正，其风险由投标人自行承担。</w:t>
      </w:r>
      <w:r/>
    </w:p>
    <w:p>
      <w:pPr>
        <w:ind w:firstLine="420"/>
        <w:keepLines/>
        <w:keepNext/>
        <w:pageBreakBefore w:val="0"/>
        <w:spacing w:beforeAutospacing="0" w:afterAutospacing="0"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、对投标文件的初审</w:t>
      </w:r>
      <w:bookmarkEnd w:id="146"/>
      <w:r/>
      <w:bookmarkEnd w:id="147"/>
      <w:r/>
      <w:bookmarkEnd w:id="148"/>
      <w:r/>
      <w:r/>
    </w:p>
    <w:p>
      <w:pPr>
        <w:ind w:firstLine="480"/>
        <w:pageBreakBefore w:val="0"/>
        <w:spacing w:beforeAutospacing="0" w:afterAutospacing="0"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p>
    <w:p>
      <w:pPr>
        <w:ind w:firstLine="480"/>
        <w:pageBreakBefore w:val="0"/>
        <w:spacing w:beforeAutospacing="0" w:afterAutospacing="0"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进行反馈。</w:t>
      </w:r>
      <w:r/>
    </w:p>
    <w:p>
      <w:pPr>
        <w:ind w:firstLine="480"/>
        <w:pageBreakBefore w:val="0"/>
        <w:spacing w:beforeAutospacing="0" w:afterAutospacing="0" w:line="400" w:lineRule="exact"/>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采购人在进行资格性审查的同时，将在“信用中国”网站</w:t>
      </w:r>
      <w:r>
        <w:rPr>
          <w:rFonts w:ascii="Times New Roman" w:hAnsi="Times New Roman"/>
          <w:bCs/>
          <w:color w:val="000000"/>
          <w:szCs w:val="21"/>
        </w:rPr>
        <w:t xml:space="preserve">（www.creditchina.gov.cn）</w:t>
      </w:r>
      <w:r>
        <w:rPr>
          <w:rFonts w:hint="eastAsia" w:ascii="宋体" w:hAnsi="宋体"/>
          <w:bCs/>
          <w:color w:val="000000"/>
          <w:sz w:val="24"/>
          <w:szCs w:val="21"/>
        </w:rPr>
        <w:t xml:space="preserve">查询投标人的信用记录，以确定投标人是否具备投标资格,查询结果留存并归档。</w:t>
      </w:r>
      <w:r/>
    </w:p>
    <w:p>
      <w:pPr>
        <w:ind w:firstLine="480"/>
        <w:pageBreakBefore w:val="0"/>
        <w:spacing w:beforeAutospacing="0" w:afterAutospacing="0" w:line="40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pageBreakBefore w:val="0"/>
        <w:spacing w:beforeAutospacing="0" w:afterAutospacing="0"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 符合性审查：依据招标文件的规定，由</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从投标文件的有效性、完整性和对招标文件的响应程度进行审查，以确定是否对招标文件的实质性要求作出响应。</w:t>
      </w:r>
      <w:r/>
    </w:p>
    <w:p>
      <w:pPr>
        <w:ind w:firstLine="480"/>
        <w:pageBreakBefore w:val="0"/>
        <w:spacing w:beforeAutospacing="0" w:afterAutospacing="0"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 未通过资格审查或符合性审查的投标人，采购中心将</w:t>
      </w:r>
      <w:r>
        <w:rPr>
          <w:rFonts w:hint="eastAsia" w:ascii="宋体" w:hAnsi="宋体"/>
          <w:bCs/>
          <w:sz w:val="24"/>
          <w:szCs w:val="21"/>
        </w:rPr>
        <w:t xml:space="preserve">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中告知未通过资格审查或符合性审查的原因，评审结束后，采购中心将不再告知未通过资格审查或符合性审查的原因。</w:t>
      </w:r>
      <w:r/>
    </w:p>
    <w:p>
      <w:pPr>
        <w:ind w:firstLine="480"/>
        <w:pageBreakBefore w:val="0"/>
        <w:spacing w:beforeAutospacing="0" w:afterAutospacing="0" w:line="400" w:lineRule="exact"/>
        <w:rPr>
          <w:rFonts w:hint="eastAsia" w:ascii="宋体" w:hAnsi="宋体"/>
          <w:color w:val="000000"/>
          <w:sz w:val="24"/>
          <w:szCs w:val="24"/>
        </w:rPr>
      </w:pPr>
      <w:r>
        <w:rPr>
          <w:rFonts w:hint="eastAsia" w:ascii="宋体" w:hAnsi="宋体"/>
          <w:sz w:val="24"/>
          <w:szCs w:val="21"/>
        </w:rPr>
        <w:t xml:space="preserve">2</w:t>
      </w:r>
      <w:r>
        <w:rPr>
          <w:rFonts w:ascii="宋体" w:hAnsi="宋体"/>
          <w:color w:val="000000"/>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w:t>
      </w:r>
      <w:r>
        <w:rPr>
          <w:rFonts w:hint="eastAsia" w:ascii="宋体" w:hAnsi="宋体"/>
          <w:sz w:val="24"/>
          <w:szCs w:val="24"/>
          <w:lang w:eastAsia="zh-CN"/>
        </w:rPr>
        <w:t xml:space="preserve">评标委员会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ind w:firstLine="480"/>
        <w:pageBreakBefore w:val="0"/>
        <w:spacing w:beforeAutospacing="0" w:afterAutospacing="0" w:line="40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p>
    <w:p>
      <w:pPr>
        <w:ind w:firstLine="480"/>
        <w:pageBreakBefore w:val="0"/>
        <w:spacing w:beforeAutospacing="0" w:afterAutospacing="0"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将予以拒绝，投标人不得通过修改或撤销不合要求的偏离或保留而使其投标成为实质性响应的投标。</w:t>
      </w:r>
      <w:r/>
    </w:p>
    <w:p>
      <w:pPr>
        <w:ind w:firstLine="480"/>
        <w:pageBreakBefore w:val="0"/>
        <w:spacing w:beforeAutospacing="0" w:afterAutospacing="0"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将对确定为实质性响应的投标进行进一步审核，看其是否有计算上或累加上的算术错误，修正错误的原则如下：</w:t>
      </w:r>
      <w:r/>
    </w:p>
    <w:p>
      <w:pPr>
        <w:ind w:firstLine="480"/>
        <w:pageBreakBefore w:val="0"/>
        <w:spacing w:beforeAutospacing="0" w:afterAutospacing="0"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p>
    <w:p>
      <w:pPr>
        <w:ind w:firstLine="480"/>
        <w:pageBreakBefore w:val="0"/>
        <w:spacing w:beforeAutospacing="0" w:afterAutospacing="0" w:line="4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p>
    <w:p>
      <w:pPr>
        <w:ind w:firstLine="480"/>
        <w:pageBreakBefore w:val="0"/>
        <w:spacing w:beforeAutospacing="0" w:afterAutospacing="0"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p>
    <w:p>
      <w:pPr>
        <w:ind w:firstLine="480"/>
        <w:pageBreakBefore w:val="0"/>
        <w:spacing w:beforeAutospacing="0" w:afterAutospacing="0" w:line="4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ind w:firstLine="480"/>
        <w:pageBreakBefore w:val="0"/>
        <w:spacing w:beforeAutospacing="0" w:afterAutospacing="0" w:line="4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ind w:firstLine="480"/>
        <w:pageBreakBefore w:val="0"/>
        <w:spacing w:beforeAutospacing="0" w:afterAutospacing="0"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将按上述修正错误的方法调整投标文件中的投标报价</w:t>
      </w:r>
      <w:r>
        <w:rPr>
          <w:rFonts w:hint="eastAsia" w:ascii="宋体" w:hAnsi="宋体"/>
          <w:bCs/>
          <w:sz w:val="24"/>
          <w:szCs w:val="21"/>
        </w:rPr>
        <w:t xml:space="preserve">，并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480"/>
        <w:pageBreakBefore w:val="0"/>
        <w:spacing w:beforeAutospacing="0" w:afterAutospacing="0" w:line="400" w:lineRule="exact"/>
        <w:rPr>
          <w:rFonts w:ascii="宋体" w:hAnsi="宋体"/>
          <w:color w:val="000000"/>
          <w:sz w:val="24"/>
          <w:szCs w:val="21"/>
        </w:rPr>
      </w:pPr>
      <w:r/>
      <w:bookmarkStart w:id="149" w:name="_Toc513029234"/>
      <w:r/>
      <w:bookmarkStart w:id="150" w:name="_Toc16938550"/>
      <w:r/>
      <w:bookmarkStart w:id="151" w:name="_Toc20823306"/>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ind w:firstLine="480"/>
        <w:pageBreakBefore w:val="0"/>
        <w:spacing w:beforeAutospacing="0" w:afterAutospacing="0"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ind w:firstLine="420"/>
        <w:pageBreakBefore w:val="0"/>
        <w:spacing w:beforeAutospacing="0" w:afterAutospacing="0" w:line="40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p>
    <w:p>
      <w:pPr>
        <w:ind w:firstLine="420"/>
        <w:pageBreakBefore w:val="0"/>
        <w:spacing w:beforeAutospacing="0" w:afterAutospacing="0" w:line="400" w:lineRule="exact"/>
        <w:rPr>
          <w:rFonts w:ascii="宋体" w:hAnsi="宋体"/>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.7投标人在开、评标全过程中应保持通</w:t>
      </w:r>
      <w:r>
        <w:rPr>
          <w:rFonts w:hint="eastAsia" w:ascii="宋体" w:hAnsi="宋体"/>
          <w:sz w:val="24"/>
          <w:szCs w:val="21"/>
        </w:rPr>
        <w:t xml:space="preserve">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并安排专人与采购中心及评标委员会联系。</w:t>
      </w:r>
      <w:r/>
    </w:p>
    <w:p>
      <w:pPr>
        <w:ind w:firstLine="420"/>
        <w:pageBreakBefore w:val="0"/>
        <w:spacing w:beforeAutospacing="0" w:afterAutospacing="0" w:line="400" w:lineRule="exact"/>
        <w:rPr>
          <w:rFonts w:hint="eastAsia" w:ascii="方正魏碑_GBK" w:hAnsi="方正魏碑_GBK" w:eastAsia="方正魏碑_GBK" w:cs="方正魏碑_GBK"/>
          <w:color w:val="000000"/>
          <w:sz w:val="24"/>
          <w:szCs w:val="21"/>
        </w:rPr>
      </w:pPr>
      <w:r>
        <w:rPr>
          <w:rFonts w:hint="eastAsia" w:ascii="方正魏碑_GBK" w:hAnsi="方正魏碑_GBK" w:eastAsia="方正魏碑_GBK" w:cs="方正魏碑_GBK"/>
          <w:color w:val="000000"/>
          <w:sz w:val="24"/>
          <w:szCs w:val="21"/>
        </w:rPr>
        <w:t xml:space="preserve">25.8 异常低价投标审查</w:t>
      </w:r>
      <w:r/>
    </w:p>
    <w:p>
      <w:pPr>
        <w:ind w:firstLine="420"/>
        <w:pageBreakBefore w:val="0"/>
        <w:spacing w:beforeAutospacing="0" w:afterAutospacing="0" w:line="400" w:lineRule="exact"/>
        <w:rPr>
          <w:rFonts w:hint="eastAsia" w:ascii="方正魏碑_GBK" w:hAnsi="方正魏碑_GBK" w:eastAsia="方正魏碑_GBK" w:cs="方正魏碑_GBK"/>
          <w:color w:val="000000"/>
          <w:sz w:val="24"/>
          <w:szCs w:val="21"/>
        </w:rPr>
      </w:pPr>
      <w:r>
        <w:rPr>
          <w:rFonts w:hint="eastAsia" w:ascii="方正魏碑_GBK" w:hAnsi="方正魏碑_GBK" w:eastAsia="方正魏碑_GBK" w:cs="方正魏碑_GBK"/>
          <w:color w:val="000000"/>
          <w:sz w:val="24"/>
          <w:szCs w:val="21"/>
        </w:rPr>
        <w:t xml:space="preserve">25.8.1 评标过程中出现下列情形之一的，评标委员会应当启动异常低价投标审查程序：</w:t>
      </w:r>
      <w:r/>
    </w:p>
    <w:p>
      <w:pPr>
        <w:ind w:firstLine="420"/>
        <w:pageBreakBefore w:val="0"/>
        <w:spacing w:beforeAutospacing="0" w:afterAutospacing="0" w:line="400" w:lineRule="exact"/>
        <w:rPr>
          <w:rFonts w:hint="eastAsia" w:ascii="方正魏碑_GBK" w:hAnsi="方正魏碑_GBK" w:eastAsia="方正魏碑_GBK" w:cs="方正魏碑_GBK"/>
          <w:color w:val="000000"/>
          <w:sz w:val="24"/>
          <w:szCs w:val="21"/>
        </w:rPr>
      </w:pPr>
      <w:r>
        <w:rPr>
          <w:rFonts w:hint="eastAsia" w:ascii="方正魏碑_GBK" w:hAnsi="方正魏碑_GBK" w:eastAsia="方正魏碑_GBK" w:cs="方正魏碑_GBK"/>
          <w:color w:val="000000"/>
          <w:sz w:val="24"/>
          <w:szCs w:val="21"/>
        </w:rPr>
        <w:t xml:space="preserve">（1）投标报价低于全部通过符合性审查供应商投标报价平均值</w:t>
      </w:r>
      <w:r>
        <w:rPr>
          <w:rFonts w:hint="eastAsia" w:ascii="方正魏碑_GBK" w:hAnsi="方正魏碑_GBK" w:eastAsia="方正魏碑_GBK" w:cs="方正魏碑_GBK"/>
          <w:color w:val="000000"/>
          <w:sz w:val="24"/>
          <w:szCs w:val="21"/>
          <w:u w:val="single"/>
          <w:lang w:val="en-US" w:eastAsia="zh-CN"/>
        </w:rPr>
        <w:t xml:space="preserve">65</w:t>
      </w:r>
      <w:r>
        <w:rPr>
          <w:rFonts w:hint="eastAsia" w:ascii="方正魏碑_GBK" w:hAnsi="方正魏碑_GBK" w:eastAsia="方正魏碑_GBK" w:cs="方正魏碑_GBK"/>
          <w:color w:val="000000"/>
          <w:sz w:val="24"/>
          <w:szCs w:val="21"/>
          <w:u w:val="single"/>
        </w:rPr>
        <w:t xml:space="preserve">%</w:t>
      </w:r>
      <w:r>
        <w:rPr>
          <w:rFonts w:hint="eastAsia" w:ascii="方正魏碑_GBK" w:hAnsi="方正魏碑_GBK" w:eastAsia="方正魏碑_GBK" w:cs="方正魏碑_GBK"/>
          <w:color w:val="000000"/>
          <w:sz w:val="24"/>
          <w:szCs w:val="21"/>
        </w:rPr>
        <w:t xml:space="preserve">的，即投标报价&lt;全部通过符合性审查供应商投标报价平均值×</w:t>
      </w:r>
      <w:r>
        <w:rPr>
          <w:rFonts w:hint="eastAsia" w:ascii="方正魏碑_GBK" w:hAnsi="方正魏碑_GBK" w:eastAsia="方正魏碑_GBK" w:cs="方正魏碑_GBK"/>
          <w:color w:val="000000"/>
          <w:sz w:val="24"/>
          <w:szCs w:val="21"/>
          <w:u w:val="single"/>
          <w:lang w:val="en-US" w:eastAsia="zh-CN"/>
        </w:rPr>
        <w:t xml:space="preserve">65</w:t>
      </w:r>
      <w:r>
        <w:rPr>
          <w:rFonts w:hint="eastAsia" w:ascii="方正魏碑_GBK" w:hAnsi="方正魏碑_GBK" w:eastAsia="方正魏碑_GBK" w:cs="方正魏碑_GBK"/>
          <w:color w:val="000000"/>
          <w:sz w:val="24"/>
          <w:szCs w:val="21"/>
          <w:u w:val="single"/>
        </w:rPr>
        <w:t xml:space="preserve">%</w:t>
      </w:r>
      <w:r>
        <w:rPr>
          <w:rFonts w:hint="eastAsia" w:ascii="方正魏碑_GBK" w:hAnsi="方正魏碑_GBK" w:eastAsia="方正魏碑_GBK" w:cs="方正魏碑_GBK"/>
          <w:color w:val="000000"/>
          <w:sz w:val="24"/>
          <w:szCs w:val="21"/>
        </w:rPr>
        <w:t xml:space="preserve">；</w:t>
      </w:r>
      <w:r/>
    </w:p>
    <w:p>
      <w:pPr>
        <w:ind w:firstLine="420"/>
        <w:pageBreakBefore w:val="0"/>
        <w:spacing w:beforeAutospacing="0" w:afterAutospacing="0" w:line="400" w:lineRule="exact"/>
        <w:rPr>
          <w:rFonts w:hint="eastAsia" w:ascii="方正魏碑_GBK" w:hAnsi="方正魏碑_GBK" w:eastAsia="方正魏碑_GBK" w:cs="方正魏碑_GBK"/>
          <w:color w:val="000000"/>
          <w:sz w:val="24"/>
          <w:szCs w:val="21"/>
        </w:rPr>
      </w:pPr>
      <w:r>
        <w:rPr>
          <w:rFonts w:hint="eastAsia" w:ascii="方正魏碑_GBK" w:hAnsi="方正魏碑_GBK" w:eastAsia="方正魏碑_GBK" w:cs="方正魏碑_GBK"/>
          <w:color w:val="000000"/>
          <w:sz w:val="24"/>
          <w:szCs w:val="21"/>
        </w:rPr>
        <w:t xml:space="preserve">（2）投标报价低于通过符合性审查的次低报价供应商投标报价</w:t>
      </w:r>
      <w:r>
        <w:rPr>
          <w:rFonts w:hint="eastAsia" w:ascii="方正魏碑_GBK" w:hAnsi="方正魏碑_GBK" w:eastAsia="方正魏碑_GBK" w:cs="方正魏碑_GBK"/>
          <w:color w:val="000000"/>
          <w:sz w:val="24"/>
          <w:szCs w:val="21"/>
          <w:u w:val="single"/>
          <w:lang w:val="en-US" w:eastAsia="zh-CN"/>
        </w:rPr>
        <w:t xml:space="preserve">65</w:t>
      </w:r>
      <w:r>
        <w:rPr>
          <w:rFonts w:hint="eastAsia" w:ascii="方正魏碑_GBK" w:hAnsi="方正魏碑_GBK" w:eastAsia="方正魏碑_GBK" w:cs="方正魏碑_GBK"/>
          <w:color w:val="000000"/>
          <w:sz w:val="24"/>
          <w:szCs w:val="21"/>
          <w:u w:val="single"/>
        </w:rPr>
        <w:t xml:space="preserve">%</w:t>
      </w:r>
      <w:r>
        <w:rPr>
          <w:rFonts w:hint="eastAsia" w:ascii="方正魏碑_GBK" w:hAnsi="方正魏碑_GBK" w:eastAsia="方正魏碑_GBK" w:cs="方正魏碑_GBK"/>
          <w:color w:val="000000"/>
          <w:sz w:val="24"/>
          <w:szCs w:val="21"/>
        </w:rPr>
        <w:t xml:space="preserve">的，即投标报价&lt;通过符合性审查的次低报价供应商投标报价×</w:t>
      </w:r>
      <w:r>
        <w:rPr>
          <w:rFonts w:hint="eastAsia" w:ascii="方正魏碑_GBK" w:hAnsi="方正魏碑_GBK" w:eastAsia="方正魏碑_GBK" w:cs="方正魏碑_GBK"/>
          <w:color w:val="000000"/>
          <w:sz w:val="24"/>
          <w:szCs w:val="21"/>
          <w:u w:val="single"/>
          <w:lang w:val="en-US" w:eastAsia="zh-CN"/>
        </w:rPr>
        <w:t xml:space="preserve">65</w:t>
      </w:r>
      <w:r>
        <w:rPr>
          <w:rFonts w:hint="eastAsia" w:ascii="方正魏碑_GBK" w:hAnsi="方正魏碑_GBK" w:eastAsia="方正魏碑_GBK" w:cs="方正魏碑_GBK"/>
          <w:color w:val="000000"/>
          <w:sz w:val="24"/>
          <w:szCs w:val="21"/>
          <w:u w:val="single"/>
        </w:rPr>
        <w:t xml:space="preserve">%</w:t>
      </w:r>
      <w:r>
        <w:rPr>
          <w:rFonts w:hint="eastAsia" w:ascii="方正魏碑_GBK" w:hAnsi="方正魏碑_GBK" w:eastAsia="方正魏碑_GBK" w:cs="方正魏碑_GBK"/>
          <w:color w:val="000000"/>
          <w:sz w:val="24"/>
          <w:szCs w:val="21"/>
        </w:rPr>
        <w:t xml:space="preserve">；</w:t>
      </w:r>
      <w:r/>
    </w:p>
    <w:p>
      <w:pPr>
        <w:ind w:firstLine="420"/>
        <w:pageBreakBefore w:val="0"/>
        <w:spacing w:beforeAutospacing="0" w:afterAutospacing="0" w:line="400" w:lineRule="exact"/>
        <w:rPr>
          <w:rFonts w:hint="eastAsia" w:ascii="方正魏碑_GBK" w:hAnsi="方正魏碑_GBK" w:eastAsia="方正魏碑_GBK" w:cs="方正魏碑_GBK"/>
          <w:color w:val="000000"/>
          <w:sz w:val="24"/>
          <w:szCs w:val="21"/>
          <w:lang w:eastAsia="zh-CN"/>
        </w:rPr>
      </w:pPr>
      <w:r>
        <w:rPr>
          <w:rFonts w:hint="eastAsia" w:ascii="方正魏碑_GBK" w:hAnsi="方正魏碑_GBK" w:eastAsia="方正魏碑_GBK" w:cs="方正魏碑_GBK"/>
          <w:color w:val="000000"/>
          <w:sz w:val="24"/>
          <w:szCs w:val="21"/>
          <w:lang w:eastAsia="zh-CN"/>
        </w:rPr>
        <w:t xml:space="preserve">（</w:t>
      </w:r>
      <w:r>
        <w:rPr>
          <w:rFonts w:hint="eastAsia" w:ascii="方正魏碑_GBK" w:hAnsi="方正魏碑_GBK" w:eastAsia="方正魏碑_GBK" w:cs="方正魏碑_GBK"/>
          <w:color w:val="000000"/>
          <w:sz w:val="24"/>
          <w:szCs w:val="21"/>
          <w:lang w:val="en-US" w:eastAsia="zh-CN"/>
        </w:rPr>
        <w:t xml:space="preserve">3</w:t>
      </w:r>
      <w:r>
        <w:rPr>
          <w:rFonts w:hint="eastAsia" w:ascii="方正魏碑_GBK" w:hAnsi="方正魏碑_GBK" w:eastAsia="方正魏碑_GBK" w:cs="方正魏碑_GBK"/>
          <w:color w:val="000000"/>
          <w:sz w:val="24"/>
          <w:szCs w:val="21"/>
          <w:lang w:eastAsia="zh-CN"/>
        </w:rPr>
        <w:t xml:space="preserve">）投标报价低于采购项目最高限价</w:t>
      </w:r>
      <w:r>
        <w:rPr>
          <w:rFonts w:hint="eastAsia" w:ascii="方正魏碑_GBK" w:hAnsi="方正魏碑_GBK" w:eastAsia="方正魏碑_GBK" w:cs="方正魏碑_GBK"/>
          <w:color w:val="000000"/>
          <w:sz w:val="24"/>
          <w:szCs w:val="21"/>
          <w:u w:val="single"/>
          <w:lang w:val="en-US" w:eastAsia="zh-CN"/>
        </w:rPr>
        <w:t xml:space="preserve">6</w:t>
      </w:r>
      <w:r>
        <w:rPr>
          <w:rFonts w:hint="eastAsia" w:ascii="方正魏碑_GBK" w:hAnsi="方正魏碑_GBK" w:eastAsia="方正魏碑_GBK" w:cs="方正魏碑_GBK"/>
          <w:color w:val="000000"/>
          <w:sz w:val="24"/>
          <w:szCs w:val="21"/>
          <w:u w:val="single"/>
          <w:lang w:eastAsia="zh-CN"/>
        </w:rPr>
        <w:t xml:space="preserve">5%</w:t>
      </w:r>
      <w:r>
        <w:rPr>
          <w:rFonts w:hint="eastAsia" w:ascii="方正魏碑_GBK" w:hAnsi="方正魏碑_GBK" w:eastAsia="方正魏碑_GBK" w:cs="方正魏碑_GBK"/>
          <w:color w:val="000000"/>
          <w:sz w:val="24"/>
          <w:szCs w:val="21"/>
          <w:lang w:eastAsia="zh-CN"/>
        </w:rPr>
        <w:t xml:space="preserve">的，即投标报价&lt;采购项目最高限价×</w:t>
      </w:r>
      <w:r>
        <w:rPr>
          <w:rFonts w:hint="eastAsia" w:ascii="方正魏碑_GBK" w:hAnsi="方正魏碑_GBK" w:eastAsia="方正魏碑_GBK" w:cs="方正魏碑_GBK"/>
          <w:color w:val="000000"/>
          <w:sz w:val="24"/>
          <w:szCs w:val="21"/>
          <w:u w:val="single"/>
          <w:lang w:val="en-US" w:eastAsia="zh-CN"/>
        </w:rPr>
        <w:t xml:space="preserve">6</w:t>
      </w:r>
      <w:r>
        <w:rPr>
          <w:rFonts w:hint="eastAsia" w:ascii="方正魏碑_GBK" w:hAnsi="方正魏碑_GBK" w:eastAsia="方正魏碑_GBK" w:cs="方正魏碑_GBK"/>
          <w:color w:val="000000"/>
          <w:sz w:val="24"/>
          <w:szCs w:val="21"/>
          <w:u w:val="single"/>
          <w:lang w:eastAsia="zh-CN"/>
        </w:rPr>
        <w:t xml:space="preserve">5%</w:t>
      </w:r>
      <w:r>
        <w:rPr>
          <w:rFonts w:hint="eastAsia" w:ascii="方正魏碑_GBK" w:hAnsi="方正魏碑_GBK" w:eastAsia="方正魏碑_GBK" w:cs="方正魏碑_GBK"/>
          <w:color w:val="000000"/>
          <w:sz w:val="24"/>
          <w:szCs w:val="21"/>
          <w:lang w:eastAsia="zh-CN"/>
        </w:rPr>
        <w:t xml:space="preserve">；</w:t>
      </w:r>
      <w:r/>
    </w:p>
    <w:p>
      <w:pPr>
        <w:ind w:firstLine="420"/>
        <w:pageBreakBefore w:val="0"/>
        <w:spacing w:beforeAutospacing="0" w:afterAutospacing="0" w:line="400" w:lineRule="exact"/>
        <w:rPr>
          <w:rFonts w:hint="eastAsia" w:ascii="宋体" w:hAnsi="宋体"/>
          <w:color w:val="000000"/>
          <w:sz w:val="24"/>
          <w:szCs w:val="24"/>
          <w:highlight w:val="yellow"/>
        </w:rPr>
      </w:pPr>
      <w:r>
        <w:rPr>
          <w:rFonts w:hint="eastAsia" w:ascii="方正魏碑_GBK" w:hAnsi="方正魏碑_GBK" w:eastAsia="方正魏碑_GBK" w:cs="方正魏碑_GBK"/>
          <w:color w:val="000000"/>
          <w:sz w:val="24"/>
          <w:szCs w:val="21"/>
        </w:rPr>
        <w:t xml:space="preserve">（</w:t>
      </w:r>
      <w:r>
        <w:rPr>
          <w:rFonts w:hint="eastAsia" w:ascii="方正魏碑_GBK" w:hAnsi="方正魏碑_GBK" w:eastAsia="方正魏碑_GBK" w:cs="方正魏碑_GBK"/>
          <w:color w:val="000000"/>
          <w:sz w:val="24"/>
          <w:szCs w:val="21"/>
          <w:lang w:val="en-US" w:eastAsia="zh-CN"/>
        </w:rPr>
        <w:t xml:space="preserve">4</w:t>
      </w:r>
      <w:r>
        <w:rPr>
          <w:rFonts w:hint="eastAsia" w:ascii="方正魏碑_GBK" w:hAnsi="方正魏碑_GBK" w:eastAsia="方正魏碑_GBK" w:cs="方正魏碑_GBK"/>
          <w:color w:val="000000"/>
          <w:sz w:val="24"/>
          <w:szCs w:val="21"/>
        </w:rPr>
        <w:t xml:space="preserve">）</w:t>
      </w:r>
      <w:r>
        <w:rPr>
          <w:rFonts w:hint="eastAsia" w:ascii="方正魏碑_GBK" w:hAnsi="方正魏碑_GBK" w:eastAsia="方正魏碑_GBK" w:cs="方正魏碑_GBK"/>
          <w:color w:val="000000"/>
          <w:sz w:val="24"/>
          <w:szCs w:val="21"/>
          <w:lang w:eastAsia="zh-CN"/>
        </w:rPr>
        <w:t xml:space="preserve">评标</w:t>
      </w:r>
      <w:r>
        <w:rPr>
          <w:rFonts w:hint="eastAsia" w:ascii="方正魏碑_GBK" w:hAnsi="方正魏碑_GBK" w:eastAsia="方正魏碑_GBK" w:cs="方正魏碑_GBK"/>
          <w:color w:val="000000"/>
          <w:sz w:val="24"/>
          <w:szCs w:val="21"/>
        </w:rPr>
        <w:t xml:space="preserve">委员会基于专业判断，认为供应商报价过低，有可能影响产品质量或者不能诚信履约的其他情形。</w:t>
      </w:r>
      <w:r/>
    </w:p>
    <w:p>
      <w:pPr>
        <w:ind w:firstLine="420"/>
        <w:pageBreakBefore w:val="0"/>
        <w:spacing w:beforeAutospacing="0" w:afterAutospacing="0" w:line="400" w:lineRule="exact"/>
        <w:rPr>
          <w:rFonts w:hint="eastAsia" w:ascii="方正魏碑_GBK" w:hAnsi="方正魏碑_GBK" w:eastAsia="方正魏碑_GBK" w:cs="方正魏碑_GBK"/>
          <w:color w:val="000000"/>
          <w:sz w:val="24"/>
          <w:szCs w:val="21"/>
          <w:lang w:val="en-US" w:eastAsia="zh-CN"/>
        </w:rPr>
      </w:pPr>
      <w:r>
        <w:rPr>
          <w:rFonts w:hint="eastAsia" w:ascii="方正魏碑_GBK" w:hAnsi="方正魏碑_GBK" w:eastAsia="方正魏碑_GBK" w:cs="方正魏碑_GBK"/>
          <w:color w:val="000000"/>
          <w:sz w:val="24"/>
          <w:szCs w:val="21"/>
        </w:rPr>
        <w:t xml:space="preserve">25.8.2 </w:t>
      </w:r>
      <w:r>
        <w:rPr>
          <w:rFonts w:hint="eastAsia" w:ascii="方正魏碑_GBK" w:hAnsi="方正魏碑_GBK" w:eastAsia="方正魏碑_GBK" w:cs="方正魏碑_GBK"/>
          <w:color w:val="000000"/>
          <w:sz w:val="24"/>
          <w:szCs w:val="21"/>
          <w:lang w:val="en-US" w:eastAsia="zh-CN"/>
        </w:rPr>
        <w:t xml:space="preserve">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pageBreakBefore w:val="0"/>
        <w:spacing w:beforeAutospacing="0" w:afterAutospacing="0" w:line="400" w:lineRule="exact"/>
        <w:rPr>
          <w:rFonts w:hint="eastAsia" w:ascii="方正魏碑_GBK" w:hAnsi="方正魏碑_GBK" w:eastAsia="方正魏碑_GBK" w:cs="方正魏碑_GBK"/>
          <w:color w:val="000000"/>
          <w:sz w:val="24"/>
          <w:szCs w:val="21"/>
          <w:lang w:val="en-US" w:eastAsia="zh-CN"/>
        </w:rPr>
      </w:pPr>
      <w:r>
        <w:rPr>
          <w:rFonts w:hint="eastAsia" w:ascii="方正魏碑_GBK" w:hAnsi="方正魏碑_GBK" w:eastAsia="方正魏碑_GBK" w:cs="方正魏碑_GBK"/>
          <w:color w:val="000000"/>
          <w:sz w:val="24"/>
          <w:szCs w:val="21"/>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20"/>
        <w:keepLines/>
        <w:keepNext/>
        <w:pageBreakBefore w:val="0"/>
        <w:spacing w:beforeAutospacing="0" w:afterAutospacing="0" w:line="40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49"/>
      <w:r/>
      <w:bookmarkEnd w:id="150"/>
      <w:r/>
      <w:bookmarkEnd w:id="151"/>
      <w:r>
        <w:rPr>
          <w:rFonts w:hint="eastAsia" w:ascii="Arial" w:hAnsi="Arial" w:eastAsia="黑体" w:cs="Arial"/>
          <w:sz w:val="28"/>
          <w:szCs w:val="28"/>
        </w:rPr>
        <w:t xml:space="preserve">无效投标条款和废标条款</w:t>
      </w:r>
      <w:r/>
    </w:p>
    <w:p>
      <w:pPr>
        <w:ind w:left="478"/>
        <w:pageBreakBefore w:val="0"/>
        <w:spacing w:beforeAutospacing="0" w:afterAutospacing="0" w:line="400" w:lineRule="exact"/>
        <w:rPr>
          <w:rFonts w:hint="eastAsia" w:ascii="宋体" w:hAnsi="宋体"/>
          <w:bCs/>
          <w:sz w:val="24"/>
          <w:szCs w:val="21"/>
        </w:rPr>
      </w:pPr>
      <w:r/>
      <w:bookmarkStart w:id="152" w:name="_Toc513029235"/>
      <w:r/>
      <w:bookmarkStart w:id="153" w:name="_Toc16938551"/>
      <w:r/>
      <w:bookmarkStart w:id="154" w:name="_Toc20823307"/>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.1无效投标条款</w:t>
      </w:r>
      <w:r/>
    </w:p>
    <w:p>
      <w:pPr>
        <w:ind w:firstLine="480"/>
        <w:pageBreakBefore w:val="0"/>
        <w:spacing w:beforeAutospacing="0" w:afterAutospacing="0"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p>
    <w:p>
      <w:pPr>
        <w:ind w:firstLine="480"/>
        <w:pageBreakBefore w:val="0"/>
        <w:spacing w:beforeAutospacing="0" w:afterAutospacing="0"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w:t>
      </w:r>
      <w:r>
        <w:rPr>
          <w:rFonts w:hint="eastAsia" w:ascii="宋体" w:hAnsi="宋体"/>
          <w:bCs/>
          <w:color w:val="000000"/>
          <w:sz w:val="24"/>
          <w:szCs w:val="21"/>
        </w:rPr>
        <w:t xml:space="preserve">要求上传电子投标文件的。</w:t>
      </w:r>
      <w:r/>
    </w:p>
    <w:p>
      <w:pPr>
        <w:ind w:left="478"/>
        <w:pageBreakBefore w:val="0"/>
        <w:spacing w:beforeAutospacing="0" w:afterAutospacing="0"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 投标人</w:t>
      </w:r>
      <w:r>
        <w:rPr>
          <w:rFonts w:hint="eastAsia" w:ascii="宋体" w:hAnsi="宋体"/>
          <w:bCs/>
          <w:sz w:val="24"/>
          <w:szCs w:val="21"/>
        </w:rPr>
        <w:t xml:space="preserve">同一</w:t>
      </w:r>
      <w:r>
        <w:rPr>
          <w:rFonts w:ascii="宋体" w:hAnsi="宋体"/>
          <w:bCs/>
          <w:sz w:val="24"/>
          <w:szCs w:val="21"/>
        </w:rPr>
        <w:t xml:space="preserve">采购包</w:t>
      </w:r>
      <w:r>
        <w:rPr>
          <w:rFonts w:hint="eastAsia" w:ascii="宋体" w:hAnsi="宋体"/>
          <w:bCs/>
          <w:sz w:val="24"/>
          <w:szCs w:val="21"/>
        </w:rPr>
        <w:t xml:space="preserve">提</w:t>
      </w:r>
      <w:r>
        <w:rPr>
          <w:rFonts w:hint="eastAsia" w:ascii="宋体" w:hAnsi="宋体"/>
          <w:bCs/>
          <w:color w:val="000000"/>
          <w:sz w:val="24"/>
          <w:szCs w:val="21"/>
        </w:rPr>
        <w:t xml:space="preserve">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p>
    <w:p>
      <w:pPr>
        <w:ind w:left="478"/>
        <w:pageBreakBefore w:val="0"/>
        <w:spacing w:beforeAutospacing="0" w:afterAutospacing="0"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p>
    <w:p>
      <w:pPr>
        <w:ind w:firstLine="480"/>
        <w:pageBreakBefore w:val="0"/>
        <w:spacing w:beforeAutospacing="0" w:afterAutospacing="0"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p>
    <w:p>
      <w:pPr>
        <w:ind w:firstLine="480"/>
        <w:pageBreakBefore w:val="0"/>
        <w:spacing w:beforeAutospacing="0" w:afterAutospacing="0" w:line="4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p>
    <w:p>
      <w:pPr>
        <w:ind w:firstLine="360"/>
        <w:pageBreakBefore w:val="0"/>
        <w:spacing w:beforeAutospacing="0" w:afterAutospacing="0" w:line="400" w:lineRule="exact"/>
        <w:rPr>
          <w:rFonts w:hint="eastAsia"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不符合招标文件中规定的实质性要求的</w:t>
      </w:r>
      <w:r>
        <w:rPr>
          <w:rFonts w:hint="eastAsia" w:ascii="宋体" w:hAnsi="宋体"/>
          <w:b/>
          <w:bCs/>
          <w:sz w:val="24"/>
          <w:szCs w:val="21"/>
        </w:rPr>
        <w:t xml:space="preserve">（本招标文件中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p>
    <w:p>
      <w:pPr>
        <w:ind w:firstLine="480"/>
        <w:pageBreakBefore w:val="0"/>
        <w:spacing w:beforeAutospacing="0" w:afterAutospacing="0"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pageBreakBefore w:val="0"/>
        <w:spacing w:beforeAutospacing="0" w:afterAutospacing="0"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p>
    <w:p>
      <w:pPr>
        <w:ind w:firstLine="420"/>
        <w:pageBreakBefore w:val="0"/>
        <w:spacing w:beforeAutospacing="0" w:afterAutospacing="0"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26.1.10 评标委员会按照本招标文件规定对投标人进行异常低价投标审查后，认为投标人不能证明其报价合理性的。</w:t>
      </w:r>
      <w:r/>
    </w:p>
    <w:p>
      <w:pPr>
        <w:ind w:firstLine="420"/>
        <w:pageBreakBefore w:val="0"/>
        <w:spacing w:beforeAutospacing="0" w:afterAutospacing="0"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pageBreakBefore w:val="0"/>
        <w:spacing w:beforeAutospacing="0" w:afterAutospacing="0"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p>
    <w:p>
      <w:pPr>
        <w:ind w:firstLine="420"/>
        <w:pageBreakBefore w:val="0"/>
        <w:spacing w:beforeAutospacing="0" w:afterAutospacing="0"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26.1.13 投标人所投标产品不符合招标文件中所列国家强制性标准的。</w:t>
      </w:r>
      <w:r/>
    </w:p>
    <w:p>
      <w:pPr>
        <w:ind w:firstLine="480"/>
        <w:pageBreakBefore w:val="0"/>
        <w:spacing w:beforeAutospacing="0" w:afterAutospacing="0"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hint="eastAsia" w:ascii="宋体" w:hAnsi="宋体"/>
          <w:bCs/>
          <w:color w:val="000000"/>
          <w:sz w:val="24"/>
          <w:szCs w:val="21"/>
          <w:lang w:val="en-US" w:eastAsia="zh-CN"/>
        </w:rPr>
        <w:t xml:space="preserve">4</w:t>
      </w:r>
      <w:r>
        <w:rPr>
          <w:rFonts w:hint="eastAsia" w:ascii="宋体" w:hAnsi="宋体"/>
          <w:bCs/>
          <w:color w:val="000000"/>
          <w:sz w:val="24"/>
          <w:szCs w:val="21"/>
        </w:rPr>
        <w:t xml:space="preserve">其他法律、法规及本招标文件规定的属无效投标的情形。</w:t>
      </w:r>
      <w:r/>
    </w:p>
    <w:p>
      <w:pPr>
        <w:ind w:left="478"/>
        <w:pageBreakBefore w:val="0"/>
        <w:spacing w:beforeAutospacing="0" w:afterAutospacing="0" w:line="400" w:lineRule="exact"/>
        <w:rPr>
          <w:rFonts w:hint="eastAsia" w:ascii="宋体" w:hAnsi="宋体" w:eastAsia="宋体"/>
          <w:bCs/>
          <w:color w:val="000000"/>
          <w:sz w:val="24"/>
          <w:szCs w:val="21"/>
          <w:lang w:val="en-US" w:eastAsia="zh-CN"/>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.2废标条款</w:t>
      </w:r>
      <w:r>
        <w:rPr>
          <w:rFonts w:hint="eastAsia" w:ascii="宋体" w:hAnsi="宋体"/>
          <w:bCs/>
          <w:color w:val="000000"/>
          <w:sz w:val="24"/>
          <w:szCs w:val="21"/>
          <w:lang w:val="en-US" w:eastAsia="zh-CN"/>
        </w:rPr>
        <w:t xml:space="preserve"> </w:t>
      </w:r>
      <w:r/>
    </w:p>
    <w:p>
      <w:pPr>
        <w:ind w:left="478"/>
        <w:pageBreakBefore w:val="0"/>
        <w:spacing w:beforeAutospacing="0" w:afterAutospacing="0"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.2.1符合专业条件的供应商或者对招标文件作实质响应的供应商不足三</w:t>
      </w:r>
      <w:r/>
    </w:p>
    <w:p>
      <w:pPr>
        <w:pageBreakBefore w:val="0"/>
        <w:spacing w:beforeAutospacing="0" w:afterAutospacing="0" w:line="400" w:lineRule="exact"/>
        <w:rPr>
          <w:rFonts w:ascii="宋体" w:hAnsi="宋体"/>
          <w:bCs/>
          <w:color w:val="000000"/>
          <w:sz w:val="24"/>
          <w:szCs w:val="21"/>
        </w:rPr>
      </w:pPr>
      <w:r>
        <w:rPr>
          <w:rFonts w:hint="eastAsia" w:ascii="宋体" w:hAnsi="宋体"/>
          <w:bCs/>
          <w:color w:val="000000"/>
          <w:sz w:val="24"/>
          <w:szCs w:val="21"/>
        </w:rPr>
        <w:t xml:space="preserve">家的。</w:t>
      </w:r>
      <w:r/>
    </w:p>
    <w:p>
      <w:pPr>
        <w:ind w:firstLine="480"/>
        <w:pageBreakBefore w:val="0"/>
        <w:spacing w:beforeAutospacing="0" w:afterAutospacing="0"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.2.2出现影响采购公正的违法、违规行为的。</w:t>
      </w:r>
      <w:r/>
    </w:p>
    <w:p>
      <w:pPr>
        <w:ind w:left="478"/>
        <w:pageBreakBefore w:val="0"/>
        <w:spacing w:beforeAutospacing="0" w:afterAutospacing="0"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.2.3因重大变故，采购任务取消的。</w:t>
      </w:r>
      <w:r/>
    </w:p>
    <w:p>
      <w:pPr>
        <w:ind w:left="478"/>
        <w:pageBreakBefore w:val="0"/>
        <w:spacing w:beforeAutospacing="0" w:afterAutospacing="0"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.2.4评标委员会认定招标文件存在歧义、重大缺陷导致评审工作无法进</w:t>
      </w:r>
      <w:r/>
    </w:p>
    <w:p>
      <w:pPr>
        <w:pageBreakBefore w:val="0"/>
        <w:spacing w:beforeAutospacing="0" w:afterAutospacing="0" w:line="400" w:lineRule="exact"/>
        <w:rPr>
          <w:rFonts w:ascii="宋体" w:hAnsi="宋体"/>
          <w:bCs/>
          <w:color w:val="000000"/>
          <w:sz w:val="24"/>
          <w:szCs w:val="21"/>
        </w:rPr>
      </w:pPr>
      <w:r>
        <w:rPr>
          <w:rFonts w:hint="eastAsia" w:ascii="宋体" w:hAnsi="宋体"/>
          <w:bCs/>
          <w:color w:val="000000"/>
          <w:sz w:val="24"/>
          <w:szCs w:val="21"/>
        </w:rPr>
        <w:t xml:space="preserve">行。</w:t>
      </w:r>
      <w:r/>
    </w:p>
    <w:p>
      <w:pPr>
        <w:ind w:left="478"/>
        <w:pageBreakBefore w:val="0"/>
        <w:spacing w:beforeAutospacing="0" w:afterAutospacing="0" w:line="400" w:lineRule="exact"/>
        <w:rPr>
          <w:rFonts w:ascii="宋体" w:hAnsi="宋体" w:eastAsia="宋体"/>
          <w:bCs/>
          <w:sz w:val="24"/>
          <w:szCs w:val="21"/>
          <w:lang w:val="en-US" w:eastAsia="zh-CN"/>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w:t>
      </w:r>
      <w:r>
        <w:rPr>
          <w:rFonts w:hint="eastAsia" w:ascii="宋体" w:hAnsi="宋体"/>
          <w:bCs/>
          <w:sz w:val="24"/>
          <w:szCs w:val="21"/>
        </w:rPr>
        <w:t xml:space="preserve">.5 因</w:t>
      </w:r>
      <w:r>
        <w:rPr>
          <w:rFonts w:hint="eastAsia" w:ascii="宋体" w:hAnsi="宋体"/>
          <w:sz w:val="24"/>
          <w:szCs w:val="24"/>
        </w:rPr>
        <w:t xml:space="preserve">苏采云</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hint="eastAsia" w:ascii="宋体" w:hAnsi="宋体"/>
          <w:bCs/>
          <w:sz w:val="24"/>
          <w:szCs w:val="21"/>
          <w:lang w:val="en-US" w:eastAsia="zh-CN"/>
        </w:rPr>
        <w:t xml:space="preserve">  </w:t>
      </w:r>
      <w:r/>
    </w:p>
    <w:p>
      <w:pPr>
        <w:ind w:left="478"/>
        <w:pageBreakBefore w:val="0"/>
        <w:spacing w:beforeAutospacing="0" w:afterAutospacing="0"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 投标截止时间结束后</w:t>
      </w:r>
      <w:r>
        <w:rPr>
          <w:rFonts w:hint="eastAsia" w:ascii="宋体" w:hAnsi="宋体"/>
          <w:bCs/>
          <w:color w:val="000000"/>
          <w:sz w:val="24"/>
          <w:szCs w:val="21"/>
        </w:rPr>
        <w:t xml:space="preserve">参加投标的供应商不足三家的处理：</w:t>
      </w:r>
      <w:r/>
    </w:p>
    <w:p>
      <w:pPr>
        <w:ind w:firstLine="480"/>
        <w:pageBreakBefore w:val="0"/>
        <w:spacing w:beforeAutospacing="0" w:afterAutospacing="0"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p>
    <w:p>
      <w:pPr>
        <w:ind w:firstLine="480"/>
        <w:keepLines/>
        <w:keepNext/>
        <w:pageBreakBefore w:val="0"/>
        <w:spacing w:beforeAutospacing="0" w:afterAutospacing="0" w:line="400" w:lineRule="exact"/>
        <w:rPr>
          <w:rFonts w:hint="eastAsia" w:ascii="Times New Roman" w:hAnsi="Times New Roman"/>
          <w:b/>
          <w:bCs/>
          <w:color w:val="000000"/>
          <w:sz w:val="32"/>
          <w:szCs w:val="32"/>
        </w:rPr>
        <w:outlineLvl w:val="2"/>
      </w:pPr>
      <w:r/>
      <w:bookmarkStart w:id="155" w:name="_Toc120614219"/>
      <w:r>
        <w:rPr>
          <w:rFonts w:hint="eastAsia" w:ascii="Times New Roman" w:hAnsi="Times New Roman"/>
          <w:b/>
          <w:bCs/>
          <w:color w:val="000000"/>
          <w:sz w:val="32"/>
          <w:szCs w:val="32"/>
        </w:rPr>
        <w:t xml:space="preserve">六、</w:t>
      </w:r>
      <w:bookmarkEnd w:id="152"/>
      <w:r/>
      <w:bookmarkEnd w:id="153"/>
      <w:r/>
      <w:bookmarkEnd w:id="154"/>
      <w:r>
        <w:rPr>
          <w:rFonts w:hint="eastAsia" w:ascii="Times New Roman" w:hAnsi="Times New Roman"/>
          <w:b/>
          <w:bCs/>
          <w:color w:val="000000"/>
          <w:sz w:val="32"/>
          <w:szCs w:val="32"/>
        </w:rPr>
        <w:t xml:space="preserve">定标</w:t>
      </w:r>
      <w:bookmarkEnd w:id="155"/>
      <w:r/>
      <w:r/>
    </w:p>
    <w:p>
      <w:pPr>
        <w:ind w:firstLine="600"/>
        <w:keepLines/>
        <w:keepNext/>
        <w:pageBreakBefore w:val="0"/>
        <w:spacing w:beforeAutospacing="0" w:afterAutospacing="0" w:line="400" w:lineRule="exact"/>
        <w:rPr>
          <w:rFonts w:hint="eastAsia" w:ascii="黑体" w:hAnsi="宋体" w:eastAsia="黑体"/>
          <w:bCs/>
          <w:color w:val="000000"/>
          <w:sz w:val="30"/>
          <w:szCs w:val="30"/>
        </w:rPr>
        <w:outlineLvl w:val="3"/>
      </w:pPr>
      <w:r/>
      <w:bookmarkStart w:id="156" w:name="_Toc513029238"/>
      <w:r/>
      <w:bookmarkStart w:id="157" w:name="_Toc16938554"/>
      <w:r/>
      <w:bookmarkStart w:id="158" w:name="_Toc20823310"/>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7</w:t>
      </w:r>
      <w:r>
        <w:rPr>
          <w:rFonts w:hint="eastAsia" w:ascii="黑体" w:hAnsi="宋体" w:eastAsia="黑体"/>
          <w:bCs/>
          <w:color w:val="000000"/>
          <w:sz w:val="30"/>
          <w:szCs w:val="30"/>
        </w:rPr>
        <w:t xml:space="preserve">、</w:t>
      </w:r>
      <w:bookmarkEnd w:id="156"/>
      <w:r>
        <w:rPr>
          <w:rFonts w:hint="eastAsia" w:ascii="黑体" w:hAnsi="宋体" w:eastAsia="黑体"/>
          <w:bCs/>
          <w:color w:val="000000"/>
          <w:sz w:val="30"/>
          <w:szCs w:val="30"/>
        </w:rPr>
        <w:t xml:space="preserve">确定</w:t>
      </w:r>
      <w:bookmarkEnd w:id="157"/>
      <w:r/>
      <w:bookmarkEnd w:id="158"/>
      <w:r>
        <w:rPr>
          <w:rFonts w:hint="eastAsia" w:ascii="黑体" w:hAnsi="宋体" w:eastAsia="黑体"/>
          <w:bCs/>
          <w:color w:val="000000"/>
          <w:sz w:val="30"/>
          <w:szCs w:val="30"/>
        </w:rPr>
        <w:t xml:space="preserve">中标单位</w:t>
      </w:r>
      <w:r/>
    </w:p>
    <w:p>
      <w:pPr>
        <w:ind w:firstLine="480"/>
        <w:pageBreakBefore w:val="0"/>
        <w:spacing w:beforeAutospacing="0" w:afterAutospacing="0" w:line="400" w:lineRule="exact"/>
        <w:rPr>
          <w:rFonts w:hint="eastAsia"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r/>
    </w:p>
    <w:p>
      <w:pPr>
        <w:ind w:firstLine="480"/>
        <w:pageBreakBefore w:val="0"/>
        <w:spacing w:beforeAutospacing="0" w:afterAutospacing="0" w:line="400" w:lineRule="exact"/>
        <w:rPr>
          <w:rFonts w:hint="eastAsia" w:ascii="宋体" w:hAnsi="宋体"/>
          <w:bCs/>
          <w:color w:val="000000"/>
          <w:sz w:val="24"/>
          <w:szCs w:val="21"/>
        </w:rPr>
      </w:pPr>
      <w:r>
        <w:rPr>
          <w:rFonts w:hint="eastAsia" w:ascii="宋体" w:hAnsi="宋体"/>
          <w:bCs/>
          <w:color w:val="000000"/>
          <w:sz w:val="24"/>
          <w:szCs w:val="21"/>
        </w:rPr>
        <w:t xml:space="preserve">27.2 采购人应根据</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推荐的中标候选人确定中标供应商。</w:t>
      </w:r>
      <w:r/>
    </w:p>
    <w:p>
      <w:pPr>
        <w:ind w:firstLine="480"/>
        <w:pageBreakBefore w:val="0"/>
        <w:spacing w:beforeAutospacing="0" w:afterAutospacing="0" w:line="400" w:lineRule="exact"/>
        <w:rPr>
          <w:rFonts w:hint="eastAsia"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rPr>
        <w:t xml:space="preserve">采购中心将在“江苏政府采购网”发布中标公告，公告期限为1个工作日。</w:t>
      </w:r>
      <w:r/>
    </w:p>
    <w:p>
      <w:pPr>
        <w:ind w:firstLine="480"/>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4"/>
        </w:rPr>
        <w:t xml:space="preserve">27.4 若有充分证据证明，中标供应商出现下列情况之一的，一经查实，将被取消中标资格：</w:t>
      </w:r>
      <w:r/>
    </w:p>
    <w:p>
      <w:pPr>
        <w:ind w:firstLine="480"/>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p>
    <w:p>
      <w:pPr>
        <w:ind w:firstLine="480"/>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4"/>
        </w:rPr>
        <w:t xml:space="preserve">27.4.2向采购人、采购中心行贿或者提供其他不正当利益的。</w:t>
      </w:r>
      <w:r/>
    </w:p>
    <w:p>
      <w:pPr>
        <w:ind w:firstLine="480"/>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27.4.3属于本文件规定的无效条件，但在评标过程中又未被</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发现的。</w:t>
      </w:r>
      <w:r/>
    </w:p>
    <w:p>
      <w:pPr>
        <w:ind w:firstLine="480"/>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p>
    <w:p>
      <w:pPr>
        <w:ind w:firstLine="480"/>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p>
    <w:p>
      <w:pPr>
        <w:ind w:firstLine="480"/>
        <w:pageBreakBefore w:val="0"/>
        <w:spacing w:beforeAutospacing="0" w:afterAutospacing="0" w:line="400" w:lineRule="exact"/>
        <w:rPr>
          <w:rFonts w:ascii="宋体" w:hAnsi="宋体"/>
          <w:color w:val="000000"/>
          <w:sz w:val="24"/>
          <w:szCs w:val="24"/>
        </w:rPr>
      </w:pPr>
      <w:r/>
      <w:bookmarkStart w:id="159" w:name="_Toc200451960"/>
      <w:r>
        <w:rPr>
          <w:rFonts w:hint="eastAsia" w:ascii="宋体" w:hAnsi="宋体"/>
          <w:color w:val="000000"/>
          <w:sz w:val="24"/>
          <w:szCs w:val="24"/>
        </w:rPr>
        <w:t xml:space="preserve">27.5 </w:t>
      </w:r>
      <w:r>
        <w:rPr>
          <w:rFonts w:ascii="Times New Roman" w:hAnsi="宋体" w:cs="宋体"/>
          <w:color w:val="000000"/>
          <w:sz w:val="24"/>
          <w:szCs w:val="24"/>
        </w:rPr>
        <w:t xml:space="preserve">有下列情形之一的，</w:t>
      </w:r>
      <w:r>
        <w:rPr>
          <w:rFonts w:hint="eastAsia" w:ascii="Times New Roman" w:hAnsi="宋体" w:cs="宋体"/>
          <w:color w:val="000000"/>
          <w:sz w:val="24"/>
          <w:szCs w:val="24"/>
        </w:rPr>
        <w:t xml:space="preserve">视为投标人</w:t>
      </w:r>
      <w:r>
        <w:rPr>
          <w:rFonts w:ascii="Times New Roman" w:hAnsi="宋体" w:cs="宋体"/>
          <w:color w:val="000000"/>
          <w:sz w:val="24"/>
          <w:szCs w:val="24"/>
        </w:rPr>
        <w:t xml:space="preserve">串通</w:t>
      </w:r>
      <w:r>
        <w:rPr>
          <w:rFonts w:hint="eastAsia" w:ascii="Times New Roman" w:hAnsi="宋体" w:cs="宋体"/>
          <w:color w:val="000000"/>
          <w:sz w:val="24"/>
          <w:szCs w:val="24"/>
        </w:rPr>
        <w:t xml:space="preserve">投标，投标无效：</w:t>
      </w:r>
      <w:r/>
    </w:p>
    <w:p>
      <w:pPr>
        <w:ind w:firstLine="480"/>
        <w:pageBreakBefore w:val="0"/>
        <w:spacing w:beforeAutospacing="0" w:afterAutospacing="0" w:line="4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p>
    <w:p>
      <w:pPr>
        <w:ind w:firstLine="480"/>
        <w:pageBreakBefore w:val="0"/>
        <w:spacing w:beforeAutospacing="0" w:afterAutospacing="0"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p>
    <w:p>
      <w:pPr>
        <w:ind w:firstLine="480"/>
        <w:pageBreakBefore w:val="0"/>
        <w:spacing w:beforeAutospacing="0" w:afterAutospacing="0"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p>
    <w:p>
      <w:pPr>
        <w:ind w:firstLine="480"/>
        <w:pageBreakBefore w:val="0"/>
        <w:spacing w:beforeAutospacing="0" w:afterAutospacing="0" w:line="4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p>
    <w:p>
      <w:pPr>
        <w:ind w:firstLine="600"/>
        <w:keepLines/>
        <w:keepNext/>
        <w:pageBreakBefore w:val="0"/>
        <w:spacing w:beforeAutospacing="0" w:afterAutospacing="0"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28</w:t>
      </w:r>
      <w:r>
        <w:rPr>
          <w:rFonts w:hint="eastAsia" w:ascii="黑体" w:hAnsi="宋体" w:eastAsia="黑体"/>
          <w:bCs/>
          <w:color w:val="000000"/>
          <w:sz w:val="30"/>
          <w:szCs w:val="30"/>
        </w:rPr>
        <w:t xml:space="preserve">、质疑处理</w:t>
      </w:r>
      <w:bookmarkEnd w:id="159"/>
      <w:r/>
      <w:r/>
    </w:p>
    <w:p>
      <w:pPr>
        <w:ind w:firstLine="480"/>
        <w:pageBreakBefore w:val="0"/>
        <w:spacing w:beforeAutospacing="0" w:afterAutospacing="0"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ind w:firstLine="480"/>
        <w:pageBreakBefore w:val="0"/>
        <w:spacing w:beforeAutospacing="0" w:afterAutospacing="0"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pageBreakBefore w:val="0"/>
        <w:spacing w:beforeAutospacing="0" w:afterAutospacing="0" w:line="400" w:lineRule="exact"/>
        <w:rPr>
          <w:rFonts w:hint="eastAsia" w:ascii="Times New Roman"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ascii="Times New Roman" w:hAnsi="宋体" w:cs="宋体"/>
          <w:color w:val="000000"/>
          <w:sz w:val="24"/>
          <w:szCs w:val="24"/>
        </w:rPr>
        <w:t xml:space="preserve">对可以质疑的采购文件提出质疑的，为收到采购文件之日或者采购文件公告期限届满之日；</w:t>
      </w:r>
      <w:r>
        <w:rPr>
          <w:rFonts w:ascii="Times New Roman" w:hAnsi="宋体" w:cs="宋体"/>
          <w:color w:val="000000"/>
          <w:sz w:val="24"/>
          <w:szCs w:val="24"/>
        </w:rPr>
        <w:br w:type="textWrapping" w:clear="all"/>
      </w:r>
      <w:r>
        <w:rPr>
          <w:rFonts w:ascii="Times New Roman"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ascii="Times New Roman" w:hAnsi="宋体" w:cs="宋体"/>
          <w:color w:val="000000"/>
          <w:sz w:val="24"/>
          <w:szCs w:val="24"/>
        </w:rPr>
        <w:t xml:space="preserve">对采购过程提出质疑的，为各采购程序环节结束之日；</w:t>
      </w:r>
      <w:r>
        <w:rPr>
          <w:rFonts w:ascii="Times New Roman" w:hAnsi="宋体" w:cs="宋体"/>
          <w:color w:val="000000"/>
          <w:sz w:val="24"/>
          <w:szCs w:val="24"/>
        </w:rPr>
        <w:br w:type="textWrapping" w:clear="all"/>
      </w:r>
      <w:r>
        <w:rPr>
          <w:rFonts w:ascii="Times New Roman"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ascii="Times New Roman" w:hAnsi="宋体" w:cs="宋体"/>
          <w:color w:val="000000"/>
          <w:sz w:val="24"/>
          <w:szCs w:val="24"/>
        </w:rPr>
        <w:t xml:space="preserve">对中标或者成交结果提出质疑的，为中标或者成交结果公告期限届满之日。</w:t>
      </w:r>
      <w:r/>
    </w:p>
    <w:p>
      <w:pPr>
        <w:ind w:firstLine="480"/>
        <w:pageBreakBefore w:val="0"/>
        <w:spacing w:beforeAutospacing="0" w:afterAutospacing="0" w:line="400" w:lineRule="exact"/>
        <w:rPr>
          <w:rFonts w:hint="eastAsia" w:ascii="Times New Roman" w:hAnsi="宋体" w:cs="宋体"/>
          <w:color w:val="000000"/>
          <w:sz w:val="24"/>
          <w:szCs w:val="24"/>
        </w:rPr>
      </w:pPr>
      <w:r>
        <w:rPr>
          <w:rFonts w:hint="eastAsia" w:ascii="Times New Roman" w:hAnsi="宋体" w:cs="宋体"/>
          <w:color w:val="000000"/>
          <w:sz w:val="24"/>
          <w:szCs w:val="24"/>
        </w:rPr>
        <w:t xml:space="preserve">供应商应当在法定质疑期内一次性提出针对同一采购程序环节的质疑。供应商如在法定期限内对同一采购程序环节提出多次质疑的，采购中心、</w:t>
      </w:r>
      <w:r>
        <w:rPr>
          <w:rFonts w:ascii="Times New Roman" w:hAnsi="宋体" w:cs="宋体"/>
          <w:color w:val="000000"/>
          <w:sz w:val="24"/>
          <w:szCs w:val="24"/>
        </w:rPr>
        <w:t xml:space="preserve">采购人</w:t>
      </w:r>
      <w:r>
        <w:rPr>
          <w:rFonts w:hint="eastAsia" w:ascii="Times New Roman" w:hAnsi="宋体" w:cs="宋体"/>
          <w:color w:val="000000"/>
          <w:sz w:val="24"/>
          <w:szCs w:val="24"/>
        </w:rPr>
        <w:t xml:space="preserve">将只对供应商第一次质疑作出答复。</w:t>
      </w:r>
      <w:r/>
    </w:p>
    <w:p>
      <w:pPr>
        <w:ind w:firstLine="480"/>
        <w:pageBreakBefore w:val="0"/>
        <w:spacing w:beforeAutospacing="0" w:afterAutospacing="0"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pageBreakBefore w:val="0"/>
        <w:spacing w:beforeAutospacing="0" w:afterAutospacing="0" w:line="400" w:lineRule="exact"/>
        <w:rPr>
          <w:rFonts w:ascii="宋体" w:hAnsi="宋体"/>
          <w:b/>
          <w:sz w:val="24"/>
          <w:szCs w:val="24"/>
        </w:rPr>
      </w:pPr>
      <w:r>
        <w:rPr>
          <w:rFonts w:ascii="宋体" w:hAnsi="宋体"/>
          <w:sz w:val="24"/>
          <w:szCs w:val="24"/>
        </w:rPr>
        <w:t xml:space="preserve">28.</w:t>
      </w:r>
      <w:r>
        <w:rPr>
          <w:rFonts w:hint="eastAsia" w:ascii="宋体" w:hAnsi="宋体"/>
          <w:sz w:val="24"/>
          <w:szCs w:val="24"/>
        </w:rPr>
        <w:t xml:space="preserve">4 供应商（含潜在</w:t>
      </w:r>
      <w:r>
        <w:rPr>
          <w:rFonts w:ascii="宋体" w:hAnsi="宋体"/>
          <w:sz w:val="24"/>
          <w:szCs w:val="24"/>
        </w:rPr>
        <w:t xml:space="preserve">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p>
    <w:p>
      <w:pPr>
        <w:ind w:firstLine="480"/>
        <w:pageBreakBefore w:val="0"/>
        <w:spacing w:beforeAutospacing="0" w:afterAutospacing="0" w:line="400" w:lineRule="exact"/>
        <w:rPr>
          <w:rFonts w:hint="eastAsia" w:ascii="宋体" w:hAnsi="宋体"/>
          <w:sz w:val="24"/>
          <w:szCs w:val="24"/>
        </w:rPr>
      </w:pPr>
      <w:r>
        <w:rPr>
          <w:rFonts w:hint="eastAsia" w:ascii="宋体" w:hAnsi="宋体"/>
          <w:sz w:val="24"/>
          <w:szCs w:val="24"/>
        </w:rPr>
        <w:t xml:space="preserve">采购人只接收以纸质原件形式送达的质疑,建议供应商尽量通过邮寄方式提交质疑（采购人不接受无快递运</w:t>
      </w:r>
      <w:r>
        <w:rPr>
          <w:rFonts w:ascii="宋体" w:hAnsi="宋体"/>
          <w:sz w:val="24"/>
          <w:szCs w:val="24"/>
        </w:rPr>
        <w:t xml:space="preserve">单号</w:t>
      </w:r>
      <w:r>
        <w:rPr>
          <w:rFonts w:hint="eastAsia" w:ascii="宋体" w:hAnsi="宋体"/>
          <w:sz w:val="24"/>
          <w:szCs w:val="24"/>
        </w:rPr>
        <w:t xml:space="preserve">的快递）。</w:t>
      </w:r>
      <w:r/>
    </w:p>
    <w:p>
      <w:pPr>
        <w:ind w:firstLine="480"/>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4"/>
        </w:rPr>
        <w:t xml:space="preserve">采购人质疑接收人及联系方式见招标文件第一章。</w:t>
      </w:r>
      <w:r/>
    </w:p>
    <w:p>
      <w:pPr>
        <w:ind w:firstLine="480"/>
        <w:pageBreakBefore w:val="0"/>
        <w:spacing w:beforeAutospacing="0" w:afterAutospacing="0"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 以下情形的质疑不予受理</w:t>
      </w:r>
      <w:r/>
    </w:p>
    <w:p>
      <w:pPr>
        <w:ind w:firstLine="480"/>
        <w:pageBreakBefore w:val="0"/>
        <w:spacing w:beforeAutospacing="0" w:afterAutospacing="0"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 内容不符合《政府采购质疑和投诉办法》第十二条规定的质疑。</w:t>
      </w:r>
      <w:r/>
    </w:p>
    <w:p>
      <w:pPr>
        <w:ind w:firstLine="480"/>
        <w:pageBreakBefore w:val="0"/>
        <w:spacing w:beforeAutospacing="0" w:afterAutospacing="0"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 超出政府采购法定期限的质疑。</w:t>
      </w:r>
      <w:r/>
    </w:p>
    <w:p>
      <w:pPr>
        <w:ind w:firstLine="480"/>
        <w:pageBreakBefore w:val="0"/>
        <w:spacing w:beforeAutospacing="0" w:afterAutospacing="0"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 以传真、电子邮件等方式递交的非原件形式的质疑。</w:t>
      </w:r>
      <w:r/>
    </w:p>
    <w:p>
      <w:pPr>
        <w:ind w:firstLine="480"/>
        <w:pageBreakBefore w:val="0"/>
        <w:spacing w:beforeAutospacing="0" w:afterAutospacing="0"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 未参加投标活动的供应商或在投标活动中自身权益未受到损害的供应商所提出的质疑。</w:t>
      </w:r>
      <w:r/>
    </w:p>
    <w:p>
      <w:pPr>
        <w:ind w:firstLine="480"/>
        <w:pageBreakBefore w:val="0"/>
        <w:spacing w:beforeAutospacing="0" w:afterAutospacing="0"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p>
    <w:p>
      <w:pPr>
        <w:ind w:firstLine="468"/>
        <w:pageBreakBefore w:val="0"/>
        <w:spacing w:beforeAutospacing="0" w:afterAutospacing="0"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00"/>
        <w:keepLines/>
        <w:keepNext/>
        <w:pageBreakBefore w:val="0"/>
        <w:spacing w:beforeAutospacing="0" w:afterAutospacing="0"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、中标通知书</w:t>
      </w:r>
      <w:r/>
    </w:p>
    <w:p>
      <w:pPr>
        <w:ind w:firstLine="600"/>
        <w:pageBreakBefore w:val="0"/>
        <w:spacing w:beforeAutospacing="0" w:afterAutospacing="0" w:line="400" w:lineRule="exact"/>
        <w:rPr>
          <w:rFonts w:hint="eastAsia" w:ascii="宋体" w:hAnsi="宋体"/>
          <w:sz w:val="24"/>
          <w:szCs w:val="24"/>
        </w:rPr>
      </w:pPr>
      <w:r>
        <w:rPr>
          <w:rFonts w:ascii="宋体" w:hAnsi="宋体"/>
          <w:color w:val="000000"/>
          <w:sz w:val="24"/>
          <w:szCs w:val="24"/>
        </w:rPr>
        <w:t xml:space="preserve">29.</w:t>
      </w:r>
      <w:r>
        <w:rPr>
          <w:rFonts w:hint="eastAsia" w:ascii="宋体" w:hAnsi="宋体"/>
          <w:color w:val="000000"/>
          <w:sz w:val="24"/>
          <w:szCs w:val="24"/>
        </w:rPr>
        <w:t xml:space="preserve">l中标结果确定后，采购中心将向中标供应商发出中标通知书。请中标供应商在中标结果公告届满之日起30日内,使用CA</w:t>
      </w:r>
      <w:r>
        <w:rPr>
          <w:rFonts w:hint="eastAsia" w:ascii="宋体" w:hAnsi="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pageBreakBefore w:val="0"/>
        <w:spacing w:beforeAutospacing="0" w:afterAutospacing="0" w:line="40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keepLines/>
        <w:keepNext/>
        <w:pageBreakBefore w:val="0"/>
        <w:spacing w:beforeAutospacing="0" w:afterAutospacing="0" w:line="400" w:lineRule="exact"/>
        <w:rPr>
          <w:rFonts w:hint="eastAsia" w:ascii="Times New Roman" w:hAnsi="Times New Roman"/>
          <w:b/>
          <w:bCs/>
          <w:color w:val="000000"/>
          <w:sz w:val="32"/>
          <w:szCs w:val="32"/>
        </w:rPr>
        <w:outlineLvl w:val="2"/>
      </w:pPr>
      <w:r/>
      <w:bookmarkStart w:id="160" w:name="_Toc16938552"/>
      <w:r/>
      <w:bookmarkStart w:id="161" w:name="_Toc120614220"/>
      <w:r/>
      <w:bookmarkStart w:id="162" w:name="_Toc20823308"/>
      <w:r/>
      <w:bookmarkStart w:id="163" w:name="_Toc513029236"/>
      <w:r>
        <w:rPr>
          <w:rFonts w:hint="eastAsia" w:ascii="Times New Roman" w:hAnsi="Times New Roman"/>
          <w:b/>
          <w:bCs/>
          <w:color w:val="000000"/>
          <w:sz w:val="32"/>
          <w:szCs w:val="32"/>
        </w:rPr>
        <w:t xml:space="preserve">七、授予合同</w:t>
      </w:r>
      <w:bookmarkEnd w:id="160"/>
      <w:r/>
      <w:bookmarkEnd w:id="161"/>
      <w:r/>
      <w:bookmarkEnd w:id="162"/>
      <w:r/>
      <w:bookmarkEnd w:id="163"/>
      <w:r/>
      <w:r/>
    </w:p>
    <w:p>
      <w:pPr>
        <w:ind w:firstLine="600"/>
        <w:keepLines/>
        <w:keepNext/>
        <w:pageBreakBefore w:val="0"/>
        <w:spacing w:beforeAutospacing="0" w:afterAutospacing="0" w:line="400" w:lineRule="exact"/>
        <w:rPr>
          <w:rFonts w:hint="eastAsia" w:ascii="黑体" w:hAnsi="宋体" w:eastAsia="黑体"/>
          <w:bCs/>
          <w:color w:val="000000"/>
          <w:sz w:val="30"/>
          <w:szCs w:val="30"/>
        </w:rPr>
        <w:outlineLvl w:val="3"/>
      </w:pPr>
      <w:r/>
      <w:bookmarkStart w:id="164" w:name="_Toc16938553"/>
      <w:r/>
      <w:bookmarkStart w:id="165" w:name="_Toc513029237"/>
      <w:r/>
      <w:bookmarkStart w:id="166" w:name="_Toc20823309"/>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、签订合同</w:t>
      </w:r>
      <w:r/>
    </w:p>
    <w:p>
      <w:pPr>
        <w:ind w:firstLine="600"/>
        <w:pageBreakBefore w:val="0"/>
        <w:spacing w:beforeAutospacing="0" w:afterAutospacing="0" w:line="400" w:lineRule="exact"/>
        <w:rPr>
          <w:rFonts w:hint="eastAsia"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l中标供应商应当在中标通知书发出之日起三十日内，按照招标文件确定的事项与采购人签订政府采购合同。</w:t>
      </w:r>
      <w:r/>
    </w:p>
    <w:p>
      <w:pPr>
        <w:ind w:firstLine="600"/>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4"/>
        </w:rPr>
        <w:t xml:space="preserve">30.2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p>
    <w:p>
      <w:pPr>
        <w:ind w:firstLine="600"/>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keepLines/>
        <w:keepNext/>
        <w:pageBreakBefore w:val="0"/>
        <w:spacing w:beforeAutospacing="0" w:afterAutospacing="0" w:line="40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、货物（包含与货物相关的服务）的追加</w:t>
      </w:r>
      <w:r/>
    </w:p>
    <w:p>
      <w:pPr>
        <w:ind w:firstLine="480"/>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64"/>
      <w:r/>
      <w:bookmarkEnd w:id="165"/>
      <w:r/>
      <w:bookmarkEnd w:id="166"/>
      <w:r/>
      <w:r/>
    </w:p>
    <w:p>
      <w:pPr>
        <w:ind w:firstLine="600"/>
        <w:keepLines/>
        <w:keepNext/>
        <w:pageBreakBefore w:val="0"/>
        <w:spacing w:beforeAutospacing="0" w:afterAutospacing="0" w:line="400" w:lineRule="exact"/>
        <w:rPr>
          <w:rFonts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、政府采购履约资金扶持政策</w:t>
      </w:r>
      <w:r/>
    </w:p>
    <w:p>
      <w:pPr>
        <w:ind w:firstLine="555"/>
        <w:pageBreakBefore w:val="0"/>
        <w:spacing w:beforeAutospacing="0" w:afterAutospacing="0" w:line="400" w:lineRule="exact"/>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p>
    <w:p>
      <w:pPr>
        <w:ind w:firstLine="420"/>
        <w:pageBreakBefore w:val="0"/>
        <w:spacing w:beforeAutospacing="0" w:afterAutospacing="0" w:line="400" w:lineRule="exact"/>
        <w:rPr>
          <w:rFonts w:hint="eastAsia" w:ascii="Times New Roman" w:hAnsi="Times New Roman"/>
          <w:color w:val="000000"/>
          <w:szCs w:val="21"/>
        </w:rPr>
      </w:pPr>
      <w:r>
        <w:rPr>
          <w:rFonts w:hint="eastAsia" w:ascii="Times New Roman" w:hAnsi="Times New Roman"/>
          <w:color w:val="000000"/>
          <w:szCs w:val="21"/>
        </w:rPr>
      </w:r>
      <w:r/>
    </w:p>
    <w:p>
      <w:pPr>
        <w:pageBreakBefore w:val="0"/>
        <w:spacing w:beforeAutospacing="0" w:afterAutospacing="0" w:line="500" w:lineRule="exact"/>
        <w:rPr>
          <w:rFonts w:hint="eastAsia" w:ascii="宋体" w:hAnsi="宋体"/>
          <w:bCs/>
          <w:color w:val="000000"/>
          <w:sz w:val="24"/>
          <w:szCs w:val="24"/>
        </w:rPr>
      </w:pPr>
      <w:r>
        <w:rPr>
          <w:rFonts w:hint="eastAsia" w:ascii="宋体" w:hAnsi="宋体"/>
          <w:bCs/>
          <w:color w:val="000000"/>
          <w:sz w:val="24"/>
          <w:szCs w:val="24"/>
        </w:rPr>
      </w:r>
      <w:r/>
    </w:p>
    <w:p>
      <w:pPr>
        <w:ind w:firstLine="2640"/>
        <w:jc w:val="left"/>
        <w:keepLines w:val="0"/>
        <w:keepNext w:val="0"/>
        <w:pageBreakBefore w:val="0"/>
        <w:spacing w:beforeAutospacing="0" w:afterAutospacing="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ind w:firstLine="2640"/>
        <w:jc w:val="left"/>
        <w:keepLines w:val="0"/>
        <w:keepNext w:val="0"/>
        <w:pageBreakBefore w:val="0"/>
        <w:spacing w:beforeAutospacing="0" w:afterAutospacing="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ind w:firstLine="2640"/>
        <w:jc w:val="left"/>
        <w:keepLines w:val="0"/>
        <w:keepNext w:val="0"/>
        <w:pageBreakBefore w:val="0"/>
        <w:spacing w:beforeAutospacing="0" w:afterAutospacing="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ind w:firstLine="2640"/>
        <w:jc w:val="left"/>
        <w:keepLines w:val="0"/>
        <w:keepNext w:val="0"/>
        <w:pageBreakBefore w:val="0"/>
        <w:spacing w:beforeAutospacing="0" w:afterAutospacing="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ind w:firstLine="2640"/>
        <w:jc w:val="left"/>
        <w:keepNext/>
        <w:pageBreakBefore w:val="0"/>
        <w:spacing w:beforeAutospacing="0" w:afterAutospacing="0"/>
        <w:rPr>
          <w:rFonts w:ascii="宋体" w:hAnsi="宋体" w:eastAsia="宋体" w:cs="宋体"/>
          <w:b/>
          <w:bCs/>
          <w:spacing w:val="-20"/>
          <w:sz w:val="32"/>
          <w:szCs w:val="32"/>
        </w:rPr>
        <w:outlineLvl w:val="0"/>
      </w:pPr>
      <w:r>
        <w:rPr>
          <w:rFonts w:hint="eastAsia" w:ascii="黑体" w:hAnsi="Times New Roman" w:eastAsia="黑体"/>
          <w:bCs/>
          <w:color w:val="000000"/>
          <w:sz w:val="44"/>
          <w:szCs w:val="28"/>
        </w:rPr>
        <w:br w:type="page" w:clear="all"/>
      </w:r>
      <w:r/>
    </w:p>
    <w:p>
      <w:pPr>
        <w:ind w:left="0" w:right="0" w:firstLine="2640"/>
        <w:pageBreakBefore w:val="0"/>
        <w:spacing w:beforeAutospacing="0" w:afterAutospacing="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第三章合同文本</w:t>
      </w:r>
      <w:r/>
    </w:p>
    <w:p>
      <w:pPr>
        <w:ind w:left="0" w:right="0" w:firstLine="0"/>
        <w:jc w:val="center"/>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left="0" w:right="0" w:firstLine="0"/>
        <w:jc w:val="center"/>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财政部 政府采购货物买卖合同（试行）</w:t>
      </w:r>
      <w:r/>
    </w:p>
    <w:p>
      <w:pPr>
        <w:ind w:left="0" w:right="0" w:firstLine="0"/>
        <w:jc w:val="center"/>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范本</w:t>
      </w:r>
      <w:r/>
    </w:p>
    <w:p>
      <w:pPr>
        <w:ind w:left="0" w:right="0" w:firstLine="0"/>
        <w:jc w:val="both"/>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0"/>
        </w:rPr>
        <w:t xml:space="preserve"> </w:t>
      </w:r>
      <w:r/>
    </w:p>
    <w:p>
      <w:pPr>
        <w:ind w:left="0" w:right="0" w:firstLine="0"/>
        <w:jc w:val="both"/>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0"/>
        </w:rPr>
        <w:t xml:space="preserve"> </w:t>
      </w:r>
      <w:r/>
    </w:p>
    <w:p>
      <w:pPr>
        <w:ind w:left="0" w:right="0" w:firstLine="0"/>
        <w:jc w:val="both"/>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0"/>
        </w:rPr>
        <w:t xml:space="preserve"> </w:t>
      </w:r>
      <w:r/>
    </w:p>
    <w:p>
      <w:pPr>
        <w:ind w:left="0" w:right="0" w:firstLine="0"/>
        <w:jc w:val="both"/>
        <w:keepLines w:val="0"/>
        <w:keepNext w:val="0"/>
        <w:pageBreakBefore w:val="0"/>
        <w:spacing w:beforeAutospacing="0" w:afterAutospacing="0" w:line="85"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项目名称：</w:t>
      </w:r>
      <w:r>
        <w:rPr>
          <w:rFonts w:ascii="宋体" w:hAnsi="宋体" w:eastAsia="宋体" w:cs="宋体"/>
          <w:color w:val="000000"/>
          <w:sz w:val="28"/>
          <w:u w:val="single"/>
        </w:rPr>
        <w:t xml:space="preserve">                 </w:t>
      </w:r>
      <w:r/>
    </w:p>
    <w:p>
      <w:pPr>
        <w:ind w:right="0"/>
        <w:jc w:val="both"/>
        <w:pageBreakBefore w:val="0"/>
        <w:spacing w:beforeAutospacing="0" w:afterAutospacing="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合同编号：</w:t>
      </w:r>
      <w:r>
        <w:rPr>
          <w:rFonts w:ascii="宋体" w:hAnsi="宋体" w:eastAsia="宋体" w:cs="宋体"/>
          <w:color w:val="000000"/>
          <w:sz w:val="28"/>
          <w:u w:val="single"/>
        </w:rPr>
        <w:t xml:space="preserve">               </w:t>
      </w:r>
      <w:r/>
    </w:p>
    <w:p>
      <w:pPr>
        <w:ind w:right="0"/>
        <w:jc w:val="both"/>
        <w:pageBreakBefore w:val="0"/>
        <w:spacing w:beforeAutospacing="0" w:afterAutospacing="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甲方：</w:t>
      </w:r>
      <w:r>
        <w:rPr>
          <w:rFonts w:ascii="宋体" w:hAnsi="宋体" w:eastAsia="宋体" w:cs="宋体"/>
          <w:color w:val="000000"/>
          <w:sz w:val="28"/>
          <w:u w:val="single"/>
        </w:rPr>
        <w:t xml:space="preserve">                  </w:t>
      </w:r>
      <w:r/>
    </w:p>
    <w:p>
      <w:pPr>
        <w:ind w:right="0"/>
        <w:jc w:val="both"/>
        <w:pageBreakBefore w:val="0"/>
        <w:spacing w:beforeAutospacing="0" w:afterAutospacing="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乙方：</w:t>
      </w:r>
      <w:r>
        <w:rPr>
          <w:rFonts w:ascii="宋体" w:hAnsi="宋体" w:eastAsia="宋体" w:cs="宋体"/>
          <w:color w:val="000000"/>
          <w:sz w:val="28"/>
          <w:u w:val="single"/>
        </w:rPr>
        <w:t xml:space="preserve">                     </w:t>
      </w:r>
      <w:r/>
    </w:p>
    <w:p>
      <w:pPr>
        <w:ind w:right="0"/>
        <w:jc w:val="both"/>
        <w:pageBreakBefore w:val="0"/>
        <w:spacing w:beforeAutospacing="0" w:afterAutospacing="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签订时间：</w:t>
      </w:r>
      <w:r>
        <w:rPr>
          <w:rFonts w:ascii="宋体" w:hAnsi="宋体" w:eastAsia="宋体" w:cs="宋体"/>
          <w:color w:val="000000"/>
          <w:sz w:val="28"/>
          <w:u w:val="single"/>
        </w:rPr>
        <w:t xml:space="preserve">      </w:t>
      </w:r>
      <w:r>
        <w:rPr>
          <w:rFonts w:ascii="Calibri" w:hAnsi="Calibri" w:eastAsia="Calibri" w:cs="Calibri"/>
          <w:color w:val="000000"/>
          <w:sz w:val="28"/>
          <w:u w:val="single"/>
        </w:rPr>
        <w:t xml:space="preserve">           </w:t>
      </w:r>
      <w:r>
        <w:rPr>
          <w:rFonts w:ascii="宋体" w:hAnsi="宋体" w:eastAsia="宋体" w:cs="宋体"/>
          <w:color w:val="000000"/>
          <w:sz w:val="28"/>
          <w:u w:val="single"/>
        </w:rPr>
        <w:t xml:space="preserve">            </w:t>
      </w:r>
      <w:r/>
    </w:p>
    <w:p>
      <w:pPr>
        <w:ind w:left="0" w:right="0" w:firstLine="0"/>
        <w:jc w:val="both"/>
        <w:pageBreakBefore w:val="0"/>
        <w:spacing w:beforeAutospacing="0" w:afterAutospacing="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p>
      <w:pPr>
        <w:ind w:left="0" w:right="0" w:firstLine="0"/>
        <w:jc w:val="both"/>
        <w:pageBreakBefore w:val="0"/>
        <w:spacing w:beforeAutospacing="0" w:afterAutospacing="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44"/>
        </w:rPr>
        <w:t xml:space="preserve"> </w:t>
      </w:r>
      <w:r/>
    </w:p>
    <w:p>
      <w:pPr>
        <w:ind w:left="0" w:right="0" w:firstLine="0"/>
        <w:jc w:val="both"/>
        <w:pageBreakBefore w:val="0"/>
        <w:spacing w:beforeAutospacing="0" w:afterAutospacing="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44"/>
        </w:rPr>
        <w:t xml:space="preserve"> </w:t>
      </w:r>
      <w:r/>
    </w:p>
    <w:p>
      <w:pPr>
        <w:ind w:left="0" w:right="0" w:firstLine="0"/>
        <w:jc w:val="both"/>
        <w:pageBreakBefore w:val="0"/>
        <w:spacing w:beforeAutospacing="0" w:afterAutospacing="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44"/>
        </w:rPr>
        <w:t xml:space="preserve"> </w:t>
      </w:r>
      <w:r/>
    </w:p>
    <w:p>
      <w:pPr>
        <w:ind w:left="0" w:right="0" w:firstLine="0"/>
        <w:jc w:val="both"/>
        <w:pageBreakBefore w:val="0"/>
        <w:spacing w:beforeAutospacing="0" w:afterAutospacing="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44"/>
        </w:rPr>
        <w:t xml:space="preserve"> </w:t>
      </w:r>
      <w:r/>
    </w:p>
    <w:p>
      <w:pPr>
        <w:ind w:left="0" w:right="0" w:firstLine="0"/>
        <w:jc w:val="both"/>
        <w:pageBreakBefore w:val="0"/>
        <w:spacing w:beforeAutospacing="0" w:afterAutospacing="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44"/>
        </w:rPr>
        <w:t xml:space="preserve"> </w:t>
      </w:r>
      <w:r/>
    </w:p>
    <w:p>
      <w:pPr>
        <w:ind w:left="0" w:right="0" w:firstLine="0"/>
        <w:jc w:val="center"/>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使 用 说 明</w:t>
      </w:r>
      <w:r/>
    </w:p>
    <w:p>
      <w:pPr>
        <w:ind w:left="0" w:right="0" w:firstLine="640"/>
        <w:jc w:val="both"/>
        <w:pageBreakBefore w:val="0"/>
        <w:spacing w:beforeAutospacing="0" w:afterAutospacing="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rPr>
        <w:t xml:space="preserve"> </w:t>
      </w:r>
      <w:r/>
    </w:p>
    <w:p>
      <w:pPr>
        <w:ind w:left="0" w:right="0" w:firstLine="560"/>
        <w:jc w:val="both"/>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1.本合同标准文本适用于购买现成货物的采购项目，不包括需要供应商定制开发、创新研发的货物采购项目。</w:t>
      </w:r>
      <w:r/>
    </w:p>
    <w:p>
      <w:pPr>
        <w:ind w:left="0" w:right="0" w:firstLine="0"/>
        <w:jc w:val="both"/>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2.本合同标准文本为政府采购货物买卖合同编制提供参考，可以结合采购项目具体情况，对文本作必要的调整修订后使用。</w:t>
      </w:r>
      <w:r/>
    </w:p>
    <w:p>
      <w:pPr>
        <w:ind w:left="0" w:right="0" w:firstLine="560"/>
        <w:jc w:val="both"/>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3.本合同标准文本各条款中，如涉及填写多家供应商、制造商，多种采购标的、分包主要内容等信息的，可根据采购项目具体情况添加信息项。</w:t>
      </w:r>
      <w:r/>
    </w:p>
    <w:p>
      <w:pPr>
        <w:ind w:left="0" w:right="0" w:firstLine="0"/>
        <w:pageBreakBefore w:val="0"/>
        <w:spacing w:beforeAutospacing="0" w:afterAutospacing="0"/>
        <w:pBdr>
          <w:top w:val="none" w:color="000000" w:sz="0" w:space="0"/>
          <w:left w:val="none" w:color="000000" w:sz="0" w:space="0"/>
          <w:bottom w:val="none" w:color="000000" w:sz="0" w:space="0"/>
          <w:right w:val="none" w:color="000000" w:sz="0" w:space="0"/>
        </w:pBdr>
      </w:pPr>
      <w:r>
        <w:br w:type="page" w:clear="all"/>
      </w:r>
      <w:r/>
    </w:p>
    <w:p>
      <w:pPr>
        <w:ind w:left="0" w:right="0" w:firstLine="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第一节 政府采购合同协议书</w:t>
      </w:r>
      <w:r/>
    </w:p>
    <w:p>
      <w:pPr>
        <w:ind w:left="0" w:right="0" w:firstLine="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 </w:t>
      </w:r>
      <w:r/>
    </w:p>
    <w:p>
      <w:pPr>
        <w:ind w:left="0" w:right="0" w:firstLine="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甲方（全称）：</w:t>
      </w:r>
      <w:r>
        <w:rPr>
          <w:rFonts w:ascii="宋体" w:hAnsi="宋体" w:eastAsia="宋体" w:cs="宋体"/>
          <w:color w:val="000000"/>
          <w:sz w:val="21"/>
          <w:u w:val="single"/>
        </w:rPr>
        <w:t xml:space="preserve">                        </w:t>
      </w:r>
      <w:r>
        <w:rPr>
          <w:rFonts w:ascii="宋体" w:hAnsi="宋体" w:eastAsia="宋体" w:cs="宋体"/>
          <w:color w:val="000000"/>
          <w:sz w:val="21"/>
        </w:rPr>
        <w:t xml:space="preserve">（采购人、受采购人委托签订合同的单位或采购文件约定的合同甲方）</w:t>
      </w:r>
      <w:r/>
    </w:p>
    <w:p>
      <w:pPr>
        <w:ind w:left="0" w:right="0" w:firstLine="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乙方1（全称）：</w:t>
      </w:r>
      <w:r>
        <w:rPr>
          <w:rFonts w:ascii="宋体" w:hAnsi="宋体" w:eastAsia="宋体" w:cs="宋体"/>
          <w:color w:val="000000"/>
          <w:sz w:val="21"/>
          <w:u w:val="single"/>
        </w:rPr>
        <w:t xml:space="preserve">                       </w:t>
      </w:r>
      <w:r>
        <w:rPr>
          <w:rFonts w:ascii="宋体" w:hAnsi="宋体" w:eastAsia="宋体" w:cs="宋体"/>
          <w:color w:val="000000"/>
          <w:sz w:val="21"/>
        </w:rPr>
        <w:t xml:space="preserve">（供应商）</w:t>
      </w:r>
      <w:r/>
    </w:p>
    <w:p>
      <w:pPr>
        <w:ind w:left="0" w:right="0" w:firstLine="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乙方2（全称）：</w:t>
      </w:r>
      <w:r>
        <w:rPr>
          <w:rFonts w:ascii="宋体" w:hAnsi="宋体" w:eastAsia="宋体" w:cs="宋体"/>
          <w:color w:val="000000"/>
          <w:sz w:val="21"/>
          <w:u w:val="single"/>
        </w:rPr>
        <w:t xml:space="preserve">                        </w:t>
      </w:r>
      <w:r>
        <w:rPr>
          <w:rFonts w:ascii="宋体" w:hAnsi="宋体" w:eastAsia="宋体" w:cs="宋体"/>
          <w:color w:val="000000"/>
          <w:sz w:val="21"/>
        </w:rPr>
        <w:t xml:space="preserve">（联合体成员供应商或其他合同主体）（如有）</w:t>
      </w:r>
      <w:r/>
    </w:p>
    <w:p>
      <w:pPr>
        <w:ind w:left="0" w:right="0" w:firstLine="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乙方3（全称）</w:t>
      </w:r>
      <w:r>
        <w:rPr>
          <w:rFonts w:ascii="宋体" w:hAnsi="宋体" w:eastAsia="宋体" w:cs="宋体"/>
          <w:color w:val="000000"/>
          <w:sz w:val="21"/>
          <w:u w:val="single"/>
        </w:rPr>
        <w:t xml:space="preserve">                          </w:t>
      </w:r>
      <w:r>
        <w:rPr>
          <w:rFonts w:ascii="宋体" w:hAnsi="宋体" w:eastAsia="宋体" w:cs="宋体"/>
          <w:color w:val="000000"/>
          <w:sz w:val="21"/>
        </w:rPr>
        <w:t xml:space="preserve">（联合体成员供应商或其他合同主体）（如有）</w:t>
      </w:r>
      <w:r/>
    </w:p>
    <w:p>
      <w:pPr>
        <w:ind w:left="0" w:right="0" w:firstLine="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w:t>
      </w:r>
      <w:r/>
    </w:p>
    <w:p>
      <w:pPr>
        <w:numPr>
          <w:ilvl w:val="0"/>
          <w:numId w:val="6"/>
        </w:numPr>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项目信息</w:t>
      </w:r>
      <w:r/>
    </w:p>
    <w:p>
      <w:pPr>
        <w:numPr>
          <w:ilvl w:val="0"/>
          <w:numId w:val="7"/>
        </w:numPr>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采购项目名称：</w:t>
      </w:r>
      <w:r>
        <w:rPr>
          <w:rFonts w:ascii="宋体" w:hAnsi="宋体" w:eastAsia="宋体" w:cs="宋体"/>
          <w:color w:val="000000"/>
          <w:sz w:val="21"/>
          <w:u w:val="single"/>
        </w:rPr>
        <w:t xml:space="preserve">                    </w:t>
      </w:r>
      <w:r/>
    </w:p>
    <w:p>
      <w:pPr>
        <w:ind w:left="0" w:right="0" w:firstLine="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采购采购编号：</w:t>
      </w:r>
      <w:r>
        <w:rPr>
          <w:rFonts w:ascii="宋体" w:hAnsi="宋体" w:eastAsia="宋体" w:cs="宋体"/>
          <w:color w:val="000000"/>
          <w:sz w:val="21"/>
          <w:u w:val="single"/>
        </w:rPr>
        <w:t xml:space="preserve">                  </w:t>
      </w:r>
      <w:r/>
    </w:p>
    <w:p>
      <w:pPr>
        <w:ind w:right="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（2）采购计划编号：</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right="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（3）项目内容：</w:t>
      </w:r>
      <w:r/>
    </w:p>
    <w:p>
      <w:pPr>
        <w:ind w:left="0" w:right="0" w:firstLine="42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采购标的及数量（台/套/个/架/组等）：</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品牌：</w:t>
      </w:r>
      <w:r>
        <w:rPr>
          <w:rFonts w:ascii="宋体" w:hAnsi="宋体" w:eastAsia="宋体" w:cs="宋体"/>
          <w:color w:val="000000"/>
          <w:sz w:val="21"/>
          <w:u w:val="single"/>
        </w:rPr>
        <w:t xml:space="preserve">        </w:t>
      </w:r>
      <w:r>
        <w:rPr>
          <w:rFonts w:ascii="宋体" w:hAnsi="宋体" w:eastAsia="宋体" w:cs="宋体"/>
          <w:color w:val="000000"/>
          <w:sz w:val="21"/>
        </w:rPr>
        <w:t xml:space="preserve">     规格型号：</w:t>
      </w:r>
      <w:r>
        <w:rPr>
          <w:rFonts w:ascii="宋体" w:hAnsi="宋体" w:eastAsia="宋体" w:cs="宋体"/>
          <w:color w:val="000000"/>
          <w:sz w:val="21"/>
          <w:u w:val="single"/>
        </w:rPr>
        <w:t xml:space="preserve">     </w:t>
      </w:r>
      <w:r/>
    </w:p>
    <w:p>
      <w:pPr>
        <w:ind w:right="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采购标的的技术要求、商务要求具体见附件。</w:t>
      </w:r>
      <w:r/>
    </w:p>
    <w:p>
      <w:pPr>
        <w:ind w:right="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①</w:t>
      </w:r>
      <w:r>
        <w:rPr>
          <w:rFonts w:ascii="宋体" w:hAnsi="宋体" w:eastAsia="宋体" w:cs="宋体"/>
          <w:color w:val="000000"/>
          <w:sz w:val="21"/>
        </w:rPr>
        <w:t xml:space="preserve">涉及信息类产品，请填写该产品关键部件的品牌、型号：</w:t>
      </w:r>
      <w:r/>
    </w:p>
    <w:p>
      <w:pPr>
        <w:ind w:right="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标的名称：</w:t>
      </w:r>
      <w:r>
        <w:rPr>
          <w:rFonts w:ascii="宋体" w:hAnsi="宋体" w:eastAsia="宋体" w:cs="宋体"/>
          <w:color w:val="000000"/>
          <w:sz w:val="21"/>
          <w:u w:val="single"/>
        </w:rPr>
        <w:t xml:space="preserve">                         </w:t>
      </w:r>
      <w:r/>
    </w:p>
    <w:p>
      <w:pPr>
        <w:ind w:right="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关键部件：</w:t>
      </w:r>
      <w:r>
        <w:rPr>
          <w:rFonts w:ascii="宋体" w:hAnsi="宋体" w:eastAsia="宋体" w:cs="宋体"/>
          <w:color w:val="000000"/>
          <w:sz w:val="21"/>
          <w:u w:val="single"/>
        </w:rPr>
        <w:t xml:space="preserve">          </w:t>
      </w:r>
      <w:r>
        <w:rPr>
          <w:rFonts w:ascii="宋体" w:hAnsi="宋体" w:eastAsia="宋体" w:cs="宋体"/>
          <w:color w:val="000000"/>
          <w:sz w:val="21"/>
        </w:rPr>
        <w:t xml:space="preserve"> 品牌：</w:t>
      </w:r>
      <w:r>
        <w:rPr>
          <w:rFonts w:ascii="宋体" w:hAnsi="宋体" w:eastAsia="宋体" w:cs="宋体"/>
          <w:color w:val="000000"/>
          <w:sz w:val="21"/>
          <w:u w:val="single"/>
        </w:rPr>
        <w:t xml:space="preserve">        </w:t>
      </w:r>
      <w:r>
        <w:rPr>
          <w:rFonts w:ascii="宋体" w:hAnsi="宋体" w:eastAsia="宋体" w:cs="宋体"/>
          <w:color w:val="000000"/>
          <w:sz w:val="21"/>
        </w:rPr>
        <w:t xml:space="preserve"> 型号：</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right="0"/>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关键部件：</w:t>
      </w:r>
      <w:r>
        <w:rPr>
          <w:rFonts w:ascii="宋体" w:hAnsi="宋体" w:eastAsia="宋体" w:cs="宋体"/>
          <w:color w:val="000000"/>
          <w:sz w:val="21"/>
          <w:u w:val="single"/>
        </w:rPr>
        <w:t xml:space="preserve">          </w:t>
      </w:r>
      <w:r>
        <w:rPr>
          <w:rFonts w:ascii="宋体" w:hAnsi="宋体" w:eastAsia="宋体" w:cs="宋体"/>
          <w:color w:val="000000"/>
          <w:sz w:val="21"/>
        </w:rPr>
        <w:t xml:space="preserve"> 品牌：</w:t>
      </w:r>
      <w:r>
        <w:rPr>
          <w:rFonts w:ascii="宋体" w:hAnsi="宋体" w:eastAsia="宋体" w:cs="宋体"/>
          <w:color w:val="000000"/>
          <w:sz w:val="21"/>
          <w:u w:val="single"/>
        </w:rPr>
        <w:t xml:space="preserve">        </w:t>
      </w:r>
      <w:r>
        <w:rPr>
          <w:rFonts w:ascii="宋体" w:hAnsi="宋体" w:eastAsia="宋体" w:cs="宋体"/>
          <w:color w:val="000000"/>
          <w:sz w:val="21"/>
        </w:rPr>
        <w:t xml:space="preserve"> 型号：</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right="0"/>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关键部件：</w:t>
      </w:r>
      <w:r>
        <w:rPr>
          <w:rFonts w:ascii="宋体" w:hAnsi="宋体" w:eastAsia="宋体" w:cs="宋体"/>
          <w:color w:val="000000"/>
          <w:sz w:val="21"/>
          <w:u w:val="single"/>
        </w:rPr>
        <w:t xml:space="preserve">          </w:t>
      </w:r>
      <w:r>
        <w:rPr>
          <w:rFonts w:ascii="宋体" w:hAnsi="宋体" w:eastAsia="宋体" w:cs="宋体"/>
          <w:color w:val="000000"/>
          <w:sz w:val="21"/>
        </w:rPr>
        <w:t xml:space="preserve"> 品牌：</w:t>
      </w:r>
      <w:r>
        <w:rPr>
          <w:rFonts w:ascii="宋体" w:hAnsi="宋体" w:eastAsia="宋体" w:cs="宋体"/>
          <w:color w:val="000000"/>
          <w:sz w:val="21"/>
          <w:u w:val="single"/>
        </w:rPr>
        <w:t xml:space="preserve">        </w:t>
      </w:r>
      <w:r>
        <w:rPr>
          <w:rFonts w:ascii="宋体" w:hAnsi="宋体" w:eastAsia="宋体" w:cs="宋体"/>
          <w:color w:val="000000"/>
          <w:sz w:val="21"/>
        </w:rPr>
        <w:t xml:space="preserve"> 型号：</w:t>
      </w:r>
      <w:r>
        <w:rPr>
          <w:rFonts w:ascii="宋体" w:hAnsi="宋体" w:eastAsia="宋体" w:cs="宋体"/>
          <w:color w:val="000000"/>
          <w:sz w:val="21"/>
          <w:u w:val="single"/>
        </w:rPr>
        <w:t xml:space="preserve">       </w:t>
      </w:r>
      <w:r/>
    </w:p>
    <w:p>
      <w:pPr>
        <w:ind w:left="0" w:right="0" w:firstLine="0"/>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（注：关键部件是指财政部会同有关部门发布的政府采购需求标准规定的需要通过国家有关部门指定的测评机构开展的安全可靠测评的软硬件，如CPU芯片、操作系统、数据库等。）</w:t>
      </w:r>
      <w:r/>
    </w:p>
    <w:p>
      <w:pPr>
        <w:ind w:left="0" w:right="0" w:firstLine="0"/>
        <w:pageBreakBefore w:val="0"/>
        <w:spacing w:beforeAutospacing="0" w:afterAutospacing="0"/>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②</w:t>
      </w:r>
      <w:r>
        <w:rPr>
          <w:rFonts w:ascii="宋体" w:hAnsi="宋体" w:eastAsia="宋体" w:cs="宋体"/>
          <w:color w:val="000000"/>
          <w:sz w:val="21"/>
        </w:rPr>
        <w:t xml:space="preserve">涉及车辆采购，请填写是否属于新能源汽车：</w:t>
      </w:r>
      <w:r/>
    </w:p>
    <w:p>
      <w:pPr>
        <w:ind w:left="0" w:right="0" w:firstLine="0"/>
        <w:pageBreakBefore w:val="0"/>
        <w:spacing w:beforeAutospacing="0" w:afterAutospacing="0"/>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是，《政府采购品目分类目录》底级品目名称：</w:t>
      </w:r>
      <w:r>
        <w:rPr>
          <w:rFonts w:ascii="宋体" w:hAnsi="宋体" w:eastAsia="宋体" w:cs="宋体"/>
          <w:color w:val="000000"/>
          <w:sz w:val="21"/>
          <w:u w:val="single"/>
        </w:rPr>
        <w:t xml:space="preserve">     </w:t>
      </w:r>
      <w:r>
        <w:rPr>
          <w:rFonts w:ascii="宋体" w:hAnsi="宋体" w:eastAsia="宋体" w:cs="宋体"/>
          <w:color w:val="000000"/>
          <w:sz w:val="21"/>
        </w:rPr>
        <w:t xml:space="preserve"> 数量：</w:t>
      </w:r>
      <w:r>
        <w:rPr>
          <w:rFonts w:ascii="宋体" w:hAnsi="宋体" w:eastAsia="宋体" w:cs="宋体"/>
          <w:color w:val="000000"/>
          <w:sz w:val="21"/>
          <w:u w:val="single"/>
        </w:rPr>
        <w:t xml:space="preserve">    </w:t>
      </w:r>
      <w:r>
        <w:rPr>
          <w:rFonts w:ascii="宋体" w:hAnsi="宋体" w:eastAsia="宋体" w:cs="宋体"/>
          <w:color w:val="000000"/>
          <w:sz w:val="21"/>
        </w:rPr>
        <w:t xml:space="preserve"> 金额：</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pageBreakBefore w:val="0"/>
        <w:spacing w:beforeAutospacing="0" w:afterAutospacing="0"/>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（4）政府采购组织形式：</w:t>
      </w:r>
      <w:r>
        <w:rPr>
          <w:rFonts w:ascii="Wingdings" w:hAnsi="Wingdings" w:eastAsia="Wingdings" w:cs="Wingdings"/>
          <w:color w:val="000000"/>
          <w:sz w:val="21"/>
        </w:rPr>
        <w:t xml:space="preserve">¨</w:t>
      </w:r>
      <w:r>
        <w:rPr>
          <w:rFonts w:ascii="宋体" w:hAnsi="宋体" w:eastAsia="宋体" w:cs="宋体"/>
          <w:color w:val="000000"/>
          <w:sz w:val="21"/>
        </w:rPr>
        <w:t xml:space="preserve">政府集中采购</w:t>
      </w:r>
      <w:r>
        <w:rPr>
          <w:rFonts w:ascii="Wingdings" w:hAnsi="Wingdings" w:eastAsia="Wingdings" w:cs="Wingdings"/>
          <w:color w:val="000000"/>
          <w:sz w:val="21"/>
        </w:rPr>
        <w:t xml:space="preserve">¨</w:t>
      </w:r>
      <w:r>
        <w:rPr>
          <w:rFonts w:ascii="宋体" w:hAnsi="宋体" w:eastAsia="宋体" w:cs="宋体"/>
          <w:color w:val="000000"/>
          <w:sz w:val="21"/>
        </w:rPr>
        <w:t xml:space="preserve">部门集中采购</w:t>
      </w:r>
      <w:r>
        <w:rPr>
          <w:rFonts w:ascii="Wingdings" w:hAnsi="Wingdings" w:eastAsia="Wingdings" w:cs="Wingdings"/>
          <w:color w:val="000000"/>
          <w:sz w:val="21"/>
        </w:rPr>
        <w:t xml:space="preserve">¨</w:t>
      </w:r>
      <w:r>
        <w:rPr>
          <w:rFonts w:ascii="宋体" w:hAnsi="宋体" w:eastAsia="宋体" w:cs="宋体"/>
          <w:color w:val="000000"/>
          <w:sz w:val="21"/>
        </w:rPr>
        <w:t xml:space="preserve">分散采购</w:t>
      </w:r>
      <w:r/>
    </w:p>
    <w:p>
      <w:pPr>
        <w:ind w:right="0"/>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（5）政府采购方式：</w:t>
      </w:r>
      <w:r>
        <w:rPr>
          <w:rFonts w:ascii="Wingdings" w:hAnsi="Wingdings" w:eastAsia="Wingdings" w:cs="Wingdings"/>
          <w:color w:val="000000"/>
          <w:sz w:val="21"/>
        </w:rPr>
        <w:t xml:space="preserve">¨</w:t>
      </w:r>
      <w:r>
        <w:rPr>
          <w:rFonts w:ascii="宋体" w:hAnsi="宋体" w:eastAsia="宋体" w:cs="宋体"/>
          <w:color w:val="000000"/>
          <w:sz w:val="21"/>
        </w:rPr>
        <w:t xml:space="preserve">公开招标 </w:t>
      </w:r>
      <w:r>
        <w:rPr>
          <w:rFonts w:ascii="Wingdings" w:hAnsi="Wingdings" w:eastAsia="Wingdings" w:cs="Wingdings"/>
          <w:color w:val="000000"/>
          <w:sz w:val="21"/>
        </w:rPr>
        <w:t xml:space="preserve">¨</w:t>
      </w:r>
      <w:r>
        <w:rPr>
          <w:rFonts w:ascii="宋体" w:hAnsi="宋体" w:eastAsia="宋体" w:cs="宋体"/>
          <w:color w:val="000000"/>
          <w:sz w:val="21"/>
        </w:rPr>
        <w:t xml:space="preserve">邀请招标 </w:t>
      </w:r>
      <w:r>
        <w:rPr>
          <w:rFonts w:ascii="Wingdings" w:hAnsi="Wingdings" w:eastAsia="Wingdings" w:cs="Wingdings"/>
          <w:color w:val="000000"/>
          <w:sz w:val="21"/>
        </w:rPr>
        <w:t xml:space="preserve">¨</w:t>
      </w:r>
      <w:r>
        <w:rPr>
          <w:rFonts w:ascii="宋体" w:hAnsi="宋体" w:eastAsia="宋体" w:cs="宋体"/>
          <w:color w:val="000000"/>
          <w:sz w:val="21"/>
        </w:rPr>
        <w:t xml:space="preserve">竞争性谈判 </w:t>
      </w:r>
      <w:r>
        <w:rPr>
          <w:rFonts w:ascii="Wingdings" w:hAnsi="Wingdings" w:eastAsia="Wingdings" w:cs="Wingdings"/>
          <w:color w:val="000000"/>
          <w:sz w:val="21"/>
        </w:rPr>
        <w:t xml:space="preserve">¨</w:t>
      </w:r>
      <w:r>
        <w:rPr>
          <w:rFonts w:ascii="宋体" w:hAnsi="宋体" w:eastAsia="宋体" w:cs="宋体"/>
          <w:color w:val="000000"/>
          <w:sz w:val="21"/>
        </w:rPr>
        <w:t xml:space="preserve">竞争性磋商</w:t>
      </w:r>
      <w:r/>
    </w:p>
    <w:p>
      <w:pPr>
        <w:ind w:left="0" w:right="0" w:firstLine="420"/>
        <w:pageBreakBefore w:val="0"/>
        <w:spacing w:beforeAutospacing="0" w:afterAutospacing="0"/>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2"/>
        </w:rPr>
        <w:t xml:space="preserve">             </w:t>
      </w:r>
      <w:r>
        <w:rPr>
          <w:rFonts w:hint="eastAsia" w:ascii="华文楷体" w:hAnsi="华文楷体" w:eastAsia="华文楷体" w:cs="华文楷体"/>
          <w:color w:val="000000"/>
          <w:sz w:val="22"/>
          <w:lang w:val="en-US" w:eastAsia="zh-CN"/>
        </w:rPr>
        <w:t xml:space="preserve">       </w:t>
      </w:r>
      <w:r>
        <w:rPr>
          <w:rFonts w:ascii="华文楷体" w:hAnsi="华文楷体" w:eastAsia="华文楷体" w:cs="华文楷体"/>
          <w:color w:val="000000"/>
          <w:sz w:val="22"/>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询价 </w:t>
      </w:r>
      <w:r>
        <w:rPr>
          <w:rFonts w:ascii="Wingdings" w:hAnsi="Wingdings" w:eastAsia="Wingdings" w:cs="Wingdings"/>
          <w:color w:val="000000"/>
          <w:sz w:val="21"/>
        </w:rPr>
        <w:t xml:space="preserve">¨</w:t>
      </w:r>
      <w:r>
        <w:rPr>
          <w:rFonts w:ascii="宋体" w:hAnsi="宋体" w:eastAsia="宋体" w:cs="宋体"/>
          <w:color w:val="000000"/>
          <w:sz w:val="21"/>
        </w:rPr>
        <w:t xml:space="preserve">单一来源 </w:t>
      </w:r>
      <w:r>
        <w:rPr>
          <w:rFonts w:ascii="Wingdings" w:hAnsi="Wingdings" w:eastAsia="Wingdings" w:cs="Wingdings"/>
          <w:color w:val="000000"/>
          <w:sz w:val="21"/>
        </w:rPr>
        <w:t xml:space="preserve">¨</w:t>
      </w:r>
      <w:r>
        <w:rPr>
          <w:rFonts w:ascii="宋体" w:hAnsi="宋体" w:eastAsia="宋体" w:cs="宋体"/>
          <w:color w:val="000000"/>
          <w:sz w:val="21"/>
        </w:rPr>
        <w:t xml:space="preserve">框架协议 </w:t>
      </w:r>
      <w:r>
        <w:rPr>
          <w:rFonts w:ascii="Wingdings" w:hAnsi="Wingdings" w:eastAsia="Wingdings" w:cs="Wingdings"/>
          <w:color w:val="000000"/>
          <w:sz w:val="21"/>
        </w:rPr>
        <w:t xml:space="preserve">¨</w:t>
      </w:r>
      <w:r>
        <w:rPr>
          <w:rFonts w:ascii="宋体" w:hAnsi="宋体" w:eastAsia="宋体" w:cs="宋体"/>
          <w:color w:val="000000"/>
          <w:sz w:val="21"/>
        </w:rPr>
        <w:t xml:space="preserve">其他：</w:t>
      </w:r>
      <w:r>
        <w:rPr>
          <w:rFonts w:ascii="宋体" w:hAnsi="宋体" w:eastAsia="宋体" w:cs="宋体"/>
          <w:color w:val="000000"/>
          <w:sz w:val="21"/>
          <w:u w:val="single"/>
        </w:rPr>
        <w:t xml:space="preserve">          </w:t>
      </w:r>
      <w:r/>
    </w:p>
    <w:p>
      <w:pPr>
        <w:ind w:left="0" w:right="0" w:firstLine="420"/>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（注：在框架协议采购的第二阶段，可选择使用该合同文本）</w:t>
      </w:r>
      <w:r/>
    </w:p>
    <w:p>
      <w:pPr>
        <w:ind w:right="0"/>
        <w:pageBreakBefore w:val="0"/>
        <w:spacing w:beforeAutospacing="0" w:afterAutospacing="0"/>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2"/>
        </w:rPr>
        <w:t xml:space="preserve">（</w:t>
      </w:r>
      <w:r>
        <w:rPr>
          <w:rFonts w:ascii="宋体" w:hAnsi="宋体" w:eastAsia="宋体" w:cs="宋体"/>
          <w:color w:val="000000"/>
          <w:sz w:val="22"/>
        </w:rPr>
        <w:t xml:space="preserve">6</w:t>
      </w:r>
      <w:r>
        <w:rPr>
          <w:rFonts w:ascii="华文楷体" w:hAnsi="华文楷体" w:eastAsia="华文楷体" w:cs="华文楷体"/>
          <w:color w:val="000000"/>
          <w:sz w:val="22"/>
        </w:rPr>
        <w:t xml:space="preserve">）</w:t>
      </w:r>
      <w:r>
        <w:rPr>
          <w:rFonts w:ascii="宋体" w:hAnsi="宋体" w:eastAsia="宋体" w:cs="宋体"/>
          <w:color w:val="000000"/>
          <w:sz w:val="21"/>
        </w:rPr>
        <w:t xml:space="preserve">中标（成交）采购标的制造商是否为中小企业：</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本合同是否为专门面向中小企业的采购合同（中小企业预留合同）：</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若本项目不专门面向中小企业采购，是否给予小微企业评审优惠：</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中标（成交）采购标的制造商是否为残疾人福利性单位：</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中标（成交）采购标的制造商是否为监狱企业：</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right="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（7）合同是否分包：</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right="0"/>
        <w:jc w:val="both"/>
        <w:pageBreakBefore w:val="0"/>
        <w:spacing w:beforeAutospacing="0" w:afterAutospacing="0" w:line="400" w:lineRule="atLeast"/>
        <w:rPr>
          <w:rFonts w:ascii="宋体" w:hAnsi="宋体" w:eastAsia="宋体" w:cs="宋体"/>
          <w:color w:val="000000"/>
          <w:sz w:val="21"/>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分包主要内容：</w:t>
      </w:r>
      <w:r>
        <w:rPr>
          <w:rFonts w:ascii="宋体" w:hAnsi="宋体" w:eastAsia="宋体" w:cs="宋体"/>
          <w:color w:val="000000"/>
          <w:sz w:val="21"/>
          <w:u w:val="single"/>
        </w:rPr>
        <w:t xml:space="preserve">                    </w:t>
      </w:r>
      <w:r/>
    </w:p>
    <w:p>
      <w:pPr>
        <w:ind w:right="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分包供应商/制造商名称（如供应商和制造商不同，请分别填写）：</w:t>
      </w:r>
      <w:r/>
    </w:p>
    <w:p>
      <w:pPr>
        <w:ind w:left="0" w:right="0" w:firstLine="840"/>
        <w:jc w:val="both"/>
        <w:pageBreakBefore w:val="0"/>
        <w:spacing w:beforeAutospacing="0" w:afterAutospacing="0" w:line="400" w:lineRule="atLeast"/>
        <w:rPr>
          <w:rFonts w:ascii="宋体" w:hAnsi="宋体" w:eastAsia="宋体" w:cs="宋体"/>
          <w:color w:val="000000"/>
          <w:sz w:val="21"/>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宋体" w:hAnsi="宋体" w:eastAsia="宋体" w:cs="宋体"/>
          <w:color w:val="000000"/>
          <w:sz w:val="21"/>
          <w:u w:val="single"/>
        </w:rPr>
        <w:t xml:space="preserve">                   </w:t>
      </w:r>
      <w:r/>
    </w:p>
    <w:p>
      <w:pPr>
        <w:ind w:right="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分包供应商/制造商类型（如果供应商和制造商不同，只填写制造商类型）：</w:t>
      </w:r>
      <w:r/>
    </w:p>
    <w:p>
      <w:pPr>
        <w:ind w:left="0" w:right="0" w:firstLine="84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大型企业</w:t>
      </w:r>
      <w:r>
        <w:rPr>
          <w:rFonts w:ascii="Wingdings" w:hAnsi="Wingdings" w:eastAsia="Wingdings" w:cs="Wingdings"/>
          <w:color w:val="000000"/>
          <w:sz w:val="21"/>
        </w:rPr>
        <w:t xml:space="preserve">¨</w:t>
      </w:r>
      <w:r>
        <w:rPr>
          <w:rFonts w:ascii="宋体" w:hAnsi="宋体" w:eastAsia="宋体" w:cs="宋体"/>
          <w:color w:val="000000"/>
          <w:sz w:val="21"/>
        </w:rPr>
        <w:t xml:space="preserve">中型企业</w:t>
      </w:r>
      <w:r>
        <w:rPr>
          <w:rFonts w:ascii="Wingdings" w:hAnsi="Wingdings" w:eastAsia="Wingdings" w:cs="Wingdings"/>
          <w:color w:val="000000"/>
          <w:sz w:val="21"/>
        </w:rPr>
        <w:t xml:space="preserve">¨</w:t>
      </w:r>
      <w:r>
        <w:rPr>
          <w:rFonts w:ascii="宋体" w:hAnsi="宋体" w:eastAsia="宋体" w:cs="宋体"/>
          <w:color w:val="000000"/>
          <w:sz w:val="21"/>
        </w:rPr>
        <w:t xml:space="preserve">小微型企业</w:t>
      </w:r>
      <w:r/>
    </w:p>
    <w:p>
      <w:pPr>
        <w:ind w:left="0" w:right="0" w:firstLine="84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残疾人福利性单位 </w:t>
      </w:r>
      <w:r>
        <w:rPr>
          <w:rFonts w:ascii="Wingdings" w:hAnsi="Wingdings" w:eastAsia="Wingdings" w:cs="Wingdings"/>
          <w:color w:val="000000"/>
          <w:sz w:val="21"/>
        </w:rPr>
        <w:t xml:space="preserve">¨</w:t>
      </w:r>
      <w:r>
        <w:rPr>
          <w:rFonts w:ascii="宋体" w:hAnsi="宋体" w:eastAsia="宋体" w:cs="宋体"/>
          <w:color w:val="000000"/>
          <w:sz w:val="21"/>
        </w:rPr>
        <w:t xml:space="preserve">监狱企业 </w:t>
      </w:r>
      <w:r>
        <w:rPr>
          <w:rFonts w:ascii="Wingdings" w:hAnsi="Wingdings" w:eastAsia="Wingdings" w:cs="Wingdings"/>
          <w:color w:val="000000"/>
          <w:sz w:val="21"/>
        </w:rPr>
        <w:t xml:space="preserve">¨</w:t>
      </w:r>
      <w:r>
        <w:rPr>
          <w:rFonts w:ascii="宋体" w:hAnsi="宋体" w:eastAsia="宋体" w:cs="宋体"/>
          <w:color w:val="000000"/>
          <w:sz w:val="21"/>
        </w:rPr>
        <w:t xml:space="preserve">其他</w:t>
      </w:r>
      <w:r/>
    </w:p>
    <w:p>
      <w:pPr>
        <w:ind w:left="0" w:right="0" w:firstLine="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（8）中标（成交）供应商是否为外商投资企业：</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420"/>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外商投资企业类型：</w:t>
      </w:r>
      <w:r>
        <w:rPr>
          <w:rFonts w:ascii="Wingdings" w:hAnsi="Wingdings" w:eastAsia="Wingdings" w:cs="Wingdings"/>
          <w:color w:val="000000"/>
          <w:sz w:val="21"/>
        </w:rPr>
        <w:t xml:space="preserve">¨</w:t>
      </w:r>
      <w:r>
        <w:rPr>
          <w:rFonts w:ascii="宋体" w:hAnsi="宋体" w:eastAsia="宋体" w:cs="宋体"/>
          <w:color w:val="000000"/>
          <w:sz w:val="21"/>
        </w:rPr>
        <w:t xml:space="preserve">全部由外国投资者投资</w:t>
      </w:r>
      <w:r>
        <w:rPr>
          <w:rFonts w:ascii="Wingdings" w:hAnsi="Wingdings" w:eastAsia="Wingdings" w:cs="Wingdings"/>
          <w:color w:val="000000"/>
          <w:sz w:val="21"/>
        </w:rPr>
        <w:t xml:space="preserve">¨</w:t>
      </w:r>
      <w:r>
        <w:rPr>
          <w:rFonts w:ascii="宋体" w:hAnsi="宋体" w:eastAsia="宋体" w:cs="宋体"/>
          <w:color w:val="000000"/>
          <w:sz w:val="21"/>
        </w:rPr>
        <w:t xml:space="preserve">部分由外国投资者投资</w:t>
      </w:r>
      <w:r/>
    </w:p>
    <w:p>
      <w:pPr>
        <w:ind w:right="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（9）是否涉及进口产品：</w:t>
      </w:r>
      <w:r/>
    </w:p>
    <w:p>
      <w:pPr>
        <w:ind w:right="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是，《政府采购品目分类目录》底级品目名称：</w:t>
      </w:r>
      <w:r>
        <w:rPr>
          <w:rFonts w:ascii="宋体" w:hAnsi="宋体" w:eastAsia="宋体" w:cs="宋体"/>
          <w:color w:val="000000"/>
          <w:sz w:val="21"/>
          <w:u w:val="single"/>
        </w:rPr>
        <w:t xml:space="preserve">    </w:t>
      </w:r>
      <w:r>
        <w:rPr>
          <w:rFonts w:ascii="宋体" w:hAnsi="宋体" w:eastAsia="宋体" w:cs="宋体"/>
          <w:color w:val="000000"/>
          <w:sz w:val="21"/>
        </w:rPr>
        <w:t xml:space="preserve"> 金额：</w:t>
      </w:r>
      <w:r>
        <w:rPr>
          <w:rFonts w:ascii="宋体" w:hAnsi="宋体" w:eastAsia="宋体" w:cs="宋体"/>
          <w:color w:val="000000"/>
          <w:sz w:val="21"/>
          <w:u w:val="single"/>
        </w:rPr>
        <w:t xml:space="preserve">        </w:t>
      </w:r>
      <w:r/>
    </w:p>
    <w:p>
      <w:pPr>
        <w:ind w:left="0" w:right="0" w:firstLine="84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国别：</w:t>
      </w:r>
      <w:r>
        <w:rPr>
          <w:rFonts w:ascii="宋体" w:hAnsi="宋体" w:eastAsia="宋体" w:cs="宋体"/>
          <w:color w:val="000000"/>
          <w:sz w:val="21"/>
          <w:u w:val="single"/>
        </w:rPr>
        <w:t xml:space="preserve">   </w:t>
      </w:r>
      <w:r>
        <w:rPr>
          <w:rFonts w:ascii="宋体" w:hAnsi="宋体" w:eastAsia="宋体" w:cs="宋体"/>
          <w:color w:val="000000"/>
          <w:sz w:val="21"/>
        </w:rPr>
        <w:t xml:space="preserve"> 品牌：</w:t>
      </w:r>
      <w:r>
        <w:rPr>
          <w:rFonts w:ascii="宋体" w:hAnsi="宋体" w:eastAsia="宋体" w:cs="宋体"/>
          <w:color w:val="000000"/>
          <w:sz w:val="21"/>
          <w:u w:val="single"/>
        </w:rPr>
        <w:t xml:space="preserve"> </w:t>
      </w:r>
      <w:r>
        <w:rPr>
          <w:rFonts w:ascii="宋体" w:hAnsi="宋体" w:eastAsia="宋体" w:cs="宋体"/>
          <w:color w:val="000000"/>
          <w:sz w:val="21"/>
        </w:rPr>
        <w:t xml:space="preserve"> 规格型号：</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right="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（10）是否涉及节能产品：</w:t>
      </w:r>
      <w:r/>
    </w:p>
    <w:p>
      <w:pPr>
        <w:ind w:left="0" w:right="0" w:firstLine="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是，《节能产品政府采购品目清单》的底级品目名称：</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强制采购</w:t>
      </w:r>
      <w:r>
        <w:rPr>
          <w:rFonts w:ascii="Wingdings" w:hAnsi="Wingdings" w:eastAsia="Wingdings" w:cs="Wingdings"/>
          <w:color w:val="000000"/>
          <w:sz w:val="21"/>
        </w:rPr>
        <w:t xml:space="preserve">¨</w:t>
      </w:r>
      <w:r>
        <w:rPr>
          <w:rFonts w:ascii="宋体" w:hAnsi="宋体" w:eastAsia="宋体" w:cs="宋体"/>
          <w:color w:val="000000"/>
          <w:sz w:val="21"/>
        </w:rPr>
        <w:t xml:space="preserve">优先采购</w:t>
      </w:r>
      <w:r/>
    </w:p>
    <w:p>
      <w:pPr>
        <w:ind w:left="0" w:right="0" w:firstLine="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是否涉及环境标志产品：</w:t>
      </w:r>
      <w:r/>
    </w:p>
    <w:p>
      <w:pPr>
        <w:ind w:left="0" w:right="0" w:firstLine="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是，《环境标志产品政府采购品目清单》的底级品目名称：</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强制采购</w:t>
      </w:r>
      <w:r>
        <w:rPr>
          <w:rFonts w:ascii="Wingdings" w:hAnsi="Wingdings" w:eastAsia="Wingdings" w:cs="Wingdings"/>
          <w:color w:val="000000"/>
          <w:sz w:val="21"/>
        </w:rPr>
        <w:t xml:space="preserve">¨</w:t>
      </w:r>
      <w:r>
        <w:rPr>
          <w:rFonts w:ascii="宋体" w:hAnsi="宋体" w:eastAsia="宋体" w:cs="宋体"/>
          <w:color w:val="000000"/>
          <w:sz w:val="21"/>
        </w:rPr>
        <w:t xml:space="preserve">优先采购</w:t>
      </w:r>
      <w:r/>
    </w:p>
    <w:p>
      <w:pPr>
        <w:ind w:left="0" w:right="0" w:firstLine="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是否涉及绿色产品： </w:t>
      </w:r>
      <w:r/>
    </w:p>
    <w:p>
      <w:pPr>
        <w:ind w:right="0"/>
        <w:pageBreakBefore w:val="0"/>
        <w:spacing w:beforeAutospacing="0" w:afterAutospacing="0"/>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是，绿色产品政府采购相关政策确定的底级品目名称：</w:t>
      </w:r>
      <w:r>
        <w:rPr>
          <w:rFonts w:ascii="宋体" w:hAnsi="宋体" w:eastAsia="宋体" w:cs="宋体"/>
          <w:color w:val="000000"/>
          <w:sz w:val="22"/>
          <w:u w:val="single"/>
        </w:rPr>
        <w:t xml:space="preserve">         </w:t>
      </w:r>
      <w:r/>
    </w:p>
    <w:p>
      <w:pPr>
        <w:ind w:left="0" w:right="0" w:firstLine="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强制采购</w:t>
      </w:r>
      <w:r>
        <w:rPr>
          <w:rFonts w:ascii="Wingdings" w:hAnsi="Wingdings" w:eastAsia="Wingdings" w:cs="Wingdings"/>
          <w:color w:val="000000"/>
          <w:sz w:val="21"/>
        </w:rPr>
        <w:t xml:space="preserve">¨</w:t>
      </w:r>
      <w:r>
        <w:rPr>
          <w:rFonts w:ascii="宋体" w:hAnsi="宋体" w:eastAsia="宋体" w:cs="宋体"/>
          <w:color w:val="000000"/>
          <w:sz w:val="21"/>
        </w:rPr>
        <w:t xml:space="preserve">优先采购</w:t>
      </w:r>
      <w:r/>
    </w:p>
    <w:p>
      <w:pPr>
        <w:ind w:right="0"/>
        <w:pageBreakBefore w:val="0"/>
        <w:spacing w:beforeAutospacing="0" w:afterAutospacing="0"/>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（11）涉及商品包装和快递包装的，是否参考《商品包装政府采购需求标准（试行）》、《快递包装政府采购需求标准（试行）》明确产品及相关快递服务的具体包装要求：</w:t>
      </w:r>
      <w:r/>
    </w:p>
    <w:p>
      <w:pPr>
        <w:ind w:right="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rPr>
          <w:rFonts w:ascii="Wingdings" w:hAnsi="Wingdings" w:eastAsia="Wingdings" w:cs="Wingdings"/>
          <w:color w:val="000000"/>
          <w:sz w:val="21"/>
        </w:rPr>
        <w:t xml:space="preserve">¨</w:t>
      </w:r>
      <w:r>
        <w:rPr>
          <w:rFonts w:ascii="宋体" w:hAnsi="宋体" w:eastAsia="宋体" w:cs="宋体"/>
          <w:color w:val="000000"/>
          <w:sz w:val="21"/>
        </w:rPr>
        <w:t xml:space="preserve">不涉及</w:t>
      </w:r>
      <w:r/>
    </w:p>
    <w:p>
      <w:pPr>
        <w:numPr>
          <w:ilvl w:val="0"/>
          <w:numId w:val="6"/>
        </w:numPr>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合同金额</w:t>
      </w:r>
      <w:r/>
    </w:p>
    <w:p>
      <w:pPr>
        <w:ind w:right="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（1）合同金额小写：</w:t>
      </w:r>
      <w:r>
        <w:rPr>
          <w:rFonts w:ascii="宋体" w:hAnsi="宋体" w:eastAsia="宋体" w:cs="宋体"/>
          <w:color w:val="000000"/>
          <w:sz w:val="21"/>
          <w:u w:val="single"/>
        </w:rPr>
        <w:t xml:space="preserve">      </w:t>
      </w:r>
      <w:r/>
    </w:p>
    <w:p>
      <w:pPr>
        <w:ind w:left="0" w:right="0" w:firstLine="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大写：</w:t>
      </w:r>
      <w:r>
        <w:rPr>
          <w:rFonts w:ascii="宋体" w:hAnsi="宋体" w:eastAsia="宋体" w:cs="宋体"/>
          <w:color w:val="000000"/>
          <w:sz w:val="21"/>
          <w:u w:val="single"/>
        </w:rPr>
        <w:t xml:space="preserve">                           </w:t>
      </w:r>
      <w:r/>
    </w:p>
    <w:p>
      <w:pPr>
        <w:ind w:left="0" w:right="0" w:firstLine="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分包金额（如有）小写：</w:t>
      </w:r>
      <w:r>
        <w:rPr>
          <w:rFonts w:ascii="宋体" w:hAnsi="宋体" w:eastAsia="宋体" w:cs="宋体"/>
          <w:color w:val="000000"/>
          <w:sz w:val="21"/>
          <w:u w:val="single"/>
        </w:rPr>
        <w:t xml:space="preserve">                   </w:t>
      </w:r>
      <w:r/>
    </w:p>
    <w:p>
      <w:pPr>
        <w:ind w:left="0" w:right="0" w:firstLine="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大写：</w:t>
      </w:r>
      <w:r>
        <w:rPr>
          <w:rFonts w:ascii="宋体" w:hAnsi="宋体" w:eastAsia="宋体" w:cs="宋体"/>
          <w:color w:val="000000"/>
          <w:sz w:val="21"/>
          <w:u w:val="single"/>
        </w:rPr>
        <w:t xml:space="preserve">                   </w:t>
      </w:r>
      <w:r/>
    </w:p>
    <w:p>
      <w:pPr>
        <w:ind w:left="0" w:right="0" w:firstLine="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（注：固定单价合同应填写单价和最高限价）</w:t>
      </w:r>
      <w:r/>
    </w:p>
    <w:p>
      <w:pPr>
        <w:ind w:left="0" w:right="0" w:firstLine="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（2）合同定价方式（采用组合定价方式的，可以勾选多项）：</w:t>
      </w:r>
      <w:r/>
    </w:p>
    <w:p>
      <w:pPr>
        <w:ind w:right="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þ</w:t>
      </w:r>
      <w:r>
        <w:rPr>
          <w:rFonts w:ascii="宋体" w:hAnsi="宋体" w:eastAsia="宋体" w:cs="宋体"/>
          <w:color w:val="000000"/>
          <w:sz w:val="21"/>
        </w:rPr>
        <w:t xml:space="preserve">固定总价 </w:t>
      </w:r>
      <w:r>
        <w:rPr>
          <w:rFonts w:ascii="Wingdings" w:hAnsi="Wingdings" w:eastAsia="Wingdings" w:cs="Wingdings"/>
          <w:color w:val="000000"/>
          <w:sz w:val="21"/>
        </w:rPr>
        <w:t xml:space="preserve">¨</w:t>
      </w:r>
      <w:r>
        <w:rPr>
          <w:rFonts w:ascii="宋体" w:hAnsi="宋体" w:eastAsia="宋体" w:cs="宋体"/>
          <w:color w:val="000000"/>
          <w:sz w:val="21"/>
        </w:rPr>
        <w:t xml:space="preserve">固定单价 </w:t>
      </w:r>
      <w:r>
        <w:rPr>
          <w:rFonts w:ascii="Wingdings" w:hAnsi="Wingdings" w:eastAsia="Wingdings" w:cs="Wingdings"/>
          <w:color w:val="000000"/>
          <w:sz w:val="21"/>
        </w:rPr>
        <w:t xml:space="preserve">¨</w:t>
      </w:r>
      <w:r>
        <w:rPr>
          <w:rFonts w:ascii="宋体" w:hAnsi="宋体" w:eastAsia="宋体" w:cs="宋体"/>
          <w:color w:val="000000"/>
          <w:sz w:val="21"/>
        </w:rPr>
        <w:t xml:space="preserve">固定费率 </w:t>
      </w:r>
      <w:r>
        <w:rPr>
          <w:rFonts w:ascii="Wingdings" w:hAnsi="Wingdings" w:eastAsia="Wingdings" w:cs="Wingdings"/>
          <w:color w:val="000000"/>
          <w:sz w:val="21"/>
        </w:rPr>
        <w:t xml:space="preserve">¨</w:t>
      </w:r>
      <w:r>
        <w:rPr>
          <w:rFonts w:ascii="宋体" w:hAnsi="宋体" w:eastAsia="宋体" w:cs="宋体"/>
          <w:color w:val="000000"/>
          <w:sz w:val="21"/>
        </w:rPr>
        <w:t xml:space="preserve">成本补偿 </w:t>
      </w:r>
      <w:r>
        <w:rPr>
          <w:rFonts w:ascii="Wingdings" w:hAnsi="Wingdings" w:eastAsia="Wingdings" w:cs="Wingdings"/>
          <w:color w:val="000000"/>
          <w:sz w:val="21"/>
        </w:rPr>
        <w:t xml:space="preserve">¨</w:t>
      </w:r>
      <w:r>
        <w:rPr>
          <w:rFonts w:ascii="宋体" w:hAnsi="宋体" w:eastAsia="宋体" w:cs="宋体"/>
          <w:color w:val="000000"/>
          <w:sz w:val="21"/>
        </w:rPr>
        <w:t xml:space="preserve">绩效激励 </w:t>
      </w:r>
      <w:r>
        <w:rPr>
          <w:rFonts w:ascii="Wingdings" w:hAnsi="Wingdings" w:eastAsia="Wingdings" w:cs="Wingdings"/>
          <w:color w:val="000000"/>
          <w:sz w:val="21"/>
        </w:rPr>
        <w:t xml:space="preserve">¨</w:t>
      </w:r>
      <w:r>
        <w:rPr>
          <w:rFonts w:ascii="宋体" w:hAnsi="宋体" w:eastAsia="宋体" w:cs="宋体"/>
          <w:color w:val="000000"/>
          <w:sz w:val="21"/>
        </w:rPr>
        <w:t xml:space="preserve">其他</w:t>
      </w:r>
      <w:r>
        <w:rPr>
          <w:rFonts w:ascii="宋体" w:hAnsi="宋体" w:eastAsia="宋体" w:cs="宋体"/>
          <w:color w:val="000000"/>
          <w:sz w:val="21"/>
          <w:u w:val="single"/>
        </w:rPr>
        <w:t xml:space="preserve">       </w:t>
      </w:r>
      <w:r/>
    </w:p>
    <w:p>
      <w:pPr>
        <w:ind w:right="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（3）付款方式（按项目实际勾选填写）：</w:t>
      </w:r>
      <w:r/>
    </w:p>
    <w:p>
      <w:pPr>
        <w:ind w:right="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全额付款：</w:t>
      </w:r>
      <w:r>
        <w:rPr>
          <w:rFonts w:ascii="宋体" w:hAnsi="宋体" w:eastAsia="宋体" w:cs="宋体"/>
          <w:color w:val="000000"/>
          <w:sz w:val="21"/>
          <w:u w:val="single"/>
        </w:rPr>
        <w:t xml:space="preserve">  （应明确一次性支付合同款项的条件）</w:t>
      </w:r>
      <w:r/>
    </w:p>
    <w:p>
      <w:pPr>
        <w:ind w:right="0"/>
        <w:jc w:val="both"/>
        <w:pageBreakBefore w:val="0"/>
        <w:spacing w:beforeAutospacing="0" w:afterAutospacing="0" w:line="85"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þ</w:t>
      </w:r>
      <w:r>
        <w:rPr>
          <w:rFonts w:ascii="宋体" w:hAnsi="宋体" w:eastAsia="宋体" w:cs="宋体"/>
          <w:color w:val="000000"/>
          <w:sz w:val="21"/>
        </w:rPr>
        <w:t xml:space="preserve">分期付款：</w:t>
      </w:r>
      <w:r>
        <w:rPr>
          <w:rFonts w:ascii="宋体" w:hAnsi="宋体" w:eastAsia="宋体" w:cs="宋体"/>
          <w:color w:val="000000"/>
          <w:sz w:val="21"/>
          <w:u w:val="single"/>
        </w:rPr>
        <w:t xml:space="preserve">  </w:t>
      </w:r>
      <w:r>
        <w:rPr>
          <w:rFonts w:ascii="宋体" w:hAnsi="宋体" w:eastAsia="宋体" w:cs="宋体"/>
          <w:color w:val="000000"/>
          <w:sz w:val="21"/>
        </w:rPr>
        <w:t xml:space="preserve">甲方在收到履约保证金（函）后，</w:t>
      </w:r>
      <w:r>
        <w:rPr>
          <w:rFonts w:ascii="Times New Roman" w:hAnsi="Times New Roman" w:eastAsia="Times New Roman" w:cs="Times New Roman"/>
          <w:color w:val="000000"/>
          <w:sz w:val="21"/>
        </w:rPr>
        <w:t xml:space="preserve">30</w:t>
      </w:r>
      <w:r>
        <w:rPr>
          <w:rFonts w:ascii="宋体" w:hAnsi="宋体" w:eastAsia="宋体" w:cs="宋体"/>
          <w:color w:val="000000"/>
          <w:sz w:val="21"/>
        </w:rPr>
        <w:t xml:space="preserve">天内向乙方支付合同总金额</w:t>
      </w:r>
      <w:r>
        <w:rPr>
          <w:rFonts w:ascii="Times New Roman" w:hAnsi="Times New Roman" w:eastAsia="Times New Roman" w:cs="Times New Roman"/>
          <w:color w:val="000000"/>
          <w:sz w:val="21"/>
        </w:rPr>
        <w:t xml:space="preserve">30%</w:t>
      </w:r>
      <w:r>
        <w:rPr>
          <w:rFonts w:ascii="宋体" w:hAnsi="宋体" w:eastAsia="宋体" w:cs="宋体"/>
          <w:color w:val="000000"/>
          <w:sz w:val="21"/>
        </w:rPr>
        <w:t xml:space="preserve">的价款。乙方按照合同约定交货，并经甲方对合同中所有装备到货验收合格（甲方签署到货验收合格报告）后，凭乙方等额有效发票及甲方签署验收合格报告，甲方在</w:t>
      </w:r>
      <w:r>
        <w:rPr>
          <w:rFonts w:ascii="Times New Roman" w:hAnsi="Times New Roman" w:eastAsia="Times New Roman" w:cs="Times New Roman"/>
          <w:color w:val="000000"/>
          <w:sz w:val="21"/>
        </w:rPr>
        <w:t xml:space="preserve">30</w:t>
      </w:r>
      <w:r>
        <w:rPr>
          <w:rFonts w:ascii="宋体" w:hAnsi="宋体" w:eastAsia="宋体" w:cs="宋体"/>
          <w:color w:val="000000"/>
          <w:sz w:val="21"/>
        </w:rPr>
        <w:t xml:space="preserve">天内向乙方支付合同金额</w:t>
      </w:r>
      <w:r>
        <w:rPr>
          <w:rFonts w:ascii="Times New Roman" w:hAnsi="Times New Roman" w:eastAsia="Times New Roman" w:cs="Times New Roman"/>
          <w:color w:val="000000"/>
          <w:sz w:val="21"/>
        </w:rPr>
        <w:t xml:space="preserve">70%</w:t>
      </w:r>
      <w:r>
        <w:rPr>
          <w:rFonts w:ascii="宋体" w:hAnsi="宋体" w:eastAsia="宋体" w:cs="宋体"/>
          <w:color w:val="000000"/>
          <w:sz w:val="21"/>
        </w:rPr>
        <w:t xml:space="preserve">的价款。当采购数量与实际使用数量不一致时，乙方应根据实际使用量供货，合同的最终结算金额按实际使用量乘以成交单价进行计算，其中涉及预付款的：</w:t>
      </w:r>
      <w:r>
        <w:rPr>
          <w:rFonts w:ascii="宋体" w:hAnsi="宋体" w:eastAsia="宋体" w:cs="宋体"/>
          <w:color w:val="000000"/>
          <w:sz w:val="21"/>
          <w:u w:val="single"/>
        </w:rPr>
        <w:t xml:space="preserve"> （应明确预付款的支付比例和支付条件） </w:t>
      </w:r>
      <w:r/>
    </w:p>
    <w:p>
      <w:pPr>
        <w:ind w:right="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成本补偿：</w:t>
      </w:r>
      <w:r>
        <w:rPr>
          <w:rFonts w:ascii="宋体" w:hAnsi="宋体" w:eastAsia="宋体" w:cs="宋体"/>
          <w:color w:val="000000"/>
          <w:sz w:val="21"/>
          <w:u w:val="single"/>
        </w:rPr>
        <w:t xml:space="preserve">      （应明确按照成本补偿方式的支付方式和支付条件）</w:t>
      </w:r>
      <w:r/>
    </w:p>
    <w:p>
      <w:pPr>
        <w:ind w:right="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绩效激励：</w:t>
      </w:r>
      <w:r>
        <w:rPr>
          <w:rFonts w:ascii="宋体" w:hAnsi="宋体" w:eastAsia="宋体" w:cs="宋体"/>
          <w:color w:val="000000"/>
          <w:sz w:val="21"/>
          <w:u w:val="single"/>
        </w:rPr>
        <w:t xml:space="preserve">      （应明确按照绩效激励方式的支付方式和支付条件）</w:t>
      </w:r>
      <w:r/>
    </w:p>
    <w:p>
      <w:pPr>
        <w:numPr>
          <w:ilvl w:val="0"/>
          <w:numId w:val="6"/>
        </w:numPr>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合同履行</w:t>
      </w:r>
      <w:r/>
    </w:p>
    <w:p>
      <w:pPr>
        <w:ind w:left="0" w:right="0" w:firstLine="42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（1）起始日期：</w:t>
      </w:r>
      <w:r>
        <w:rPr>
          <w:rFonts w:ascii="宋体" w:hAnsi="宋体" w:eastAsia="宋体" w:cs="宋体"/>
          <w:color w:val="000000"/>
          <w:sz w:val="21"/>
          <w:u w:val="single"/>
        </w:rPr>
        <w:t xml:space="preserve">    </w:t>
      </w:r>
      <w:r>
        <w:rPr>
          <w:rFonts w:ascii="宋体" w:hAnsi="宋体" w:eastAsia="宋体" w:cs="宋体"/>
          <w:color w:val="000000"/>
          <w:sz w:val="21"/>
        </w:rPr>
        <w:t xml:space="preserve">年</w:t>
      </w:r>
      <w:r>
        <w:rPr>
          <w:rFonts w:ascii="宋体" w:hAnsi="宋体" w:eastAsia="宋体" w:cs="宋体"/>
          <w:color w:val="000000"/>
          <w:sz w:val="21"/>
          <w:u w:val="single"/>
        </w:rPr>
        <w:t xml:space="preserve">   </w:t>
      </w:r>
      <w:r>
        <w:rPr>
          <w:rFonts w:ascii="宋体" w:hAnsi="宋体" w:eastAsia="宋体" w:cs="宋体"/>
          <w:color w:val="000000"/>
          <w:sz w:val="21"/>
        </w:rPr>
        <w:t xml:space="preserve">月</w:t>
      </w:r>
      <w:r>
        <w:rPr>
          <w:rFonts w:ascii="宋体" w:hAnsi="宋体" w:eastAsia="宋体" w:cs="宋体"/>
          <w:color w:val="000000"/>
          <w:sz w:val="21"/>
          <w:u w:val="single"/>
        </w:rPr>
        <w:t xml:space="preserve">   </w:t>
      </w:r>
      <w:r>
        <w:rPr>
          <w:rFonts w:ascii="宋体" w:hAnsi="宋体" w:eastAsia="宋体" w:cs="宋体"/>
          <w:color w:val="000000"/>
          <w:sz w:val="21"/>
        </w:rPr>
        <w:t xml:space="preserve">日，完成日期：</w:t>
      </w:r>
      <w:r>
        <w:rPr>
          <w:rFonts w:ascii="宋体" w:hAnsi="宋体" w:eastAsia="宋体" w:cs="宋体"/>
          <w:color w:val="000000"/>
          <w:sz w:val="21"/>
          <w:u w:val="single"/>
        </w:rPr>
        <w:t xml:space="preserve">    </w:t>
      </w:r>
      <w:r>
        <w:rPr>
          <w:rFonts w:ascii="宋体" w:hAnsi="宋体" w:eastAsia="宋体" w:cs="宋体"/>
          <w:color w:val="000000"/>
          <w:sz w:val="21"/>
        </w:rPr>
        <w:t xml:space="preserve">年</w:t>
      </w:r>
      <w:r>
        <w:rPr>
          <w:rFonts w:ascii="宋体" w:hAnsi="宋体" w:eastAsia="宋体" w:cs="宋体"/>
          <w:color w:val="000000"/>
          <w:sz w:val="21"/>
          <w:u w:val="single"/>
        </w:rPr>
        <w:t xml:space="preserve">   </w:t>
      </w:r>
      <w:r>
        <w:rPr>
          <w:rFonts w:ascii="宋体" w:hAnsi="宋体" w:eastAsia="宋体" w:cs="宋体"/>
          <w:color w:val="000000"/>
          <w:sz w:val="21"/>
        </w:rPr>
        <w:t xml:space="preserve">月</w:t>
      </w:r>
      <w:r>
        <w:rPr>
          <w:rFonts w:ascii="宋体" w:hAnsi="宋体" w:eastAsia="宋体" w:cs="宋体"/>
          <w:color w:val="000000"/>
          <w:sz w:val="21"/>
          <w:u w:val="single"/>
        </w:rPr>
        <w:t xml:space="preserve">   </w:t>
      </w:r>
      <w:r>
        <w:rPr>
          <w:rFonts w:ascii="宋体" w:hAnsi="宋体" w:eastAsia="宋体" w:cs="宋体"/>
          <w:color w:val="000000"/>
          <w:sz w:val="21"/>
        </w:rPr>
        <w:t xml:space="preserve">日。</w:t>
      </w:r>
      <w:r/>
    </w:p>
    <w:p>
      <w:pPr>
        <w:ind w:left="0" w:right="0" w:firstLine="42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（2）履约地点：</w:t>
      </w:r>
      <w:r>
        <w:rPr>
          <w:rFonts w:ascii="宋体" w:hAnsi="宋体" w:eastAsia="宋体" w:cs="宋体"/>
          <w:color w:val="000000"/>
          <w:sz w:val="21"/>
          <w:u w:val="single"/>
        </w:rPr>
        <w:t xml:space="preserve">                             </w:t>
      </w:r>
      <w:r/>
    </w:p>
    <w:p>
      <w:pPr>
        <w:ind w:left="0" w:right="0" w:firstLine="42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（3）履约担保：是否收取履约保证金：</w:t>
      </w:r>
      <w:r>
        <w:rPr>
          <w:rFonts w:ascii="Wingdings" w:hAnsi="Wingdings" w:eastAsia="Wingdings" w:cs="Wingdings"/>
          <w:color w:val="000000"/>
          <w:sz w:val="21"/>
        </w:rPr>
        <w:t xml:space="preserve">þ</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pageBreakBefore w:val="0"/>
        <w:spacing w:beforeAutospacing="0" w:afterAutospacing="0"/>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2"/>
        </w:rPr>
        <w:t xml:space="preserve"> </w:t>
      </w:r>
      <w:r>
        <w:rPr>
          <w:rFonts w:ascii="宋体" w:hAnsi="宋体" w:eastAsia="宋体" w:cs="宋体"/>
          <w:color w:val="000000"/>
          <w:sz w:val="21"/>
        </w:rPr>
        <w:t xml:space="preserve">收取履约保证金形式：</w:t>
      </w:r>
      <w:r>
        <w:rPr>
          <w:rFonts w:ascii="宋体" w:hAnsi="宋体" w:eastAsia="宋体" w:cs="宋体"/>
          <w:color w:val="000000"/>
          <w:sz w:val="21"/>
          <w:u w:val="single"/>
        </w:rPr>
        <w:t xml:space="preserve"> </w:t>
      </w:r>
      <w:r>
        <w:rPr>
          <w:rFonts w:ascii="宋体" w:hAnsi="宋体" w:eastAsia="宋体" w:cs="宋体"/>
          <w:color w:val="000000"/>
          <w:sz w:val="21"/>
        </w:rPr>
        <w:t xml:space="preserve">本合同签订之日起</w:t>
      </w:r>
      <w:r>
        <w:rPr>
          <w:rFonts w:ascii="Times New Roman" w:hAnsi="Times New Roman" w:eastAsia="Times New Roman" w:cs="Times New Roman"/>
          <w:color w:val="000000"/>
          <w:sz w:val="21"/>
        </w:rPr>
        <w:t xml:space="preserve">7</w:t>
      </w:r>
      <w:r>
        <w:rPr>
          <w:rFonts w:ascii="宋体" w:hAnsi="宋体" w:eastAsia="宋体" w:cs="宋体"/>
          <w:color w:val="000000"/>
          <w:sz w:val="21"/>
        </w:rPr>
        <w:t xml:space="preserve">个工作日内，乙方应向甲方缴纳履约保证金（银行转账或金融机构出具的独立保函，该保函需载明：（</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）见索即付；（</w:t>
      </w:r>
      <w:r>
        <w:rPr>
          <w:rFonts w:ascii="Times New Roman" w:hAnsi="Times New Roman" w:eastAsia="Times New Roman" w:cs="Times New Roman"/>
          <w:color w:val="000000"/>
          <w:sz w:val="21"/>
        </w:rPr>
        <w:t xml:space="preserve">2</w:t>
      </w:r>
      <w:r>
        <w:rPr>
          <w:rFonts w:ascii="宋体" w:hAnsi="宋体" w:eastAsia="宋体" w:cs="宋体"/>
          <w:color w:val="000000"/>
          <w:sz w:val="21"/>
        </w:rPr>
        <w:t xml:space="preserve">）收到甲方法定代表人或授权委托代理人签字确认并加盖公章的书面索赔通知后即应不争辩、不挑剔、不可撤销地向甲方支付索赔款，直至最高担保金额；（</w:t>
      </w:r>
      <w:r>
        <w:rPr>
          <w:rFonts w:ascii="Times New Roman" w:hAnsi="Times New Roman" w:eastAsia="Times New Roman" w:cs="Times New Roman"/>
          <w:color w:val="000000"/>
          <w:sz w:val="21"/>
        </w:rPr>
        <w:t xml:space="preserve">3</w:t>
      </w:r>
      <w:r>
        <w:rPr>
          <w:rFonts w:ascii="宋体" w:hAnsi="宋体" w:eastAsia="宋体" w:cs="宋体"/>
          <w:color w:val="000000"/>
          <w:sz w:val="21"/>
        </w:rPr>
        <w:t xml:space="preserve">）有效期为保函开具之日起至验收合格后一年为止；（</w:t>
      </w:r>
      <w:r>
        <w:rPr>
          <w:rFonts w:ascii="Times New Roman" w:hAnsi="Times New Roman" w:eastAsia="Times New Roman" w:cs="Times New Roman"/>
          <w:color w:val="000000"/>
          <w:sz w:val="21"/>
        </w:rPr>
        <w:t xml:space="preserve">4</w:t>
      </w:r>
      <w:r>
        <w:rPr>
          <w:rFonts w:ascii="宋体" w:hAnsi="宋体" w:eastAsia="宋体" w:cs="宋体"/>
          <w:color w:val="000000"/>
          <w:sz w:val="21"/>
        </w:rPr>
        <w:t xml:space="preserve">）担保金额为合同金额的</w:t>
      </w:r>
      <w:r>
        <w:rPr>
          <w:rFonts w:ascii="Times New Roman" w:hAnsi="Times New Roman" w:eastAsia="Times New Roman" w:cs="Times New Roman"/>
          <w:color w:val="000000"/>
          <w:sz w:val="21"/>
        </w:rPr>
        <w:t xml:space="preserve">5%</w:t>
      </w:r>
      <w:r>
        <w:rPr>
          <w:rFonts w:ascii="宋体" w:hAnsi="宋体" w:eastAsia="宋体" w:cs="宋体"/>
          <w:color w:val="000000"/>
          <w:sz w:val="21"/>
        </w:rPr>
        <w:t xml:space="preserve">。如乙方提供的保函未载明前述内容的，甲方可以拒收该保函，并要求乙方以银行转账的方式提供履约保证金。</w:t>
      </w:r>
      <w:r>
        <w:rPr>
          <w:rFonts w:ascii="宋体" w:hAnsi="宋体" w:eastAsia="宋体" w:cs="宋体"/>
          <w:color w:val="000000"/>
          <w:sz w:val="21"/>
          <w:u w:val="single"/>
        </w:rPr>
        <w:t xml:space="preserve">   </w:t>
      </w:r>
      <w:r/>
    </w:p>
    <w:p>
      <w:pPr>
        <w:ind w:left="0" w:right="0" w:firstLine="420"/>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收取履约保证金金额：</w:t>
      </w:r>
      <w:r>
        <w:rPr>
          <w:rFonts w:ascii="宋体" w:hAnsi="宋体" w:eastAsia="宋体" w:cs="宋体"/>
          <w:color w:val="000000"/>
          <w:sz w:val="21"/>
          <w:u w:val="single"/>
        </w:rPr>
        <w:t xml:space="preserve">   </w:t>
      </w:r>
      <w:r>
        <w:rPr>
          <w:rFonts w:ascii="宋体" w:hAnsi="宋体" w:eastAsia="宋体" w:cs="宋体"/>
          <w:color w:val="000000"/>
          <w:sz w:val="21"/>
        </w:rPr>
        <w:t xml:space="preserve">合同总金额</w:t>
      </w:r>
      <w:r>
        <w:rPr>
          <w:rFonts w:ascii="Times New Roman" w:hAnsi="Times New Roman" w:eastAsia="Times New Roman" w:cs="Times New Roman"/>
          <w:color w:val="000000"/>
          <w:sz w:val="21"/>
        </w:rPr>
        <w:t xml:space="preserve">5% </w:t>
      </w:r>
      <w:r>
        <w:rPr>
          <w:rFonts w:ascii="宋体" w:hAnsi="宋体" w:eastAsia="宋体" w:cs="宋体"/>
          <w:color w:val="000000"/>
          <w:sz w:val="21"/>
          <w:u w:val="single"/>
        </w:rPr>
        <w:t xml:space="preserve">     </w:t>
      </w:r>
      <w:r/>
    </w:p>
    <w:p>
      <w:pPr>
        <w:ind w:left="0" w:right="0" w:firstLine="42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履约担保期限：</w:t>
      </w:r>
      <w:r>
        <w:rPr>
          <w:rFonts w:ascii="宋体" w:hAnsi="宋体" w:eastAsia="宋体" w:cs="宋体"/>
          <w:color w:val="000000"/>
          <w:sz w:val="21"/>
          <w:u w:val="single"/>
        </w:rPr>
        <w:t xml:space="preserve">        </w:t>
      </w:r>
      <w:r/>
    </w:p>
    <w:p>
      <w:pPr>
        <w:ind w:left="0" w:right="0" w:firstLine="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（4）分期履行要求：</w:t>
      </w:r>
      <w:r>
        <w:rPr>
          <w:rFonts w:ascii="宋体" w:hAnsi="宋体" w:eastAsia="宋体" w:cs="宋体"/>
          <w:color w:val="000000"/>
          <w:sz w:val="21"/>
          <w:u w:val="single"/>
        </w:rPr>
        <w:t xml:space="preserve">                        </w:t>
      </w:r>
      <w:r/>
    </w:p>
    <w:p>
      <w:pPr>
        <w:ind w:left="0" w:right="0" w:firstLine="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（5）风险处置措施和替代方案：</w:t>
      </w:r>
      <w:r>
        <w:rPr>
          <w:rFonts w:ascii="宋体" w:hAnsi="宋体" w:eastAsia="宋体" w:cs="宋体"/>
          <w:color w:val="0000ff"/>
          <w:sz w:val="21"/>
          <w:u w:val="single"/>
        </w:rPr>
        <w:t xml:space="preserve"> </w:t>
      </w:r>
      <w:r>
        <w:rPr>
          <w:rFonts w:ascii="宋体" w:hAnsi="宋体" w:eastAsia="宋体" w:cs="宋体"/>
          <w:color w:val="000000"/>
          <w:sz w:val="21"/>
          <w:u w:val="single"/>
        </w:rPr>
        <w:t xml:space="preserve">              </w:t>
      </w:r>
      <w:r/>
    </w:p>
    <w:p>
      <w:pPr>
        <w:numPr>
          <w:ilvl w:val="0"/>
          <w:numId w:val="6"/>
        </w:numPr>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合同验收</w:t>
      </w:r>
      <w:r/>
    </w:p>
    <w:p>
      <w:pPr>
        <w:numPr>
          <w:ilvl w:val="0"/>
          <w:numId w:val="8"/>
        </w:numPr>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验收组织方式：</w:t>
      </w:r>
      <w:r>
        <w:rPr>
          <w:rFonts w:ascii="Wingdings" w:hAnsi="Wingdings" w:eastAsia="Wingdings" w:cs="Wingdings"/>
          <w:color w:val="000000"/>
          <w:sz w:val="21"/>
        </w:rPr>
        <w:t xml:space="preserve">¨</w:t>
      </w:r>
      <w:r>
        <w:rPr>
          <w:rFonts w:ascii="宋体" w:hAnsi="宋体" w:eastAsia="宋体" w:cs="宋体"/>
          <w:color w:val="000000"/>
          <w:sz w:val="21"/>
        </w:rPr>
        <w:t xml:space="preserve">自行组织 </w:t>
      </w:r>
      <w:r>
        <w:rPr>
          <w:rFonts w:ascii="Wingdings" w:hAnsi="Wingdings" w:eastAsia="Wingdings" w:cs="Wingdings"/>
          <w:color w:val="000000"/>
          <w:sz w:val="21"/>
        </w:rPr>
        <w:t xml:space="preserve">¨</w:t>
      </w:r>
      <w:r>
        <w:rPr>
          <w:rFonts w:ascii="宋体" w:hAnsi="宋体" w:eastAsia="宋体" w:cs="宋体"/>
          <w:color w:val="000000"/>
          <w:sz w:val="21"/>
        </w:rPr>
        <w:t xml:space="preserve">委托第三方组织</w:t>
      </w:r>
      <w:r/>
    </w:p>
    <w:p>
      <w:pPr>
        <w:ind w:left="0" w:right="0" w:firstLine="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验收主体：</w:t>
      </w:r>
      <w:r>
        <w:rPr>
          <w:rFonts w:ascii="宋体" w:hAnsi="宋体" w:eastAsia="宋体" w:cs="宋体"/>
          <w:color w:val="000000"/>
          <w:sz w:val="21"/>
          <w:u w:val="single"/>
        </w:rPr>
        <w:t xml:space="preserve">                   </w:t>
      </w:r>
      <w:r/>
    </w:p>
    <w:p>
      <w:pPr>
        <w:ind w:left="0" w:right="0" w:firstLine="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是否邀请本项目的其他供应商参加验收：</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是否邀请专家参加验收：</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是否邀请服务对象参加验收：</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是否邀请第三方检测机构参加验收：</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是否进行抽查检测：</w:t>
      </w:r>
      <w:r>
        <w:rPr>
          <w:rFonts w:ascii="Wingdings" w:hAnsi="Wingdings" w:eastAsia="Wingdings" w:cs="Wingdings"/>
          <w:color w:val="000000"/>
          <w:sz w:val="21"/>
        </w:rPr>
        <w:t xml:space="preserve">¨</w:t>
      </w:r>
      <w:r>
        <w:rPr>
          <w:rFonts w:ascii="宋体" w:hAnsi="宋体" w:eastAsia="宋体" w:cs="宋体"/>
          <w:color w:val="000000"/>
          <w:sz w:val="21"/>
        </w:rPr>
        <w:t xml:space="preserve">是，抽查比例：</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是否存在破坏性检测：</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宋体" w:hAnsi="宋体" w:eastAsia="宋体" w:cs="宋体"/>
          <w:color w:val="000000"/>
          <w:sz w:val="21"/>
          <w:u w:val="single"/>
        </w:rPr>
        <w:t xml:space="preserve">（应明确对被破坏的检测产品的处理方式）</w:t>
      </w:r>
      <w:r/>
    </w:p>
    <w:p>
      <w:pPr>
        <w:ind w:left="0" w:right="0" w:firstLine="525"/>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验收组织的其他事项：</w:t>
      </w:r>
      <w:r>
        <w:rPr>
          <w:rFonts w:ascii="宋体" w:hAnsi="宋体" w:eastAsia="宋体" w:cs="宋体"/>
          <w:color w:val="000000"/>
          <w:sz w:val="21"/>
          <w:u w:val="single"/>
        </w:rPr>
        <w:t xml:space="preserve">                </w:t>
      </w:r>
      <w:r/>
    </w:p>
    <w:p>
      <w:pPr>
        <w:ind w:left="0" w:right="0" w:firstLine="42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（2）履约验收时间：</w:t>
      </w:r>
      <w:r>
        <w:rPr>
          <w:rFonts w:ascii="宋体" w:hAnsi="宋体" w:eastAsia="宋体" w:cs="宋体"/>
          <w:color w:val="000000"/>
          <w:sz w:val="21"/>
          <w:u w:val="single"/>
        </w:rPr>
        <w:t xml:space="preserve">（计划于何时验收/供应商提出验收申请之日起   日内组织验收） </w:t>
      </w:r>
      <w:r/>
    </w:p>
    <w:p>
      <w:pPr>
        <w:ind w:left="0" w:right="0" w:firstLine="42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（3）履约验收方式：</w:t>
      </w:r>
      <w:r>
        <w:rPr>
          <w:rFonts w:ascii="Wingdings" w:hAnsi="Wingdings" w:eastAsia="Wingdings" w:cs="Wingdings"/>
          <w:color w:val="000000"/>
          <w:sz w:val="21"/>
        </w:rPr>
        <w:t xml:space="preserve">¨</w:t>
      </w:r>
      <w:r>
        <w:rPr>
          <w:rFonts w:ascii="宋体" w:hAnsi="宋体" w:eastAsia="宋体" w:cs="宋体"/>
          <w:color w:val="000000"/>
          <w:sz w:val="21"/>
        </w:rPr>
        <w:t xml:space="preserve">一次性验收</w:t>
      </w:r>
      <w:r/>
    </w:p>
    <w:p>
      <w:pPr>
        <w:ind w:left="0" w:right="0" w:firstLine="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分期/分项验收：</w:t>
      </w:r>
      <w:r>
        <w:rPr>
          <w:rFonts w:ascii="宋体" w:hAnsi="宋体" w:eastAsia="宋体" w:cs="宋体"/>
          <w:color w:val="000000"/>
          <w:sz w:val="21"/>
          <w:u w:val="single"/>
        </w:rPr>
        <w:t xml:space="preserve"> （应明确分期/分项验收的工作安排）</w:t>
      </w:r>
      <w:r/>
    </w:p>
    <w:p>
      <w:pPr>
        <w:ind w:left="0" w:right="0" w:firstLine="42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（4）履约验收程序：</w:t>
      </w:r>
      <w:r>
        <w:rPr>
          <w:rFonts w:ascii="宋体" w:hAnsi="宋体" w:eastAsia="宋体" w:cs="宋体"/>
          <w:color w:val="000000"/>
          <w:sz w:val="21"/>
          <w:u w:val="single"/>
        </w:rPr>
        <w:t xml:space="preserve">             </w:t>
      </w:r>
      <w:r/>
    </w:p>
    <w:p>
      <w:pPr>
        <w:ind w:left="0" w:right="0" w:firstLine="42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（5）履约验收的内容：</w:t>
      </w:r>
      <w:r>
        <w:rPr>
          <w:rFonts w:ascii="宋体" w:hAnsi="宋体" w:eastAsia="宋体" w:cs="宋体"/>
          <w:color w:val="000000"/>
          <w:sz w:val="21"/>
          <w:u w:val="single"/>
        </w:rPr>
        <w:t xml:space="preserve"> （应当包括每一项技术和商务要求的履约情况，特别是落实政府采购扶持中小企业，支持绿色发展和乡村振兴等政策情况）</w:t>
      </w:r>
      <w:r/>
    </w:p>
    <w:p>
      <w:pPr>
        <w:ind w:left="0" w:right="0" w:firstLine="42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（6）履约验收标准：</w:t>
      </w:r>
      <w:r>
        <w:rPr>
          <w:rFonts w:ascii="宋体" w:hAnsi="宋体" w:eastAsia="宋体" w:cs="宋体"/>
          <w:color w:val="000000"/>
          <w:sz w:val="21"/>
          <w:u w:val="single"/>
        </w:rPr>
        <w:t xml:space="preserve">          </w:t>
      </w:r>
      <w:r/>
    </w:p>
    <w:p>
      <w:pPr>
        <w:ind w:left="0" w:right="0" w:firstLine="420"/>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（7）是否以采购活动中供应商提供的样品</w:t>
      </w:r>
      <w:r>
        <w:rPr>
          <w:rFonts w:hint="eastAsia" w:ascii="宋体" w:hAnsi="宋体" w:cs="宋体"/>
          <w:color w:val="000000"/>
          <w:sz w:val="21"/>
          <w:lang w:val="en-US" w:eastAsia="zh-CN"/>
        </w:rPr>
        <w:t xml:space="preserve">视频</w:t>
      </w:r>
      <w:r>
        <w:rPr>
          <w:rFonts w:ascii="宋体" w:hAnsi="宋体" w:eastAsia="宋体" w:cs="宋体"/>
          <w:color w:val="000000"/>
          <w:sz w:val="21"/>
        </w:rPr>
        <w:t xml:space="preserve">作为参考：</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42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（8）履约验收其他事项：</w:t>
      </w:r>
      <w:r>
        <w:rPr>
          <w:rFonts w:ascii="宋体" w:hAnsi="宋体" w:eastAsia="宋体" w:cs="宋体"/>
          <w:color w:val="000000"/>
          <w:sz w:val="21"/>
          <w:u w:val="single"/>
        </w:rPr>
        <w:t xml:space="preserve">      （产权过户登记等）</w:t>
      </w:r>
      <w:r/>
    </w:p>
    <w:p>
      <w:pPr>
        <w:numPr>
          <w:ilvl w:val="0"/>
          <w:numId w:val="6"/>
        </w:numPr>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组成合同的文件</w:t>
      </w:r>
      <w:r/>
    </w:p>
    <w:p>
      <w:pPr>
        <w:ind w:left="0" w:right="0" w:firstLine="42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本协议书与下列文件一起构成合同文件，如下述文件之间有任何抵触、矛盾或歧义，应按以下顺序解释：</w:t>
      </w:r>
      <w:r/>
    </w:p>
    <w:p>
      <w:pPr>
        <w:ind w:left="0" w:right="0" w:firstLine="42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（1）政府采购合同协议书及其变更、补充协议</w:t>
      </w:r>
      <w:r/>
    </w:p>
    <w:p>
      <w:pPr>
        <w:ind w:left="0" w:right="0" w:firstLine="42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（2）政府采购合同专用条款</w:t>
      </w:r>
      <w:r/>
    </w:p>
    <w:p>
      <w:pPr>
        <w:ind w:left="0" w:right="0" w:firstLine="42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（3）政府采购合同通用条款</w:t>
      </w:r>
      <w:r/>
    </w:p>
    <w:p>
      <w:pPr>
        <w:ind w:left="0" w:right="0" w:firstLine="42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（4）中标（成交）通知书</w:t>
      </w:r>
      <w:r/>
    </w:p>
    <w:p>
      <w:pPr>
        <w:ind w:left="0" w:right="0" w:firstLine="42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（5）投标（响应）文件</w:t>
      </w:r>
      <w:r/>
    </w:p>
    <w:p>
      <w:pPr>
        <w:ind w:left="0" w:right="0" w:firstLine="42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（6）采购文件</w:t>
      </w:r>
      <w:r/>
    </w:p>
    <w:p>
      <w:pPr>
        <w:ind w:left="0" w:right="0" w:firstLine="42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（7）有关技术文件</w:t>
      </w:r>
      <w:r/>
    </w:p>
    <w:p>
      <w:pPr>
        <w:ind w:left="0" w:right="0" w:firstLine="420"/>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（8）国家法律、行政法规和规章制度规定或合同约定的作为合同组成部分的其他文件</w:t>
      </w:r>
      <w:r/>
    </w:p>
    <w:p>
      <w:pPr>
        <w:ind w:left="0" w:right="0" w:firstLine="420"/>
        <w:jc w:val="both"/>
        <w:pageBreakBefore w:val="0"/>
        <w:spacing w:beforeAutospacing="0" w:afterAutospacing="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（9）补充条款：（支队根据实际情况与供货单位签署的售后服务承诺等保障合同履行的内容，但不得偏离合同实质性条款。）</w:t>
      </w:r>
      <w:r/>
    </w:p>
    <w:p>
      <w:pPr>
        <w:numPr>
          <w:ilvl w:val="0"/>
          <w:numId w:val="6"/>
        </w:numPr>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合同生效</w:t>
      </w:r>
      <w:r/>
    </w:p>
    <w:p>
      <w:pPr>
        <w:ind w:left="0" w:right="0" w:firstLine="42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本合同自甲乙双方法定代表或授权委托代表签字且加盖单位公章后生效。</w:t>
      </w:r>
      <w:r/>
    </w:p>
    <w:p>
      <w:pPr>
        <w:numPr>
          <w:ilvl w:val="0"/>
          <w:numId w:val="6"/>
        </w:numPr>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合同份数</w:t>
      </w:r>
      <w:r/>
    </w:p>
    <w:p>
      <w:pPr>
        <w:ind w:left="0" w:right="0" w:firstLine="42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本合同一式</w:t>
      </w:r>
      <w:r>
        <w:rPr>
          <w:rFonts w:ascii="宋体" w:hAnsi="宋体" w:eastAsia="宋体" w:cs="宋体"/>
          <w:color w:val="000000"/>
          <w:sz w:val="21"/>
          <w:u w:val="single"/>
        </w:rPr>
        <w:t xml:space="preserve"> </w:t>
      </w:r>
      <w:r>
        <w:rPr>
          <w:rFonts w:ascii="宋体" w:hAnsi="宋体" w:eastAsia="宋体" w:cs="宋体"/>
          <w:color w:val="000000"/>
          <w:sz w:val="21"/>
        </w:rPr>
        <w:t xml:space="preserve">肆</w:t>
      </w:r>
      <w:r>
        <w:rPr>
          <w:rFonts w:ascii="宋体" w:hAnsi="宋体" w:eastAsia="宋体" w:cs="宋体"/>
          <w:color w:val="000000"/>
          <w:sz w:val="21"/>
          <w:u w:val="single"/>
        </w:rPr>
        <w:t xml:space="preserve"> </w:t>
      </w:r>
      <w:r>
        <w:rPr>
          <w:rFonts w:ascii="宋体" w:hAnsi="宋体" w:eastAsia="宋体" w:cs="宋体"/>
          <w:color w:val="000000"/>
          <w:sz w:val="21"/>
        </w:rPr>
        <w:t xml:space="preserve">份，甲方执</w:t>
      </w:r>
      <w:r>
        <w:rPr>
          <w:rFonts w:ascii="宋体" w:hAnsi="宋体" w:eastAsia="宋体" w:cs="宋体"/>
          <w:color w:val="000000"/>
          <w:sz w:val="21"/>
          <w:u w:val="single"/>
        </w:rPr>
        <w:t xml:space="preserve"> </w:t>
      </w:r>
      <w:r>
        <w:rPr>
          <w:rFonts w:ascii="宋体" w:hAnsi="宋体" w:eastAsia="宋体" w:cs="宋体"/>
          <w:color w:val="000000"/>
          <w:sz w:val="21"/>
        </w:rPr>
        <w:t xml:space="preserve">贰</w:t>
      </w:r>
      <w:r>
        <w:rPr>
          <w:rFonts w:ascii="宋体" w:hAnsi="宋体" w:eastAsia="宋体" w:cs="宋体"/>
          <w:color w:val="000000"/>
          <w:sz w:val="21"/>
          <w:u w:val="single"/>
        </w:rPr>
        <w:t xml:space="preserve"> </w:t>
      </w:r>
      <w:r>
        <w:rPr>
          <w:rFonts w:ascii="宋体" w:hAnsi="宋体" w:eastAsia="宋体" w:cs="宋体"/>
          <w:color w:val="000000"/>
          <w:sz w:val="21"/>
        </w:rPr>
        <w:t xml:space="preserve">份，乙方执</w:t>
      </w:r>
      <w:r>
        <w:rPr>
          <w:rFonts w:ascii="宋体" w:hAnsi="宋体" w:eastAsia="宋体" w:cs="宋体"/>
          <w:color w:val="000000"/>
          <w:sz w:val="21"/>
          <w:u w:val="single"/>
        </w:rPr>
        <w:t xml:space="preserve"> </w:t>
      </w:r>
      <w:r>
        <w:rPr>
          <w:rFonts w:ascii="宋体" w:hAnsi="宋体" w:eastAsia="宋体" w:cs="宋体"/>
          <w:color w:val="000000"/>
          <w:sz w:val="21"/>
        </w:rPr>
        <w:t xml:space="preserve">贰</w:t>
      </w:r>
      <w:r>
        <w:rPr>
          <w:rFonts w:ascii="宋体" w:hAnsi="宋体" w:eastAsia="宋体" w:cs="宋体"/>
          <w:color w:val="000000"/>
          <w:sz w:val="21"/>
          <w:u w:val="single"/>
        </w:rPr>
        <w:t xml:space="preserve"> </w:t>
      </w:r>
      <w:r>
        <w:rPr>
          <w:rFonts w:ascii="宋体" w:hAnsi="宋体" w:eastAsia="宋体" w:cs="宋体"/>
          <w:color w:val="000000"/>
          <w:sz w:val="21"/>
        </w:rPr>
        <w:t xml:space="preserve">份，均具有同等法律效力。</w:t>
      </w:r>
      <w:r/>
    </w:p>
    <w:p>
      <w:pPr>
        <w:ind w:left="0" w:right="0" w:firstLine="42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合同订立时间：</w:t>
      </w:r>
      <w:r>
        <w:rPr>
          <w:rFonts w:ascii="宋体" w:hAnsi="宋体" w:eastAsia="宋体" w:cs="宋体"/>
          <w:color w:val="000000"/>
          <w:sz w:val="21"/>
          <w:u w:val="single"/>
        </w:rPr>
        <w:t xml:space="preserve">         </w:t>
      </w:r>
      <w:r>
        <w:rPr>
          <w:rFonts w:ascii="宋体" w:hAnsi="宋体" w:eastAsia="宋体" w:cs="宋体"/>
          <w:color w:val="000000"/>
          <w:sz w:val="21"/>
        </w:rPr>
        <w:t xml:space="preserve">年</w:t>
      </w:r>
      <w:r>
        <w:rPr>
          <w:rFonts w:ascii="宋体" w:hAnsi="宋体" w:eastAsia="宋体" w:cs="宋体"/>
          <w:color w:val="000000"/>
          <w:sz w:val="21"/>
          <w:u w:val="single"/>
        </w:rPr>
        <w:t xml:space="preserve">      </w:t>
      </w:r>
      <w:r>
        <w:rPr>
          <w:rFonts w:ascii="宋体" w:hAnsi="宋体" w:eastAsia="宋体" w:cs="宋体"/>
          <w:color w:val="000000"/>
          <w:sz w:val="21"/>
        </w:rPr>
        <w:t xml:space="preserve">月</w:t>
      </w:r>
      <w:r>
        <w:rPr>
          <w:rFonts w:ascii="宋体" w:hAnsi="宋体" w:eastAsia="宋体" w:cs="宋体"/>
          <w:color w:val="000000"/>
          <w:sz w:val="21"/>
          <w:u w:val="single"/>
        </w:rPr>
        <w:t xml:space="preserve">      </w:t>
      </w:r>
      <w:r>
        <w:rPr>
          <w:rFonts w:ascii="宋体" w:hAnsi="宋体" w:eastAsia="宋体" w:cs="宋体"/>
          <w:color w:val="000000"/>
          <w:sz w:val="21"/>
        </w:rPr>
        <w:t xml:space="preserve">日</w:t>
      </w:r>
      <w:r/>
    </w:p>
    <w:p>
      <w:pPr>
        <w:ind w:left="0" w:right="0" w:firstLine="42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合同订立地点：</w:t>
      </w:r>
      <w:r>
        <w:rPr>
          <w:rFonts w:ascii="宋体" w:hAnsi="宋体" w:eastAsia="宋体" w:cs="宋体"/>
          <w:color w:val="000000"/>
          <w:sz w:val="21"/>
          <w:u w:val="single"/>
        </w:rPr>
        <w:t xml:space="preserve">                           </w:t>
      </w:r>
      <w:r/>
    </w:p>
    <w:p>
      <w:pPr>
        <w:ind w:left="0" w:right="0" w:firstLine="42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附件：具体标的及其技术要求和商务要求、联合协议、分包意向协议等</w:t>
      </w:r>
      <w:r>
        <w:rPr>
          <w:rFonts w:ascii="Calibri" w:hAnsi="Calibri" w:eastAsia="Calibri" w:cs="Calibri"/>
          <w:color w:val="000000"/>
          <w:sz w:val="21"/>
        </w:rPr>
        <w:t xml:space="preserve">   </w:t>
      </w:r>
      <w:r/>
    </w:p>
    <w:p>
      <w:pPr>
        <w:ind w:left="0" w:right="0" w:firstLine="0"/>
        <w:pageBreakBefore w:val="0"/>
        <w:spacing w:beforeAutospacing="0" w:afterAutospacing="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bl>
      <w:tblPr>
        <w:tblStyle w:val="739"/>
        <w:tblW w:w="840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92"/>
        <w:gridCol w:w="2413"/>
        <w:gridCol w:w="1980"/>
        <w:gridCol w:w="2118"/>
      </w:tblGrid>
      <w:tr>
        <w:trPr>
          <w:trHeight w:val="49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05"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甲方</w:t>
            </w:r>
            <w:r>
              <w:rPr>
                <w:rFonts w:ascii="宋体" w:hAnsi="宋体" w:eastAsia="宋体" w:cs="宋体"/>
                <w:color w:val="000000"/>
                <w:sz w:val="21"/>
              </w:rPr>
              <w:t xml:space="preserve">（采购人、受采购人委托签订合同的单位或采购文件约定的合同甲方）</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98"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乙方</w:t>
            </w:r>
            <w:r>
              <w:rPr>
                <w:rFonts w:ascii="宋体" w:hAnsi="宋体" w:eastAsia="宋体" w:cs="宋体"/>
                <w:color w:val="000000"/>
                <w:sz w:val="21"/>
              </w:rPr>
              <w:t xml:space="preserve">（供应商）</w:t>
            </w:r>
            <w:r/>
          </w:p>
        </w:tc>
      </w:tr>
      <w:tr>
        <w:trPr>
          <w:trHeight w:val="91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单位名称</w:t>
            </w:r>
            <w:r>
              <w:rPr>
                <w:rFonts w:ascii="宋体" w:hAnsi="宋体" w:eastAsia="宋体" w:cs="宋体"/>
                <w:color w:val="000000"/>
                <w:sz w:val="21"/>
              </w:rPr>
              <w:t xml:space="preserve">（公章或合同章）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3"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单位名称</w:t>
            </w:r>
            <w:r>
              <w:rPr>
                <w:rFonts w:ascii="宋体" w:hAnsi="宋体" w:eastAsia="宋体" w:cs="宋体"/>
                <w:color w:val="000000"/>
                <w:sz w:val="21"/>
              </w:rPr>
              <w:t xml:space="preserve">（公章或合同章）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8"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pacing w:val="20"/>
                <w:sz w:val="21"/>
              </w:rPr>
              <w:t xml:space="preserve"> </w:t>
            </w:r>
            <w:r/>
          </w:p>
        </w:tc>
      </w:tr>
      <w:tr>
        <w:trPr>
          <w:trHeight w:val="117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2" w:type="dxa"/>
            <w:vAlign w:val="center"/>
            <w:vMerge w:val="restart"/>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法定代表人</w:t>
            </w:r>
            <w:r/>
          </w:p>
          <w:p>
            <w:pPr>
              <w:ind w:left="0" w:right="0" w:firstLine="10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或其</w:t>
            </w:r>
            <w:r>
              <w:rPr>
                <w:rFonts w:ascii="Calibri" w:hAnsi="Calibri" w:eastAsia="Calibri" w:cs="Calibri"/>
                <w:color w:val="000000"/>
                <w:sz w:val="21"/>
              </w:rPr>
              <w:t xml:space="preserve">委托代理人</w:t>
            </w:r>
            <w:r>
              <w:rPr>
                <w:rFonts w:ascii="宋体" w:hAnsi="宋体" w:eastAsia="宋体" w:cs="宋体"/>
                <w:color w:val="000000"/>
                <w:sz w:val="21"/>
              </w:rPr>
              <w:t xml:space="preserve">（签章）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3" w:type="dxa"/>
            <w:vAlign w:val="center"/>
            <w:vMerge w:val="restart"/>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法定代表人</w:t>
            </w:r>
            <w:r/>
          </w:p>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或其</w:t>
            </w:r>
            <w:r>
              <w:rPr>
                <w:rFonts w:ascii="Calibri" w:hAnsi="Calibri" w:eastAsia="Calibri" w:cs="Calibri"/>
                <w:color w:val="000000"/>
                <w:sz w:val="21"/>
              </w:rPr>
              <w:t xml:space="preserve">委托代理人</w:t>
            </w:r>
            <w:r>
              <w:rPr>
                <w:rFonts w:ascii="宋体" w:hAnsi="宋体" w:eastAsia="宋体" w:cs="宋体"/>
                <w:color w:val="000000"/>
                <w:sz w:val="21"/>
              </w:rPr>
              <w:t xml:space="preserve">（签章）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8"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tc>
      </w:tr>
      <w:tr>
        <w:trPr>
          <w:trHeight w:val="483"/>
        </w:trPr>
        <w:tc>
          <w:tcPr>
            <w:tcW w:w="1892" w:type="dxa"/>
            <w:vMerge w:val="continue"/>
            <w:textDirection w:val="lrTb"/>
            <w:noWrap w:val="false"/>
          </w:tcPr>
          <w:p>
            <w:pPr>
              <w:pageBreakBefore w:val="0"/>
              <w:spacing w:beforeAutospacing="0" w:after="0" w:afterAutospacing="0" w:line="240" w:lineRule="auto"/>
            </w:pPr>
            <w:r/>
            <w:r/>
          </w:p>
        </w:tc>
        <w:tc>
          <w:tcPr>
            <w:tcW w:w="2413" w:type="dxa"/>
            <w:vMerge w:val="continue"/>
            <w:textDirection w:val="lrTb"/>
            <w:noWrap w:val="false"/>
          </w:tcPr>
          <w:p>
            <w:pPr>
              <w:pageBreakBefore w:val="0"/>
              <w:spacing w:beforeAutospacing="0" w:after="0" w:afterAutospacing="0" w:line="240" w:lineRule="auto"/>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拥有者性别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8"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pacing w:val="20"/>
                <w:sz w:val="21"/>
              </w:rPr>
              <w:t xml:space="preserve"> </w:t>
            </w:r>
            <w:r/>
          </w:p>
        </w:tc>
      </w:tr>
      <w:tr>
        <w:trP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住  所</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3"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住  所</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8"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pacing w:val="20"/>
                <w:sz w:val="21"/>
              </w:rPr>
              <w:t xml:space="preserve"> </w:t>
            </w:r>
            <w:r/>
          </w:p>
        </w:tc>
      </w:tr>
      <w:tr>
        <w:trP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联 系 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3"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联 系 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8"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pacing w:val="20"/>
                <w:sz w:val="21"/>
              </w:rPr>
              <w:t xml:space="preserve"> </w:t>
            </w:r>
            <w:r/>
          </w:p>
        </w:tc>
      </w:tr>
      <w:tr>
        <w:trP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联系电话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3"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联系电话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8"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pacing w:val="20"/>
                <w:sz w:val="21"/>
              </w:rPr>
              <w:t xml:space="preserve"> </w:t>
            </w:r>
            <w:r/>
          </w:p>
        </w:tc>
      </w:tr>
      <w:tr>
        <w:trP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通信地址</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3"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通信地址</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8"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pacing w:val="20"/>
                <w:sz w:val="21"/>
              </w:rPr>
              <w:t xml:space="preserve"> </w:t>
            </w:r>
            <w:r/>
          </w:p>
        </w:tc>
      </w:tr>
      <w:tr>
        <w:trP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邮政编码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3"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邮政编码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8"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pacing w:val="20"/>
                <w:sz w:val="21"/>
              </w:rPr>
              <w:t xml:space="preserve"> </w:t>
            </w:r>
            <w:r/>
          </w:p>
        </w:tc>
      </w:tr>
      <w:tr>
        <w:trP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电子邮箱</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3"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电子邮箱</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8"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pacing w:val="20"/>
                <w:sz w:val="21"/>
              </w:rPr>
              <w:t xml:space="preserve"> </w:t>
            </w:r>
            <w:r/>
          </w:p>
        </w:tc>
      </w:tr>
      <w:tr>
        <w:trP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统一社会信用代码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3"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统一社会信用代码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8"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pacing w:val="20"/>
                <w:sz w:val="21"/>
              </w:rPr>
              <w:t xml:space="preserve"> </w:t>
            </w:r>
            <w:r/>
          </w:p>
        </w:tc>
      </w:tr>
      <w:tr>
        <w:trP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3"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开户名称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8"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pacing w:val="20"/>
                <w:sz w:val="21"/>
              </w:rPr>
              <w:t xml:space="preserve"> </w:t>
            </w:r>
            <w:r/>
          </w:p>
        </w:tc>
      </w:tr>
      <w:tr>
        <w:trP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3"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开户银行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8"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pacing w:val="20"/>
                <w:sz w:val="21"/>
              </w:rPr>
              <w:t xml:space="preserve"> </w:t>
            </w:r>
            <w:r/>
          </w:p>
        </w:tc>
      </w:tr>
      <w:tr>
        <w:trP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3"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银行账号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8" w:type="dxa"/>
            <w:vAlign w:val="center"/>
            <w:textDirection w:val="lrTb"/>
            <w:noWrap w:val="false"/>
          </w:tcPr>
          <w:p>
            <w:pPr>
              <w:ind w:left="0" w:right="0" w:firstLine="0"/>
              <w:jc w:val="center"/>
              <w:pageBreakBefore w:val="0"/>
              <w:spacing w:beforeAutospacing="0" w:after="0" w:afterAutospacing="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pacing w:val="20"/>
                <w:sz w:val="21"/>
              </w:rPr>
              <w:t xml:space="preserve"> </w:t>
            </w:r>
            <w:r/>
          </w:p>
        </w:tc>
      </w:tr>
      <w:tr>
        <w:trPr>
          <w:trHeight w:val="586"/>
        </w:trPr>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03" w:type="dxa"/>
            <w:vAlign w:val="center"/>
            <w:textDirection w:val="lrTb"/>
            <w:noWrap w:val="false"/>
          </w:tcPr>
          <w:p>
            <w:pPr>
              <w:ind w:left="0" w:right="0" w:firstLine="0"/>
              <w:pageBreakBefore w:val="0"/>
              <w:spacing w:beforeAutospacing="0" w:after="0" w:afterAutospacing="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注：涉及联合体或其他合同主体的信息应按上表格式加列。</w:t>
            </w:r>
            <w:r/>
          </w:p>
        </w:tc>
      </w:tr>
    </w:tbl>
    <w:p>
      <w:pPr>
        <w:ind w:left="0" w:right="0" w:firstLine="0"/>
        <w:pageBreakBefore w:val="0"/>
        <w:spacing w:beforeAutospacing="0" w:afterAutospacing="0"/>
        <w:pBdr>
          <w:top w:val="none" w:color="000000" w:sz="0" w:space="0"/>
          <w:left w:val="none" w:color="000000" w:sz="0" w:space="0"/>
          <w:bottom w:val="none" w:color="000000" w:sz="0" w:space="0"/>
          <w:right w:val="none" w:color="000000" w:sz="0" w:space="0"/>
        </w:pBdr>
      </w:pPr>
      <w:r>
        <w:br w:type="page" w:clear="all"/>
      </w:r>
      <w:r/>
    </w:p>
    <w:p>
      <w:pPr>
        <w:ind w:left="0" w:right="0" w:firstLine="0"/>
        <w:pageBreakBefore w:val="0"/>
        <w:spacing w:beforeAutospacing="0" w:afterAutospacing="0"/>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第二节 政府采购合同通用条款</w:t>
      </w:r>
      <w:r/>
    </w:p>
    <w:p>
      <w:pPr>
        <w:ind w:left="0" w:right="0" w:firstLine="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 定义</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1.1合同当事人</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（1）采购人（以下称甲方）是指使用财政性资金，通过政府采购方式向供应商购买货物及其相关服务的国家机关、事业单位、团体组织。</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（2）供应商（以下称乙方）是指参加政府采购活动并且中标（成交），向采购人提供合同约定的货物及其相关服务的法人、非法人组织或者自然人。</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（3）其他合同主体是指除采购人和供应商以外，依法参与合同缔结或履行，享有权利、承担义务的合同当事人。</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1.2本合同下列术语应解释为：</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（2）“合同价款”系指根据本合同规定乙方在全面履行合同义务后甲方应支付给乙方的价款。</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（3）“货物”系指乙方根据本合同规定须向甲方提供的各种形态和种类的物品，包括原材料、设备、产品（包括软件）及相关的备品备件、工具、手册及其他技术资料和材料等。</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（5）“分包”系指中标（成交）供应商按采购文件、投标（响应）文件的规定，根据分包意向协议，将中标（成交）项目中的部分履约内容，分给具有相应资质条件的供应商履行合同的行为。</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（7）其他术语解释，见【</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w:t>
      </w:r>
      <w:r/>
    </w:p>
    <w:p>
      <w:pPr>
        <w:numPr>
          <w:ilvl w:val="0"/>
          <w:numId w:val="9"/>
        </w:numPr>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合同标的及金额</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 合同标的及金额应与中标（成交）结果一致。乙方为履行本合同而发生的所有费用均应包含在合同价款中，甲方不再另行支付其他任何费用。</w:t>
      </w:r>
      <w:r/>
    </w:p>
    <w:p>
      <w:pPr>
        <w:ind w:left="0" w:right="0" w:firstLine="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 履行合同的时间、地点和方式</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3.1 乙方应当在约定的时间、地点，按照约定方式履行合同。</w:t>
      </w:r>
      <w:r/>
    </w:p>
    <w:p>
      <w:pPr>
        <w:ind w:left="0" w:right="0" w:firstLine="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 甲方的权利和义务</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4.2 甲方有权要求乙方按时提交各阶段有关安排计划，并有权定期核对乙方提供货物数量、规格、质量等内容。甲方有权督促乙方工作并要求乙方更换不符合要求的货物。</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4.3 甲方有权要求乙方对缺陷部分予以修复，并按合同约定享有货物保修及其他合同约定的权利。</w:t>
      </w:r>
      <w:r/>
    </w:p>
    <w:p>
      <w:pPr>
        <w:ind w:left="0" w:right="0" w:firstLine="42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4.4 甲方应当按照合同约定及时对交付的货物进行验收，未在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约定的期限内对乙方履约提出任何异议或者向乙方作出任何说明的，视为验收通过。</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4.5 甲方应当根据合同约定及时向乙方支付合同价款，不得以内部人员变更、履行内部付款流程等为由，拒绝或迟延支付。</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4.6 国家法律法规规定及</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约定应由甲方承担的其他义务和责任。</w:t>
      </w:r>
      <w:r/>
    </w:p>
    <w:p>
      <w:pPr>
        <w:ind w:left="0" w:right="0" w:firstLine="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 乙方的权利和义务</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5.1 签署合同后，乙方应确定项目负责人（或项目联系人），负责与本合同有关的事务。</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5.3乙方有权根据合同约定向甲方收取合同价款。</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5.4国家法律法规规定及</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约定应由乙方承担的其他义务和责任。</w:t>
      </w:r>
      <w:r/>
    </w:p>
    <w:p>
      <w:pPr>
        <w:numPr>
          <w:ilvl w:val="0"/>
          <w:numId w:val="10"/>
        </w:numPr>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合同履行</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6.1 甲乙双方应当按照</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约定顺序履行合同义务；如果没有先后顺序的，应当同时履行。</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6.2 甲乙双方按照合同约定顺序履行合同义务时，应当先履行一方未履行的，后履行一方有权拒绝其履行请求。先履行一方履行不符合约定的，后履行一方有权拒绝其相应的履行请求。</w:t>
      </w:r>
      <w:r/>
    </w:p>
    <w:p>
      <w:pPr>
        <w:ind w:left="0" w:right="0" w:firstLine="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7. 货物包装、运输、保险和交付要求</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7.1 本合同涉及商品包装、快递包装的，除</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另有约定外，包装应适应远距离运输、防潮、防震、防锈和防野蛮装卸等要求，确保货物安全无损地运抵</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约定的指定现场。</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7.2 除</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另有约定外，乙方负责办理将货物运抵本合同规定的交货地点，并装卸、交付至甲方的一切运输事项，相关费用应包含在合同价款中。</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7.3 货物保险要求按</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规定执行。</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7.5 乙方在运输到达之前应提前通知甲方，并提示货物运输装卸的注意事项，甲方配合乙方做好货物的接收工作。</w:t>
      </w:r>
      <w:r/>
    </w:p>
    <w:p>
      <w:pPr>
        <w:ind w:left="0" w:right="0" w:firstLine="420"/>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7.6 如因包装、运输问题导致货物损毁、丢失或者品质下降，甲方有权要求降价、换货、拒收部分或整批货物，由此产生的费用和损失，均由乙方承担。</w:t>
      </w:r>
      <w:r/>
    </w:p>
    <w:p>
      <w:pPr>
        <w:ind w:left="0" w:right="0" w:firstLine="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8. 质量标准和保证</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8.1 质量标准</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（2）采用中华人民共和国法定计量单位。</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（3）乙方所提供的货物应符合国家有关安全、环保、卫生的规定。</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（4）乙方应向甲方提交所提供货物的技术文件，包括相应的中文技术文件，如：产品目录、图纸、操作手册、使用说明、维护手册或服务指南等。上述文件应包装好随货物一同发运。</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8.2 保证</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规定或乙方书面承诺（两者以较长的为准）的质量保证期内，本保证保持有效。</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（2）在质量保证期内所发现的缺陷，甲方应尽快以书面形式通知乙方。</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（3）乙方收到通知后，应在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规定的响应时间内以合理的速度免费维修或更换有缺陷的货物或部件。</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（5）乙方在约定的时间内未能弥补缺陷，甲方可采取必要的补救措施，但其风险和费用将由乙方承担，甲方根据合同约定对乙方行使的其他权利不受影响。</w:t>
      </w:r>
      <w:r/>
    </w:p>
    <w:p>
      <w:pPr>
        <w:ind w:left="0" w:right="0" w:firstLine="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9. 权利瑕疵担保</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9.1 乙方保证对其出售的货物享有合法的权利。</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9.2 乙方保证在交付的货物上不存在抵押权等担保物权。</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9.3 如甲方使用上述货物构成对第三人侵权的，则由乙方承担全部责任。</w:t>
      </w:r>
      <w:r/>
    </w:p>
    <w:p>
      <w:pPr>
        <w:ind w:left="0" w:right="0" w:firstLine="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10. 知识产权保护</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right="0" w:firstLine="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11. 保密义务</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中约定。</w:t>
      </w:r>
      <w:r/>
    </w:p>
    <w:p>
      <w:pPr>
        <w:ind w:left="0" w:right="0" w:firstLine="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12. 合同价款支付</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12.1 合同价款支付按照国库集中支付制度及财政管理相关规定执行。</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12.2 对于满足合同约定支付条件的，甲方原则上应当自甲方在收到履约保证金（函）后，</w:t>
      </w:r>
      <w:r>
        <w:rPr>
          <w:rFonts w:ascii="Times New Roman" w:hAnsi="Times New Roman" w:eastAsia="Times New Roman" w:cs="Times New Roman"/>
          <w:color w:val="000000"/>
          <w:sz w:val="21"/>
        </w:rPr>
        <w:t xml:space="preserve">30</w:t>
      </w:r>
      <w:r>
        <w:rPr>
          <w:rFonts w:ascii="宋体" w:hAnsi="宋体" w:eastAsia="宋体" w:cs="宋体"/>
          <w:color w:val="000000"/>
          <w:sz w:val="21"/>
        </w:rPr>
        <w:t xml:space="preserve">天内向乙方支付合同总金额</w:t>
      </w:r>
      <w:r>
        <w:rPr>
          <w:rFonts w:ascii="Times New Roman" w:hAnsi="Times New Roman" w:eastAsia="Times New Roman" w:cs="Times New Roman"/>
          <w:color w:val="000000"/>
          <w:sz w:val="21"/>
        </w:rPr>
        <w:t xml:space="preserve">30%</w:t>
      </w:r>
      <w:r>
        <w:rPr>
          <w:rFonts w:ascii="宋体" w:hAnsi="宋体" w:eastAsia="宋体" w:cs="宋体"/>
          <w:color w:val="000000"/>
          <w:sz w:val="21"/>
        </w:rPr>
        <w:t xml:space="preserve">的价款。乙方按照合同约定交货，并经甲方对合同中所有装备到货验收合格（甲方签署到货验收合格报告）后，凭乙方等额有效发票及甲方签署验收合格报告，甲方在</w:t>
      </w:r>
      <w:r>
        <w:rPr>
          <w:rFonts w:ascii="Times New Roman" w:hAnsi="Times New Roman" w:eastAsia="Times New Roman" w:cs="Times New Roman"/>
          <w:color w:val="000000"/>
          <w:sz w:val="21"/>
        </w:rPr>
        <w:t xml:space="preserve">30</w:t>
      </w:r>
      <w:r>
        <w:rPr>
          <w:rFonts w:ascii="宋体" w:hAnsi="宋体" w:eastAsia="宋体" w:cs="宋体"/>
          <w:color w:val="000000"/>
          <w:sz w:val="21"/>
        </w:rPr>
        <w:t xml:space="preserve">天内向乙方支付合同金额</w:t>
      </w:r>
      <w:r>
        <w:rPr>
          <w:rFonts w:ascii="Times New Roman" w:hAnsi="Times New Roman" w:eastAsia="Times New Roman" w:cs="Times New Roman"/>
          <w:color w:val="000000"/>
          <w:sz w:val="21"/>
        </w:rPr>
        <w:t xml:space="preserve">70%</w:t>
      </w:r>
      <w:r>
        <w:rPr>
          <w:rFonts w:ascii="宋体" w:hAnsi="宋体" w:eastAsia="宋体" w:cs="宋体"/>
          <w:color w:val="000000"/>
          <w:sz w:val="21"/>
        </w:rPr>
        <w:t xml:space="preserve">的价款。当采购数量与实际使用数量不一致时，乙方应根据实际使用量供货，合同的最终结算金额按实际使用量乘以成交单价进行计算</w:t>
      </w:r>
      <w:r>
        <w:rPr>
          <w:rFonts w:hint="eastAsia" w:ascii="宋体" w:hAnsi="宋体" w:cs="宋体"/>
          <w:color w:val="000000"/>
          <w:sz w:val="21"/>
          <w:lang w:eastAsia="zh-CN"/>
        </w:rPr>
        <w:t xml:space="preserve">。</w:t>
      </w:r>
      <w:r>
        <w:rPr>
          <w:rFonts w:ascii="宋体" w:hAnsi="宋体" w:eastAsia="宋体" w:cs="宋体"/>
          <w:color w:val="000000"/>
          <w:sz w:val="21"/>
        </w:rPr>
        <w:t xml:space="preserve">甲方将资金支付到合同约定的乙方账户，不得以机构变动、人员更替、政策调整等为由迟延付款，不得将采购文件和合同中未规定的义务作为向乙方付款的条件。具体合同价款支付时间在【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】中约定。</w:t>
      </w:r>
      <w:r/>
    </w:p>
    <w:p>
      <w:pPr>
        <w:ind w:left="0" w:right="0" w:firstLine="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13. 履约保证金</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13.1 乙方应当以支票、汇票、本票或者金融机构、担保机构出具的保函等非现金形式提交。</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13.2 如果乙方出现</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left="0" w:right="0" w:firstLine="42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13.3 甲方在项目通过验收后按照</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规定的时间内将履约保证金退还乙方；逾期退还的，乙方可要求甲方支付违约金，违约金按照</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规定支付。</w:t>
      </w:r>
      <w:r/>
    </w:p>
    <w:p>
      <w:pPr>
        <w:ind w:left="0" w:right="0" w:firstLine="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14. 售后服务</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14.1 除项目不涉及或采购活动中明确约定无须承担外，乙方还应提供下列服务：</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（1）货物的现场移动、安装、调试、启动监督及技术支持；</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（2）提供货物组装和维修所需的专用工具和辅助材料；</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约定的期限内对所有的货物实施运行监督、维修，但前提条件是该服务并不能免除乙方在质量保证期内所承担的义务；</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（4）在制造商所在地或指定现场就货物的安装、启动、运营、维护、废弃处置等对甲方操作人员进行培训；</w:t>
      </w:r>
      <w:r/>
    </w:p>
    <w:p>
      <w:pPr>
        <w:ind w:left="0" w:right="0" w:firstLine="420"/>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（5）依照法律、行政法规的规定或者按照</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约定，货物在有效使用年限届满后应予回收的，乙方负有自行或者委托第三人对货物予以回收的义务；</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规定由乙方提供的其他服务。</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14.2 乙方提供的售后服务的费用已包含在合同价款中，甲方不再另行支付。</w:t>
      </w:r>
      <w:r/>
    </w:p>
    <w:p>
      <w:pPr>
        <w:ind w:left="0" w:right="0" w:firstLine="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15. 违约责任</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15.1质量瑕疵的违约责任</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乙方提供的产品不符合合同约定的质量标准或存在产品质量缺陷，甲方有权要求乙方根据</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要求及时修理、重作、更换，并承担由此给甲方造成的损失。</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15.2 迟延交货的违约责任</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（2）如果乙方没有按照合同规定的时间交货和提供相关服务，甲方有权从货款中扣除误期赔偿费而不影响合同项下的其他补救方法，赔偿费按</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规定执行。如果涉及公共利益，且赔偿金额无法弥补公共利益损失，甲方可要求继续履行或者采取其他补救措施。</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15.3 迟延支付的违约责任</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甲方存在迟延支付乙方合同款项的，应当承担</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规定的逾期付款利息。</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15.4其他违约责任根据项目实际需要按</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规定执行。</w:t>
      </w:r>
      <w:r/>
    </w:p>
    <w:p>
      <w:pPr>
        <w:numPr>
          <w:ilvl w:val="0"/>
          <w:numId w:val="11"/>
        </w:numPr>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合同变更、中止与终止</w:t>
      </w:r>
      <w:r/>
    </w:p>
    <w:p>
      <w:pPr>
        <w:ind w:left="0" w:right="0" w:firstLine="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16.1合同的变更</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政府采购合同履行中，在不改变合同其他条款的前提下，甲方可以在合同价款10%的范围内追加与合同标的相同的货物，并就此与乙方协商一致后签订补充协议。</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16.2合同的中止</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（1）合同履行过程中因供应商就采购文件、采购过程或结果提起投诉的，甲方认为有必要的，可以中止合同的履行。</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right="0" w:firstLine="420"/>
        <w:jc w:val="both"/>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（4）甲方不得以行政区划调整、政府换届、机构或者职能调整以及相关责任人更替为由中止合同。</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16.3合同的终止</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（1）合同因有效期限届满而终止；</w:t>
      </w:r>
      <w:r/>
    </w:p>
    <w:p>
      <w:pPr>
        <w:ind w:left="0" w:right="0" w:firstLine="420"/>
        <w:jc w:val="both"/>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（2）乙方未按合同约定履行，构成根本性违约的，甲方有权终止合同，并追究乙方的违约责任。</w:t>
      </w:r>
      <w:r/>
    </w:p>
    <w:p>
      <w:pPr>
        <w:ind w:left="0" w:right="0" w:firstLine="0"/>
        <w:pageBreakBefore w:val="0"/>
        <w:spacing w:beforeAutospacing="0" w:afterAutospacing="0"/>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2"/>
        </w:rPr>
        <w:t xml:space="preserve">16.4 </w:t>
      </w:r>
      <w:r>
        <w:rPr>
          <w:rFonts w:ascii="宋体" w:hAnsi="宋体" w:eastAsia="宋体" w:cs="宋体"/>
          <w:color w:val="000000"/>
          <w:sz w:val="21"/>
        </w:rPr>
        <w:t xml:space="preserve">涉及国家利益、社会公共利益的情形</w:t>
      </w:r>
      <w:r/>
    </w:p>
    <w:p>
      <w:pPr>
        <w:ind w:left="0" w:right="0" w:firstLine="420"/>
        <w:jc w:val="both"/>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right="0" w:firstLine="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17. 合同分包</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17.1 乙方不得将合同转包给其他供应商。涉及合同分包的，乙方应根据采购文件和投标（响应）文件规定进行合同分包。</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17.2 乙方执行政府采购政策向中小企业依法分包的，乙方应当按采购文件和投标（响应）文件签订分包意向协议，分包意向协议属于本合同组成部分。</w:t>
      </w:r>
      <w:r/>
    </w:p>
    <w:p>
      <w:pPr>
        <w:ind w:left="0" w:right="0" w:firstLine="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18. 不可抗力</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18.1 不可抗力是指合同双方不能预见、不能避免且不能克服的客观情况。</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18.2 任何一方对由于不可抗力造成的部分或全部不能履行合同不承担违约责任。但迟延履行后发生不可抗力的，不能免除责任。</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left="0" w:right="0" w:firstLine="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19. 解决争议的方法</w:t>
      </w:r>
      <w:r/>
    </w:p>
    <w:p>
      <w:pPr>
        <w:ind w:left="0" w:right="0" w:firstLine="420"/>
        <w:jc w:val="both"/>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left="0" w:right="0" w:firstLine="420"/>
        <w:jc w:val="both"/>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19.2 选择仲裁的，应在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中明确仲裁机构及仲裁地；通过诉讼方式解决的，可以在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中进一步约定选择与争议有实际联系的地点的人民法院管辖，但管辖法院的约定不得违反级别管辖和专属管辖的规定。</w:t>
      </w:r>
      <w:r/>
    </w:p>
    <w:p>
      <w:pPr>
        <w:ind w:left="0" w:right="0" w:firstLine="420"/>
        <w:jc w:val="both"/>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19.3 如甲乙双方有争议的事项不影响合同其他部分的履行，在争议解决期间，合同其他部分应当继续履行。</w:t>
      </w:r>
      <w:r/>
    </w:p>
    <w:p>
      <w:pPr>
        <w:ind w:left="0" w:right="0" w:firstLine="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20. 政府采购政策</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20.1 本合同应当按照规定执行政府采购政策。</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left="0" w:right="0" w:firstLine="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21. 法律适用</w:t>
      </w:r>
      <w:r/>
    </w:p>
    <w:p>
      <w:pPr>
        <w:ind w:left="0" w:right="0" w:firstLine="420"/>
        <w:jc w:val="both"/>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21.1 本合同的订立、生效、解释、履行及与本合同有关的争议解决，均适用法律、行政法规。</w:t>
      </w:r>
      <w:r/>
    </w:p>
    <w:p>
      <w:pPr>
        <w:ind w:left="0" w:right="0" w:firstLine="420"/>
        <w:jc w:val="both"/>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21.2本合同条款与法律、行政法规的强制性规定不一致的，双方当事人应按照法律、行政法规的强制性规定修改本合同的相关条款。</w:t>
      </w:r>
      <w:r/>
    </w:p>
    <w:p>
      <w:pPr>
        <w:ind w:left="0" w:right="0" w:firstLine="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22. 通知</w:t>
      </w:r>
      <w:r/>
    </w:p>
    <w:p>
      <w:pPr>
        <w:ind w:left="0" w:right="0" w:firstLine="420"/>
        <w:jc w:val="both"/>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22.1 本合同任何一方向对方发出的通知、信件、数据电文等，应当发送至本合同第一部分《政府采购合同协议书》所约定的通讯地址、联系人、联系电话或电子邮箱。</w:t>
      </w:r>
      <w:r/>
    </w:p>
    <w:p>
      <w:pPr>
        <w:ind w:left="0" w:right="0" w:firstLine="0"/>
        <w:jc w:val="both"/>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22.2 一方当事人变更名称、住所、联系人、联系电话或电子邮箱等信息的，应当在变更后3日内及时书面通知对方，对方实际收到变更通知前的送达仍为有效送达。</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22.3本合同一方给另一方的通知均应采用书面形式，传真或快递送到本合同中规定的对方的地址和办理签收手续。</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22.4通知以送达之日或通知书中规定的生效之日起生效，两者中以较迟之日为准。</w:t>
      </w:r>
      <w:r/>
    </w:p>
    <w:p>
      <w:pPr>
        <w:numPr>
          <w:ilvl w:val="0"/>
          <w:numId w:val="12"/>
        </w:numPr>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合同未尽事项</w:t>
      </w:r>
      <w:r/>
    </w:p>
    <w:p>
      <w:pPr>
        <w:ind w:left="0" w:right="0" w:firstLine="42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23.1合同未尽事项见</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w:t>
      </w:r>
      <w:r/>
    </w:p>
    <w:p>
      <w:pPr>
        <w:ind w:left="0" w:right="0" w:firstLine="0"/>
        <w:pageBreakBefore w:val="0"/>
        <w:spacing w:beforeAutospacing="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23.2 合同附件与合同正文具有同等的法律效力。</w:t>
      </w:r>
      <w:r/>
    </w:p>
    <w:p>
      <w:pPr>
        <w:ind w:left="0" w:right="0" w:firstLine="0"/>
        <w:jc w:val="center"/>
        <w:pageBreakBefore w:val="0"/>
        <w:spacing w:beforeAutospacing="0" w:afterAutospacing="0"/>
        <w:pBdr>
          <w:top w:val="none" w:color="000000" w:sz="0" w:space="0"/>
          <w:left w:val="none" w:color="000000" w:sz="0" w:space="0"/>
          <w:bottom w:val="none" w:color="000000" w:sz="0" w:space="0"/>
          <w:right w:val="none" w:color="000000" w:sz="0" w:space="0"/>
        </w:pBdr>
      </w:pPr>
      <w:r>
        <w:br w:type="page" w:clear="all"/>
      </w:r>
      <w:r/>
    </w:p>
    <w:p>
      <w:pPr>
        <w:ind w:left="0" w:right="0" w:firstLine="0"/>
        <w:jc w:val="center"/>
        <w:pageBreakBefore w:val="0"/>
        <w:spacing w:beforeAutospacing="0" w:afterAutospacing="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第三节 政府采购合同专用条款</w:t>
      </w:r>
      <w:r/>
    </w:p>
    <w:tbl>
      <w:tblPr>
        <w:tblStyle w:val="739"/>
        <w:tblW w:w="851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第1.2（6）项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联合体具体要求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p>
        </w:tc>
      </w:tr>
      <w:tr>
        <w:trPr>
          <w:trHeight w:val="6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第1.2（7）项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其他术语解释</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第4.4款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履约验收中甲方提出异议或作出说明的期限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甲乙双方签订合同时自行约定</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第4.6款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约定甲方承担的其他义务和责任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甲乙双方签订合同时自行约定</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第5.4款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约定乙方承担的其他义务和责任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甲乙双方签订合同时自行约定</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第6.1款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履行合同义务的顺序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p>
        </w:tc>
      </w:tr>
      <w:tr>
        <w:trPr>
          <w:trHeight w:val="6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vMerge w:val="restart"/>
            <w:textDirection w:val="lrTb"/>
            <w:noWrap w:val="false"/>
          </w:tcPr>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第7.1款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包装特殊要求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both"/>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p>
        </w:tc>
      </w:tr>
      <w:tr>
        <w:trPr>
          <w:trHeight w:val="667"/>
        </w:trPr>
        <w:tc>
          <w:tcPr>
            <w:tcW w:w="1607" w:type="dxa"/>
            <w:vMerge w:val="continue"/>
            <w:textDirection w:val="lrTb"/>
            <w:noWrap w:val="false"/>
          </w:tcPr>
          <w:p>
            <w:pPr>
              <w:pageBreakBefore w:val="0"/>
              <w:spacing w:beforeAutospacing="0" w:after="0" w:afterAutospacing="0" w:line="240" w:lineRule="auto"/>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指定现场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both"/>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甲乙双方签订合同时自行约定</w:t>
            </w:r>
            <w:r/>
          </w:p>
        </w:tc>
      </w:tr>
      <w:tr>
        <w:trPr>
          <w:trHeight w:val="7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第7.2款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运输特殊要求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both"/>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甲乙双方签订合同时自行约定</w:t>
            </w:r>
            <w:r/>
          </w:p>
        </w:tc>
      </w:tr>
      <w:tr>
        <w:trPr>
          <w:trHeight w:val="6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第7.3款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保险要求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both"/>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乙方在投标文件中的承诺</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第8.2（1）项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质量保证期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乙方在投标文件中的承诺</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第8.2（3）项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货物质量缺陷</w:t>
            </w:r>
            <w:r/>
          </w:p>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响应时间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乙方在投标文件中的承诺</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第11.1款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jc w:val="both"/>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其他应当保密的信息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甲乙双方签订合同时自行约定</w:t>
            </w:r>
            <w:r/>
          </w:p>
        </w:tc>
      </w:tr>
      <w:tr>
        <w:trPr>
          <w:trHeight w:val="6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第12.2款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合同价款支付时间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甲方在收到履约保证金（函）后，30</w:t>
            </w:r>
            <w:r>
              <w:rPr>
                <w:rFonts w:ascii="宋体" w:hAnsi="宋体" w:eastAsia="宋体" w:cs="宋体"/>
                <w:color w:val="000000"/>
                <w:sz w:val="21"/>
              </w:rPr>
              <w:t xml:space="preserve">天内向乙方支付合同总金额</w:t>
            </w:r>
            <w:r>
              <w:rPr>
                <w:rFonts w:ascii="Times New Roman" w:hAnsi="Times New Roman" w:eastAsia="Times New Roman" w:cs="Times New Roman"/>
                <w:color w:val="000000"/>
                <w:sz w:val="21"/>
              </w:rPr>
              <w:t xml:space="preserve">30%</w:t>
            </w:r>
            <w:r>
              <w:rPr>
                <w:rFonts w:ascii="宋体" w:hAnsi="宋体" w:eastAsia="宋体" w:cs="宋体"/>
                <w:color w:val="000000"/>
                <w:sz w:val="21"/>
              </w:rPr>
              <w:t xml:space="preserve">的价款。乙方按照合同约定交货，并经甲方对合同中所有装备到货验收合格（甲方签署到货验收合格报告）后，凭乙方等额有效发票及甲方签署验收合格报告，甲方在</w:t>
            </w:r>
            <w:r>
              <w:rPr>
                <w:rFonts w:ascii="Times New Roman" w:hAnsi="Times New Roman" w:eastAsia="Times New Roman" w:cs="Times New Roman"/>
                <w:color w:val="000000"/>
                <w:sz w:val="21"/>
              </w:rPr>
              <w:t xml:space="preserve">30</w:t>
            </w:r>
            <w:r>
              <w:rPr>
                <w:rFonts w:ascii="宋体" w:hAnsi="宋体" w:eastAsia="宋体" w:cs="宋体"/>
                <w:color w:val="000000"/>
                <w:sz w:val="21"/>
              </w:rPr>
              <w:t xml:space="preserve">天内向乙方支付合同金额</w:t>
            </w:r>
            <w:r>
              <w:rPr>
                <w:rFonts w:ascii="Times New Roman" w:hAnsi="Times New Roman" w:eastAsia="Times New Roman" w:cs="Times New Roman"/>
                <w:color w:val="000000"/>
                <w:sz w:val="21"/>
              </w:rPr>
              <w:t xml:space="preserve">70%</w:t>
            </w:r>
            <w:r>
              <w:rPr>
                <w:rFonts w:ascii="宋体" w:hAnsi="宋体" w:eastAsia="宋体" w:cs="宋体"/>
                <w:color w:val="000000"/>
                <w:sz w:val="21"/>
              </w:rPr>
              <w:t xml:space="preserve">的价款。当采购数量与实际使用数量不一致时，乙方应根据实际使用量供货，合同的最终结算金额按实际使用量乘以成交单价进行计算</w:t>
            </w:r>
            <w:r/>
          </w:p>
        </w:tc>
      </w:tr>
      <w:tr>
        <w:trPr>
          <w:trHeight w:val="6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第13.2款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履约保证金不予退还的情形</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无故不履约</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第13.3款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履约保证金退还时间及逾期退还的违约金</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none"/>
              </w:rPr>
              <w:t xml:space="preserve">自甲方签署到货验收合格后，</w:t>
            </w:r>
            <w:r>
              <w:rPr>
                <w:rFonts w:hint="eastAsia" w:ascii="宋体" w:hAnsi="宋体" w:cs="宋体"/>
                <w:color w:val="000000"/>
                <w:sz w:val="21"/>
                <w:u w:val="none"/>
                <w:lang w:val="en-US" w:eastAsia="zh-CN"/>
              </w:rPr>
              <w:t xml:space="preserve">30日内</w:t>
            </w:r>
            <w:r>
              <w:rPr>
                <w:rFonts w:ascii="宋体" w:hAnsi="宋体" w:eastAsia="宋体" w:cs="宋体"/>
                <w:color w:val="000000"/>
                <w:sz w:val="21"/>
                <w:u w:val="none"/>
              </w:rPr>
              <w:t xml:space="preserve">退还履约保证金。</w:t>
            </w:r>
            <w:r/>
          </w:p>
        </w:tc>
      </w:tr>
      <w:tr>
        <w:trPr>
          <w:trHeight w:val="7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第14.1（3）项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运行监督、维修期限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以乙方在投标文件中的承诺为准</w:t>
            </w:r>
            <w:r/>
          </w:p>
        </w:tc>
      </w:tr>
      <w:tr>
        <w:trPr>
          <w:trHeight w:val="7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第14.1（5）项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货物回收的约定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以乙方在投标文件中的承诺为准</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第14.1（6）项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乙方提供的其他服务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以乙方在投标文件中的承诺为准</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第15.1款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修理、重作、更换相关具体规定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以乙方在投标文件中的承诺为准</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第15.2（2）项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迟延交货赔偿费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乙方逾期交付货物的，乙方应按逾期交货总额每日万分之五向甲方支付违约金，由甲方从待付货款中扣除</w:t>
            </w:r>
            <w:r>
              <w:rPr>
                <w:rFonts w:ascii="宋体" w:hAnsi="宋体" w:eastAsia="宋体" w:cs="宋体"/>
                <w:color w:val="000000"/>
                <w:sz w:val="21"/>
              </w:rPr>
              <w:t xml:space="preserve">，上限为合同总额的</w:t>
            </w:r>
            <w:r>
              <w:rPr>
                <w:rFonts w:ascii="Calibri" w:hAnsi="Calibri" w:eastAsia="Calibri" w:cs="Calibri"/>
                <w:color w:val="000000"/>
                <w:sz w:val="21"/>
              </w:rPr>
              <w:t xml:space="preserve">30%</w:t>
            </w:r>
            <w:r>
              <w:rPr>
                <w:rFonts w:ascii="Times New Roman" w:hAnsi="Times New Roman" w:eastAsia="Times New Roman" w:cs="Times New Roman"/>
                <w:color w:val="000000"/>
                <w:sz w:val="21"/>
              </w:rPr>
              <w:t xml:space="preserve">。逾期超过约定日期10</w:t>
            </w:r>
            <w:r>
              <w:rPr>
                <w:rFonts w:ascii="宋体" w:hAnsi="宋体" w:eastAsia="宋体" w:cs="宋体"/>
                <w:color w:val="000000"/>
                <w:sz w:val="21"/>
              </w:rPr>
              <w:t xml:space="preserve">个工作日不能交货的，甲方可解除本合同或者起诉。乙方因逾期交货或因其他违约行为导致甲方解除合同的，乙方应向甲方支付合同总值</w:t>
            </w:r>
            <w:r>
              <w:rPr>
                <w:rFonts w:ascii="Times New Roman" w:hAnsi="Times New Roman" w:eastAsia="Times New Roman" w:cs="Times New Roman"/>
                <w:color w:val="000000"/>
                <w:sz w:val="21"/>
              </w:rPr>
              <w:t xml:space="preserve">5%</w:t>
            </w:r>
            <w:r>
              <w:rPr>
                <w:rFonts w:ascii="宋体" w:hAnsi="宋体" w:eastAsia="宋体" w:cs="宋体"/>
                <w:color w:val="000000"/>
                <w:sz w:val="21"/>
              </w:rPr>
              <w:t xml:space="preserve">的违约金，如造成甲方损失超过违约金的，超出部分由乙方继续承担赔偿责任。</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第15.3款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逾期付款利息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按逾期付款总额每日万分之五向乙方支付违约金。</w:t>
            </w:r>
            <w:r>
              <w:rPr>
                <w:rFonts w:ascii="宋体" w:hAnsi="宋体" w:eastAsia="宋体" w:cs="宋体"/>
                <w:color w:val="000000"/>
                <w:sz w:val="21"/>
              </w:rPr>
              <w:t xml:space="preserve">上限为合同总额的</w:t>
            </w:r>
            <w:r>
              <w:rPr>
                <w:rFonts w:ascii="Calibri" w:hAnsi="Calibri" w:eastAsia="Calibri" w:cs="Calibri"/>
                <w:color w:val="000000"/>
                <w:sz w:val="21"/>
              </w:rPr>
              <w:t xml:space="preserve">30%</w:t>
            </w:r>
            <w:r>
              <w:rPr>
                <w:rFonts w:ascii="Times New Roman" w:hAnsi="Times New Roman" w:eastAsia="Times New Roman" w:cs="Times New Roman"/>
                <w:color w:val="000000"/>
                <w:sz w:val="21"/>
              </w:rPr>
              <w:t xml:space="preserve">。</w:t>
            </w:r>
            <w:r/>
          </w:p>
        </w:tc>
      </w:tr>
      <w:tr>
        <w:trPr>
          <w:trHeight w:val="8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第15.4款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其他违约责任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w:t>
            </w:r>
            <w:r/>
          </w:p>
        </w:tc>
      </w:tr>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第19.2款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解决争议的方法</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pageBreakBefore w:val="0"/>
              <w:spacing w:beforeAutospacing="0" w:after="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因本合同及合同有关事项发生的争议，按下列第</w:t>
            </w:r>
            <w:r>
              <w:rPr>
                <w:rFonts w:ascii="宋体" w:hAnsi="宋体" w:eastAsia="宋体" w:cs="宋体"/>
                <w:color w:val="000000"/>
                <w:sz w:val="21"/>
                <w:u w:val="single"/>
              </w:rPr>
              <w:t xml:space="preserve"> （2）  </w:t>
            </w:r>
            <w:r>
              <w:rPr>
                <w:rFonts w:ascii="宋体" w:hAnsi="宋体" w:eastAsia="宋体" w:cs="宋体"/>
                <w:color w:val="000000"/>
                <w:sz w:val="21"/>
              </w:rPr>
              <w:t xml:space="preserve">种方式解决：</w:t>
            </w:r>
            <w:r/>
          </w:p>
          <w:p>
            <w:pPr>
              <w:ind w:left="0" w:right="0" w:firstLine="0"/>
              <w:pageBreakBefore w:val="0"/>
              <w:spacing w:beforeAutospacing="0" w:after="0" w:afterAutospacing="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（1）向</w:t>
            </w:r>
            <w:r>
              <w:rPr>
                <w:rFonts w:ascii="宋体" w:hAnsi="宋体" w:eastAsia="宋体" w:cs="宋体"/>
                <w:color w:val="000000"/>
                <w:sz w:val="21"/>
                <w:u w:val="single"/>
              </w:rPr>
              <w:t xml:space="preserve">     </w:t>
            </w:r>
            <w:r>
              <w:rPr>
                <w:rFonts w:ascii="宋体" w:hAnsi="宋体" w:eastAsia="宋体" w:cs="宋体"/>
                <w:color w:val="000000"/>
                <w:sz w:val="21"/>
              </w:rPr>
              <w:t xml:space="preserve">仲裁委员会申请仲裁，仲裁地点为</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（2）向</w:t>
            </w:r>
            <w:r>
              <w:rPr>
                <w:rFonts w:ascii="宋体" w:hAnsi="宋体" w:eastAsia="宋体" w:cs="宋体"/>
                <w:color w:val="000000"/>
                <w:sz w:val="21"/>
                <w:u w:val="single"/>
              </w:rPr>
              <w:t xml:space="preserve"> </w:t>
            </w:r>
            <w:r>
              <w:rPr>
                <w:rFonts w:hint="eastAsia" w:ascii="宋体" w:hAnsi="宋体" w:cs="宋体"/>
                <w:color w:val="000000"/>
                <w:sz w:val="21"/>
                <w:u w:val="single"/>
                <w:lang w:val="en-US" w:eastAsia="zh-CN"/>
              </w:rPr>
              <w:t xml:space="preserve">采购人所在地</w:t>
            </w:r>
            <w:r>
              <w:rPr>
                <w:rFonts w:ascii="宋体" w:hAnsi="宋体" w:eastAsia="宋体" w:cs="宋体"/>
                <w:color w:val="000000"/>
                <w:sz w:val="21"/>
                <w:u w:val="single"/>
              </w:rPr>
              <w:t xml:space="preserve"> </w:t>
            </w:r>
            <w:r>
              <w:rPr>
                <w:rFonts w:ascii="宋体" w:hAnsi="宋体" w:eastAsia="宋体" w:cs="宋体"/>
                <w:color w:val="000000"/>
                <w:sz w:val="21"/>
              </w:rPr>
              <w:t xml:space="preserve">人民法院起诉。</w:t>
            </w:r>
            <w:r/>
          </w:p>
        </w:tc>
      </w:tr>
      <w:tr>
        <w:trPr>
          <w:trHeight w:val="7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第23.1款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其他专用条款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pageBreakBefore w:val="0"/>
              <w:spacing w:beforeAutospacing="0" w:after="0" w:afterAutospacing="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p>
        </w:tc>
      </w:tr>
    </w:tbl>
    <w:p>
      <w:pPr>
        <w:ind w:left="0" w:right="0" w:firstLine="0"/>
        <w:jc w:val="center"/>
        <w:pageBreakBefore w:val="0"/>
        <w:spacing w:beforeAutospacing="0" w:afterAutospacing="0"/>
        <w:pBdr>
          <w:top w:val="none" w:color="000000" w:sz="0" w:space="0"/>
          <w:left w:val="none" w:color="000000" w:sz="0" w:space="0"/>
          <w:bottom w:val="none" w:color="000000" w:sz="0" w:space="0"/>
          <w:right w:val="none" w:color="000000" w:sz="0" w:space="0"/>
        </w:pBdr>
      </w:pPr>
      <w:r>
        <w:br w:type="page" w:clear="all"/>
      </w:r>
      <w:r/>
    </w:p>
    <w:p>
      <w:pPr>
        <w:ind w:left="0" w:right="0" w:firstLine="0"/>
        <w:jc w:val="both"/>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合同附件：</w:t>
      </w:r>
      <w:r/>
    </w:p>
    <w:p>
      <w:pPr>
        <w:ind w:left="0" w:right="0" w:firstLine="0"/>
        <w:jc w:val="center"/>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消防装备物资信息采集系统（企业）</w:t>
      </w:r>
      <w:r/>
    </w:p>
    <w:p>
      <w:pPr>
        <w:numPr>
          <w:ilvl w:val="0"/>
          <w:numId w:val="13"/>
        </w:numPr>
        <w:jc w:val="both"/>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系统使用地址</w:t>
      </w:r>
      <w:r/>
    </w:p>
    <w:p>
      <w:pPr>
        <w:ind w:left="0" w:right="0" w:firstLine="0"/>
        <w:jc w:val="both"/>
        <w:pageBreakBefore w:val="0"/>
        <w:spacing w:beforeAutospacing="0" w:afterAutospacing="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http://xfzb.119.gov.cn</w:t>
      </w:r>
      <w:r/>
    </w:p>
    <w:p>
      <w:pPr>
        <w:numPr>
          <w:ilvl w:val="0"/>
          <w:numId w:val="13"/>
        </w:numPr>
        <w:jc w:val="both"/>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使用流程</w:t>
      </w:r>
      <w:r/>
    </w:p>
    <w:p>
      <w:pPr>
        <w:ind w:left="0" w:right="0" w:firstLine="0"/>
        <w:jc w:val="both"/>
        <w:pageBreakBefore w:val="0"/>
        <w:spacing w:beforeAutospacing="0" w:afterAutospacing="0"/>
        <w:pBdr>
          <w:top w:val="none" w:color="000000" w:sz="0" w:space="0"/>
          <w:left w:val="none" w:color="000000" w:sz="0" w:space="0"/>
          <w:bottom w:val="none" w:color="000000" w:sz="0" w:space="0"/>
          <w:right w:val="none" w:color="000000" w:sz="0" w:space="0"/>
        </w:pBdr>
      </w:pPr>
      <w:r>
        <mc:AlternateContent>
          <mc:Choice Requires="wpg">
            <w:drawing>
              <wp:inline xmlns:wp="http://schemas.openxmlformats.org/drawingml/2006/wordprocessingDrawing" distT="0" distB="0" distL="0" distR="0">
                <wp:extent cx="5276850" cy="102870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3"/>
                        <a:stretch/>
                      </pic:blipFill>
                      <pic:spPr bwMode="auto">
                        <a:xfrm>
                          <a:off x="0" y="0"/>
                          <a:ext cx="5276849" cy="10287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5pt;height:81.0pt;mso-wrap-distance-left:0.0pt;mso-wrap-distance-top:0.0pt;mso-wrap-distance-right:0.0pt;mso-wrap-distance-bottom:0.0pt;" stroked="false">
                <v:path textboxrect="0,0,0,0"/>
                <v:imagedata r:id="rId13" o:title=""/>
              </v:shape>
            </w:pict>
          </mc:Fallback>
        </mc:AlternateContent>
      </w:r>
      <w:r>
        <w:rPr>
          <w:rFonts w:ascii="Times New Roman" w:hAnsi="Times New Roman" w:eastAsia="Times New Roman" w:cs="Times New Roman"/>
          <w:color w:val="000000"/>
          <w:sz w:val="21"/>
        </w:rPr>
        <w:t xml:space="preserve"> </w:t>
      </w:r>
      <w:r/>
    </w:p>
    <w:p>
      <w:pPr>
        <w:ind w:left="0" w:right="0" w:firstLine="0"/>
        <w:jc w:val="center"/>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图</w:t>
      </w:r>
      <w:r>
        <w:rPr>
          <w:rFonts w:ascii="Times New Roman" w:hAnsi="Times New Roman" w:eastAsia="Times New Roman" w:cs="Times New Roman"/>
          <w:color w:val="000000"/>
          <w:sz w:val="21"/>
        </w:rPr>
        <w:t xml:space="preserve">1 </w:t>
      </w:r>
      <w:r>
        <w:rPr>
          <w:rFonts w:ascii="宋体" w:hAnsi="宋体" w:eastAsia="宋体" w:cs="宋体"/>
          <w:color w:val="000000"/>
          <w:sz w:val="21"/>
        </w:rPr>
        <w:t xml:space="preserve">企业装备信息采集使用流程图</w:t>
      </w:r>
      <w:r/>
    </w:p>
    <w:p>
      <w:pPr>
        <w:numPr>
          <w:ilvl w:val="0"/>
          <w:numId w:val="14"/>
        </w:numPr>
        <w:jc w:val="both"/>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企业注册</w:t>
      </w:r>
      <w:r/>
    </w:p>
    <w:p>
      <w:pPr>
        <w:ind w:left="0" w:right="0" w:firstLine="0"/>
        <w:jc w:val="both"/>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企业在系统中注册申请系统使用账号，须提供工商营业注册凭证扫描件等基础信息；</w:t>
      </w:r>
      <w:r/>
    </w:p>
    <w:p>
      <w:pPr>
        <w:numPr>
          <w:ilvl w:val="0"/>
          <w:numId w:val="14"/>
        </w:numPr>
        <w:jc w:val="both"/>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企业信息完善</w:t>
      </w:r>
      <w:r/>
    </w:p>
    <w:p>
      <w:pPr>
        <w:ind w:left="0" w:right="0" w:firstLine="0"/>
        <w:jc w:val="both"/>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企业注册审核通过后，登录系统并完善其</w:t>
      </w:r>
      <w:r>
        <w:rPr>
          <w:rFonts w:ascii="Times New Roman" w:hAnsi="Times New Roman" w:eastAsia="Times New Roman" w:cs="Times New Roman"/>
          <w:color w:val="000000"/>
          <w:sz w:val="21"/>
        </w:rPr>
        <w:t xml:space="preserve">GIS</w:t>
      </w:r>
      <w:r>
        <w:rPr>
          <w:rFonts w:ascii="宋体" w:hAnsi="宋体" w:eastAsia="宋体" w:cs="宋体"/>
          <w:color w:val="000000"/>
          <w:sz w:val="21"/>
        </w:rPr>
        <w:t xml:space="preserve">位置信息，售后机构，生产能力等信息。</w:t>
      </w:r>
      <w:r/>
    </w:p>
    <w:p>
      <w:pPr>
        <w:numPr>
          <w:ilvl w:val="0"/>
          <w:numId w:val="14"/>
        </w:numPr>
        <w:jc w:val="both"/>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产品信息录入</w:t>
      </w:r>
      <w:r/>
    </w:p>
    <w:p>
      <w:pPr>
        <w:ind w:left="0" w:right="0" w:firstLine="0"/>
        <w:jc w:val="both"/>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各装备企业严格按照装备物资分类及核心参数标准，在系统上填写产品信息。</w:t>
      </w:r>
      <w:r/>
    </w:p>
    <w:p>
      <w:pPr>
        <w:numPr>
          <w:ilvl w:val="0"/>
          <w:numId w:val="14"/>
        </w:numPr>
        <w:jc w:val="both"/>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装备赋码申请</w:t>
      </w:r>
      <w:r/>
    </w:p>
    <w:p>
      <w:pPr>
        <w:ind w:left="0" w:right="0" w:firstLine="0"/>
        <w:jc w:val="both"/>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各装备企业按照实际交付需要，申请装备编码，申请通过后，系统自动配发装备编码以及参考二维码。</w:t>
      </w:r>
      <w:r/>
    </w:p>
    <w:p>
      <w:pPr>
        <w:numPr>
          <w:ilvl w:val="0"/>
          <w:numId w:val="14"/>
        </w:numPr>
        <w:jc w:val="both"/>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企业装备赋码</w:t>
      </w:r>
      <w:r/>
    </w:p>
    <w:p>
      <w:pPr>
        <w:ind w:left="0" w:right="0" w:firstLine="0"/>
        <w:jc w:val="both"/>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企业申请编码通过后，按照物联网标签赋码规范安装标签，统一交付队伍。</w:t>
      </w:r>
      <w:r/>
    </w:p>
    <w:p>
      <w:pPr>
        <w:numPr>
          <w:ilvl w:val="0"/>
          <w:numId w:val="14"/>
        </w:numPr>
        <w:jc w:val="both"/>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队伍验收</w:t>
      </w:r>
      <w:r/>
    </w:p>
    <w:p>
      <w:pPr>
        <w:ind w:left="0" w:right="0" w:firstLine="0"/>
        <w:jc w:val="both"/>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队伍接收带编码的装备，统一交付验收。</w:t>
      </w:r>
      <w:r/>
    </w:p>
    <w:p>
      <w:pPr>
        <w:ind w:left="0" w:right="0" w:firstLine="0"/>
        <w:jc w:val="both"/>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（三）技术支持联系方式</w:t>
      </w:r>
      <w:r/>
    </w:p>
    <w:p>
      <w:pPr>
        <w:ind w:left="0" w:right="0" w:firstLine="0"/>
        <w:jc w:val="both"/>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马英虎</w:t>
      </w:r>
      <w:r>
        <w:rPr>
          <w:rFonts w:ascii="Times New Roman" w:hAnsi="Times New Roman" w:eastAsia="Times New Roman" w:cs="Times New Roman"/>
          <w:color w:val="000000"/>
          <w:sz w:val="21"/>
        </w:rPr>
        <w:t xml:space="preserve">  15380884762</w:t>
      </w:r>
      <w:r>
        <w:rPr>
          <w:rFonts w:ascii="宋体" w:hAnsi="宋体" w:eastAsia="宋体" w:cs="宋体"/>
          <w:color w:val="000000"/>
          <w:sz w:val="21"/>
        </w:rPr>
        <w:t xml:space="preserve">； 林凯同 </w:t>
      </w:r>
      <w:r>
        <w:rPr>
          <w:rFonts w:ascii="Times New Roman" w:hAnsi="Times New Roman" w:eastAsia="Times New Roman" w:cs="Times New Roman"/>
          <w:color w:val="000000"/>
          <w:sz w:val="21"/>
        </w:rPr>
        <w:t xml:space="preserve">15032108289</w:t>
      </w:r>
      <w:r/>
    </w:p>
    <w:p>
      <w:pPr>
        <w:ind w:left="0" w:right="0" w:firstLine="0"/>
        <w:pageBreakBefore w:val="0"/>
        <w:spacing w:beforeAutospacing="0" w:afterAutospacing="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0"/>
        </w:rPr>
        <w:t xml:space="preserve"> </w:t>
      </w:r>
      <w:r/>
    </w:p>
    <w:p>
      <w:pPr>
        <w:ind w:left="0" w:right="0" w:firstLine="0"/>
        <w:jc w:val="both"/>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二维码符号及</w:t>
      </w:r>
      <w:r>
        <w:rPr>
          <w:rFonts w:ascii="Times New Roman" w:hAnsi="Times New Roman" w:eastAsia="Times New Roman" w:cs="Times New Roman"/>
          <w:color w:val="000000"/>
          <w:sz w:val="21"/>
        </w:rPr>
        <w:t xml:space="preserve">RFID</w:t>
      </w:r>
      <w:r>
        <w:rPr>
          <w:rFonts w:ascii="宋体" w:hAnsi="宋体" w:eastAsia="宋体" w:cs="宋体"/>
          <w:color w:val="000000"/>
          <w:sz w:val="21"/>
        </w:rPr>
        <w:t xml:space="preserve">标签粘贴位置标准及要求</w:t>
      </w:r>
      <w:r/>
    </w:p>
    <w:p>
      <w:pPr>
        <w:ind w:left="0" w:right="0" w:firstLine="0"/>
        <w:pageBreakBefore w:val="0"/>
        <w:spacing w:beforeAutospacing="0" w:afterAutospacing="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pageBreakBefore w:val="0"/>
        <w:spacing w:beforeAutospacing="0" w:afterAutospacing="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二维码符号及</w:t>
      </w:r>
      <w:r>
        <w:rPr>
          <w:rFonts w:ascii="Times New Roman" w:hAnsi="Times New Roman" w:eastAsia="Times New Roman" w:cs="Times New Roman"/>
          <w:color w:val="000000"/>
          <w:sz w:val="21"/>
        </w:rPr>
        <w:t xml:space="preserve">RFID</w:t>
      </w:r>
      <w:r>
        <w:rPr>
          <w:rFonts w:ascii="宋体" w:hAnsi="宋体" w:eastAsia="宋体" w:cs="宋体"/>
          <w:color w:val="000000"/>
          <w:sz w:val="21"/>
        </w:rPr>
        <w:t xml:space="preserve">标签粘贴位置标准及要求待合同签订后再乙方参照甲方的</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二维码符号及</w:t>
      </w:r>
      <w:r>
        <w:rPr>
          <w:rFonts w:ascii="Times New Roman" w:hAnsi="Times New Roman" w:eastAsia="Times New Roman" w:cs="Times New Roman"/>
          <w:color w:val="000000"/>
          <w:sz w:val="21"/>
        </w:rPr>
        <w:t xml:space="preserve">RFID</w:t>
      </w:r>
      <w:r>
        <w:rPr>
          <w:rFonts w:ascii="宋体" w:hAnsi="宋体" w:eastAsia="宋体" w:cs="宋体"/>
          <w:color w:val="000000"/>
          <w:sz w:val="21"/>
        </w:rPr>
        <w:t xml:space="preserve">标签粘贴位置标准</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中的标准要求进行实施。</w:t>
      </w:r>
      <w:r/>
    </w:p>
    <w:p>
      <w:pPr>
        <w:ind w:left="0" w:right="0" w:firstLine="0"/>
        <w:jc w:val="center"/>
        <w:pageBreakBefore w:val="0"/>
        <w:spacing w:beforeAutospacing="0" w:afterAutospacing="0"/>
        <w:pBdr>
          <w:top w:val="none" w:color="000000" w:sz="0" w:space="0"/>
          <w:left w:val="none" w:color="000000" w:sz="0" w:space="0"/>
          <w:bottom w:val="none" w:color="000000" w:sz="0" w:space="0"/>
          <w:right w:val="none" w:color="000000" w:sz="0" w:space="0"/>
        </w:pBdr>
      </w:pPr>
      <w:r>
        <w:rPr>
          <w:rFonts w:ascii="楷体" w:hAnsi="楷体" w:eastAsia="楷体" w:cs="楷体"/>
          <w:b/>
          <w:color w:val="000000"/>
          <w:spacing w:val="-20"/>
          <w:sz w:val="48"/>
        </w:rPr>
        <w:t xml:space="preserve"> </w:t>
      </w:r>
      <w:r/>
    </w:p>
    <w:p>
      <w:pPr>
        <w:ind w:left="0" w:right="0" w:firstLine="0"/>
        <w:jc w:val="center"/>
        <w:pageBreakBefore w:val="0"/>
        <w:spacing w:beforeAutospacing="0" w:afterAutospacing="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pageBreakBefore w:val="0"/>
        <w:spacing w:beforeAutospacing="0" w:afterAutospacing="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pageBreakBefore w:val="0"/>
        <w:spacing w:beforeAutospacing="0" w:afterAutospacing="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pageBreakBefore w:val="0"/>
        <w:spacing w:beforeAutospacing="0" w:afterAutospacing="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pageBreakBefore w:val="0"/>
        <w:spacing w:beforeAutospacing="0" w:afterAutospacing="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pageBreakBefore w:val="0"/>
        <w:spacing w:beforeAutospacing="0" w:afterAutospacing="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jc w:val="center"/>
        <w:pageBreakBefore w:val="0"/>
        <w:spacing w:beforeAutospacing="0" w:afterAutospacing="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jc w:val="center"/>
        <w:pageBreakBefore w:val="0"/>
        <w:spacing w:beforeAutospacing="0" w:afterAutospacing="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jc w:val="center"/>
        <w:pageBreakBefore w:val="0"/>
        <w:spacing w:beforeAutospacing="0" w:afterAutospacing="0" w:line="0" w:lineRule="atLeast"/>
        <w:rPr>
          <w:rFonts w:hint="eastAsia" w:ascii="宋体" w:hAnsi="宋体" w:cs="Courier New"/>
          <w:color w:val="000000"/>
          <w:sz w:val="24"/>
          <w:szCs w:val="24"/>
        </w:rPr>
      </w:pPr>
      <w:r>
        <w:rPr>
          <w:rFonts w:hint="eastAsia" w:ascii="黑体" w:hAnsi="Courier New" w:eastAsia="黑体" w:cs="Courier New"/>
          <w:bCs/>
          <w:color w:val="000000"/>
          <w:sz w:val="44"/>
          <w:szCs w:val="21"/>
        </w:rPr>
        <w:t xml:space="preserve">第四章 采购需求</w:t>
      </w:r>
      <w:r/>
    </w:p>
    <w:p>
      <w:pPr>
        <w:pageBreakBefore w:val="0"/>
        <w:spacing w:beforeAutospacing="0" w:afterAutospacing="0" w:line="0" w:lineRule="atLeast"/>
        <w:rPr>
          <w:rFonts w:ascii="宋体" w:hAnsi="宋体"/>
          <w:color w:val="000000"/>
          <w:sz w:val="24"/>
          <w:szCs w:val="24"/>
        </w:rPr>
      </w:pPr>
      <w:r/>
      <w:bookmarkStart w:id="167" w:name="_Toc26554093"/>
      <w:r/>
      <w:bookmarkStart w:id="168" w:name="_Toc49090575"/>
      <w:r/>
      <w:r/>
    </w:p>
    <w:p>
      <w:pPr>
        <w:pageBreakBefore w:val="0"/>
        <w:spacing w:beforeAutospacing="0" w:afterAutospacing="0" w:line="0" w:lineRule="atLeast"/>
        <w:rPr>
          <w:rFonts w:ascii="宋体" w:hAnsi="宋体"/>
          <w:b/>
          <w:color w:val="000000"/>
          <w:sz w:val="24"/>
          <w:szCs w:val="24"/>
        </w:rPr>
      </w:pPr>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p>
    <w:tbl>
      <w:tblPr>
        <w:tblStyle w:val="719"/>
        <w:tblW w:w="8607"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5" w:type="dxa"/>
          <w:top w:w="15" w:type="dxa"/>
          <w:right w:w="15" w:type="dxa"/>
          <w:bottom w:w="0" w:type="dxa"/>
        </w:tblCellMar>
        <w:tblLook w:val="04A0" w:firstRow="1" w:lastRow="0" w:firstColumn="1" w:lastColumn="0" w:noHBand="0" w:noVBand="1"/>
      </w:tblPr>
      <w:tblGrid>
        <w:gridCol w:w="537"/>
        <w:gridCol w:w="814"/>
        <w:gridCol w:w="2876"/>
        <w:gridCol w:w="960"/>
        <w:gridCol w:w="1035"/>
        <w:gridCol w:w="1035"/>
        <w:gridCol w:w="1350"/>
      </w:tblGrid>
      <w:tr>
        <w:trP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采购包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4" w:type="dxa"/>
            <w:vAlign w:val="center"/>
            <w:textDirection w:val="lrTb"/>
            <w:noWrap w:val="false"/>
          </w:tcPr>
          <w:p>
            <w:pPr>
              <w:jc w:val="center"/>
              <w:keepLines w:val="0"/>
              <w:keepNext w:val="0"/>
              <w:pageBreakBefore w:val="0"/>
              <w:spacing w:beforeAutospacing="0" w:afterAutospacing="0"/>
              <w:widowControl/>
              <w:rPr>
                <w:rFonts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76"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采购标的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单价</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(万元)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总价</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(万元)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sz w:val="24"/>
                <w:szCs w:val="24"/>
                <w:highlight w:val="none"/>
              </w:rPr>
              <w:t xml:space="preserve">对应中</w:t>
            </w:r>
            <w:r>
              <w:rPr>
                <w:rFonts w:ascii="宋体" w:hAnsi="宋体"/>
                <w:sz w:val="24"/>
                <w:szCs w:val="24"/>
                <w:highlight w:val="none"/>
              </w:rPr>
              <w:t xml:space="preserve">小企业划分标准所属行业</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7" w:type="dxa"/>
            <w:vAlign w:val="center"/>
            <w:vMerge w:val="restart"/>
            <w:textDirection w:val="lrTb"/>
            <w:noWrap/>
          </w:tcPr>
          <w:p>
            <w:pPr>
              <w:jc w:val="center"/>
              <w:keepLines w:val="0"/>
              <w:keepNext w:val="0"/>
              <w:pageBreakBefore w:val="0"/>
              <w:spacing w:beforeAutospacing="0" w:afterAutospacing="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4" w:type="dxa"/>
            <w:vAlign w:val="center"/>
            <w:textDirection w:val="lrTb"/>
            <w:noWrap w:val="false"/>
          </w:tcPr>
          <w:p>
            <w:pPr>
              <w:jc w:val="center"/>
              <w:keepLines w:val="0"/>
              <w:keepNext w:val="0"/>
              <w:pageBreakBefore w:val="0"/>
              <w:spacing w:beforeAutospacing="0" w:afterAutospacing="0"/>
              <w:widowControl/>
              <w:rPr>
                <w:rStyle w:val="957"/>
                <w:rFonts w:ascii="宋体" w:hAnsi="宋体" w:eastAsia="宋体" w:cs="宋体"/>
                <w:sz w:val="24"/>
                <w:szCs w:val="24"/>
                <w:lang w:val="en-US" w:eastAsia="zh-CN" w:bidi="ar"/>
              </w:rPr>
              <w:suppressLineNumbers w:val="0"/>
            </w:pPr>
            <w:r>
              <w:rPr>
                <w:rStyle w:val="957"/>
                <w:rFonts w:hint="eastAsia" w:ascii="宋体" w:hAnsi="宋体" w:eastAsia="宋体" w:cs="宋体"/>
                <w:sz w:val="24"/>
                <w:szCs w:val="24"/>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7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消防腰斧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597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 0.0180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 10.7460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color w:val="000000"/>
                <w:sz w:val="24"/>
                <w:szCs w:val="24"/>
                <w:highlight w:val="none"/>
                <w:u w:val="none"/>
                <w:lang w:val="en-US" w:eastAsia="zh-CN" w:bidi="ar"/>
              </w:rPr>
              <w:suppressLineNumbers w:val="0"/>
            </w:pPr>
            <w:r>
              <w:rPr>
                <w:rFonts w:ascii="Times New Roman" w:hAnsi="Times New Roman" w:cs="Times New Roman"/>
                <w:b w:val="0"/>
                <w:highlight w:val="none"/>
              </w:rPr>
              <w:t xml:space="preserve">工业</w:t>
            </w:r>
            <w:r/>
          </w:p>
        </w:tc>
      </w:tr>
      <w:tr>
        <w:trPr>
          <w:trHeight w:val="400"/>
        </w:trPr>
        <w:tc>
          <w:tcPr>
            <w:tcBorders>
              <w:left w:val="single" w:color="000000" w:sz="4" w:space="0"/>
              <w:right w:val="single" w:color="000000" w:sz="4" w:space="0"/>
            </w:tcBorders>
            <w:tcMar>
              <w:left w:w="15" w:type="dxa"/>
              <w:top w:w="15" w:type="dxa"/>
              <w:right w:w="15" w:type="dxa"/>
            </w:tcMar>
            <w:tcW w:w="537" w:type="dxa"/>
            <w:vAlign w:val="center"/>
            <w:vMerge w:val="continue"/>
            <w:textDirection w:val="lrTb"/>
            <w:noWrap/>
          </w:tcPr>
          <w:p>
            <w:pPr>
              <w:jc w:val="center"/>
              <w:keepLines w:val="0"/>
              <w:keepNext w:val="0"/>
              <w:pageBreakBefore w:val="0"/>
              <w:spacing w:beforeAutospacing="0" w:afterAutospacing="0"/>
              <w:widowControl/>
              <w:rPr>
                <w:rFonts w:hint="eastAsia"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4" w:type="dxa"/>
            <w:vAlign w:val="center"/>
            <w:textDirection w:val="lrTb"/>
            <w:noWrap w:val="false"/>
          </w:tcPr>
          <w:p>
            <w:pPr>
              <w:jc w:val="center"/>
              <w:keepLines w:val="0"/>
              <w:keepNext w:val="0"/>
              <w:pageBreakBefore w:val="0"/>
              <w:spacing w:beforeAutospacing="0" w:afterAutospacing="0"/>
              <w:widowControl/>
              <w:rPr>
                <w:rStyle w:val="957"/>
                <w:rFonts w:hint="default" w:ascii="宋体" w:hAnsi="宋体" w:eastAsia="宋体" w:cs="宋体"/>
                <w:sz w:val="24"/>
                <w:szCs w:val="24"/>
                <w:lang w:val="en-US" w:eastAsia="zh-CN" w:bidi="ar"/>
              </w:rPr>
              <w:suppressLineNumbers w:val="0"/>
            </w:pPr>
            <w:r>
              <w:rPr>
                <w:rStyle w:val="957"/>
                <w:rFonts w:hint="eastAsia" w:ascii="宋体" w:hAnsi="宋体" w:cs="宋体"/>
                <w:sz w:val="24"/>
                <w:szCs w:val="24"/>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7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消防安全腰带2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805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 0.0180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 14.4900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tcPr>
          <w:p>
            <w:pPr>
              <w:jc w:val="center"/>
              <w:keepLines w:val="0"/>
              <w:keepNext w:val="0"/>
              <w:pageBreakBefore w:val="0"/>
              <w:spacing w:beforeAutospacing="0" w:afterAutospacing="0"/>
              <w:widowControl/>
              <w:rPr>
                <w:rFonts w:ascii="Times New Roman" w:hAnsi="Times New Roman" w:cs="Times New Roman"/>
                <w:b w:val="0"/>
                <w:highlight w:val="none"/>
              </w:rPr>
              <w:suppressLineNumbers w:val="0"/>
            </w:pPr>
            <w:r>
              <w:rPr>
                <w:rFonts w:ascii="Times New Roman" w:hAnsi="Times New Roman" w:cs="Times New Roman"/>
                <w:b w:val="0"/>
                <w:highlight w:val="none"/>
              </w:rPr>
              <w:t xml:space="preserve">工业</w:t>
            </w:r>
            <w:r/>
          </w:p>
        </w:tc>
      </w:tr>
      <w:tr>
        <w:trPr>
          <w:trHeight w:val="400"/>
        </w:trPr>
        <w:tc>
          <w:tcPr>
            <w:tcBorders>
              <w:left w:val="single" w:color="000000" w:sz="4" w:space="0"/>
              <w:right w:val="single" w:color="000000" w:sz="4" w:space="0"/>
            </w:tcBorders>
            <w:tcMar>
              <w:left w:w="15" w:type="dxa"/>
              <w:top w:w="15" w:type="dxa"/>
              <w:right w:w="15" w:type="dxa"/>
            </w:tcMar>
            <w:tcW w:w="537" w:type="dxa"/>
            <w:vAlign w:val="center"/>
            <w:vMerge w:val="continue"/>
            <w:textDirection w:val="lrTb"/>
            <w:noWrap/>
          </w:tcPr>
          <w:p>
            <w:pPr>
              <w:jc w:val="center"/>
              <w:keepLines w:val="0"/>
              <w:keepNext w:val="0"/>
              <w:pageBreakBefore w:val="0"/>
              <w:spacing w:beforeAutospacing="0" w:afterAutospacing="0"/>
              <w:widowControl/>
              <w:rPr>
                <w:rFonts w:hint="eastAsia"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4" w:type="dxa"/>
            <w:vAlign w:val="center"/>
            <w:textDirection w:val="lrTb"/>
            <w:noWrap w:val="false"/>
          </w:tcPr>
          <w:p>
            <w:pPr>
              <w:jc w:val="center"/>
              <w:keepLines w:val="0"/>
              <w:keepNext w:val="0"/>
              <w:pageBreakBefore w:val="0"/>
              <w:spacing w:beforeAutospacing="0" w:afterAutospacing="0"/>
              <w:widowControl/>
              <w:rPr>
                <w:rStyle w:val="957"/>
                <w:rFonts w:hint="default" w:ascii="宋体" w:hAnsi="宋体" w:eastAsia="宋体" w:cs="宋体"/>
                <w:sz w:val="24"/>
                <w:szCs w:val="24"/>
                <w:lang w:val="en-US" w:eastAsia="zh-CN" w:bidi="ar"/>
              </w:rPr>
              <w:suppressLineNumbers w:val="0"/>
            </w:pPr>
            <w:r>
              <w:rPr>
                <w:rStyle w:val="957"/>
                <w:rFonts w:hint="eastAsia" w:ascii="宋体" w:hAnsi="宋体" w:cs="宋体"/>
                <w:sz w:val="24"/>
                <w:szCs w:val="24"/>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7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防静电内衣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182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 0.0140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 2.5480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tcPr>
          <w:p>
            <w:pPr>
              <w:jc w:val="center"/>
              <w:keepLines w:val="0"/>
              <w:keepNext w:val="0"/>
              <w:pageBreakBefore w:val="0"/>
              <w:spacing w:beforeAutospacing="0" w:afterAutospacing="0"/>
              <w:widowControl/>
              <w:rPr>
                <w:rFonts w:ascii="Times New Roman" w:hAnsi="Times New Roman" w:cs="Times New Roman"/>
                <w:b w:val="0"/>
                <w:highlight w:val="none"/>
              </w:rPr>
              <w:suppressLineNumbers w:val="0"/>
            </w:pPr>
            <w:r>
              <w:rPr>
                <w:rFonts w:ascii="Times New Roman" w:hAnsi="Times New Roman" w:cs="Times New Roman"/>
                <w:b w:val="0"/>
                <w:highlight w:val="none"/>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7" w:type="dxa"/>
            <w:vAlign w:val="center"/>
            <w:vMerge w:val="continue"/>
            <w:textDirection w:val="lrTb"/>
            <w:noWrap/>
          </w:tcPr>
          <w:p>
            <w:pPr>
              <w:jc w:val="center"/>
              <w:pageBreakBefore w:val="0"/>
              <w:spacing w:beforeAutospacing="0" w:afterAutospacing="0"/>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4" w:type="dxa"/>
            <w:vAlign w:val="center"/>
            <w:textDirection w:val="lrTb"/>
            <w:noWrap w:val="false"/>
          </w:tcPr>
          <w:p>
            <w:pPr>
              <w:jc w:val="center"/>
              <w:keepLines w:val="0"/>
              <w:keepNext w:val="0"/>
              <w:pageBreakBefore w:val="0"/>
              <w:spacing w:beforeAutospacing="0" w:afterAutospacing="0"/>
              <w:widowControl/>
              <w:rPr>
                <w:rFonts w:ascii="宋体" w:hAnsi="宋体" w:eastAsia="宋体" w:cs="宋体"/>
                <w:i w:val="0"/>
                <w:color w:val="000000"/>
                <w:sz w:val="24"/>
                <w:szCs w:val="24"/>
                <w:u w:val="none"/>
                <w:lang w:val="en-US" w:eastAsia="zh-CN" w:bidi="ar"/>
              </w:rPr>
              <w:suppressLineNumbers w:val="0"/>
            </w:pPr>
            <w:r>
              <w:rPr>
                <w:rFonts w:hint="eastAsia" w:ascii="宋体" w:hAnsi="宋体" w:cs="宋体"/>
                <w:i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7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消防员灭火防护头套（核心产品）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2350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 0.0120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 28.2000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color w:val="000000"/>
                <w:sz w:val="24"/>
                <w:szCs w:val="24"/>
                <w:highlight w:val="yellow"/>
                <w:u w:val="none"/>
                <w:lang w:val="en-US" w:eastAsia="zh-CN" w:bidi="ar"/>
              </w:rPr>
              <w:suppressLineNumbers w:val="0"/>
            </w:pPr>
            <w:r>
              <w:rPr>
                <w:rFonts w:ascii="Times New Roman" w:hAnsi="Times New Roman" w:cs="Times New Roman"/>
                <w:b w:val="0"/>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7"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4" w:type="dxa"/>
            <w:vAlign w:val="center"/>
            <w:textDirection w:val="lrTb"/>
            <w:noWrap w:val="false"/>
          </w:tcPr>
          <w:p>
            <w:pPr>
              <w:jc w:val="center"/>
              <w:keepLines w:val="0"/>
              <w:keepNext w:val="0"/>
              <w:pageBreakBefore w:val="0"/>
              <w:spacing w:beforeAutospacing="0" w:afterAutospacing="0"/>
              <w:widowControl/>
              <w:rPr>
                <w:rFonts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76"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rPr>
              <w:t xml:space="preserve">消防手套（2）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1617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 0.0300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 48.5100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color w:val="000000"/>
                <w:sz w:val="24"/>
                <w:szCs w:val="24"/>
                <w:highlight w:val="yellow"/>
                <w:u w:val="none"/>
                <w:lang w:val="en-US" w:eastAsia="zh-CN" w:bidi="ar"/>
              </w:rPr>
              <w:suppressLineNumbers w:val="0"/>
            </w:pPr>
            <w:r>
              <w:rPr>
                <w:rFonts w:ascii="Times New Roman" w:hAnsi="Times New Roman" w:cs="Times New Roman"/>
                <w:b w:val="0"/>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7" w:type="dxa"/>
            <w:vAlign w:val="center"/>
            <w:vMerge w:val="restart"/>
            <w:textDirection w:val="lrTb"/>
            <w:noWrap/>
          </w:tcPr>
          <w:p>
            <w:pPr>
              <w:jc w:val="center"/>
              <w:keepLines w:val="0"/>
              <w:keepNext w:val="0"/>
              <w:pageBreakBefore w:val="0"/>
              <w:spacing w:beforeAutospacing="0" w:afterAutospacing="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4" w:type="dxa"/>
            <w:vAlign w:val="center"/>
            <w:textDirection w:val="lrTb"/>
            <w:noWrap w:val="false"/>
          </w:tcPr>
          <w:p>
            <w:pPr>
              <w:jc w:val="center"/>
              <w:keepLines w:val="0"/>
              <w:keepNext w:val="0"/>
              <w:pageBreakBefore w:val="0"/>
              <w:spacing w:beforeAutospacing="0" w:afterAutospacing="0"/>
              <w:widowControl/>
              <w:rPr>
                <w:rStyle w:val="957"/>
                <w:rFonts w:ascii="宋体" w:hAnsi="宋体" w:eastAsia="宋体" w:cs="宋体"/>
                <w:sz w:val="24"/>
                <w:szCs w:val="24"/>
                <w:lang w:val="en-US" w:eastAsia="zh-CN" w:bidi="ar"/>
              </w:rPr>
              <w:suppressLineNumbers w:val="0"/>
            </w:pPr>
            <w:r>
              <w:rPr>
                <w:rStyle w:val="957"/>
                <w:rFonts w:hint="eastAsia" w:ascii="宋体" w:hAnsi="宋体" w:eastAsia="宋体" w:cs="宋体"/>
                <w:sz w:val="24"/>
                <w:szCs w:val="24"/>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7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便携式 PDT 集群基站（核心产品）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 27.0000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 27.0000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color w:val="000000"/>
                <w:sz w:val="24"/>
                <w:szCs w:val="24"/>
                <w:highlight w:val="yellow"/>
                <w:u w:val="none"/>
                <w:lang w:val="en-US" w:eastAsia="zh-CN" w:bidi="ar"/>
              </w:rPr>
              <w:suppressLineNumbers w:val="0"/>
            </w:pPr>
            <w:r>
              <w:rPr>
                <w:rFonts w:ascii="Times New Roman" w:hAnsi="Times New Roman" w:cs="Times New Roman"/>
                <w:b w:val="0"/>
              </w:rPr>
              <w:t xml:space="preserve">工业</w:t>
            </w:r>
            <w:r/>
          </w:p>
        </w:tc>
      </w:tr>
      <w:tr>
        <w:trPr>
          <w:trHeight w:val="39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7" w:type="dxa"/>
            <w:vAlign w:val="center"/>
            <w:vMerge w:val="continue"/>
            <w:textDirection w:val="lrTb"/>
            <w:noWrap/>
          </w:tcPr>
          <w:p>
            <w:pPr>
              <w:jc w:val="center"/>
              <w:pageBreakBefore w:val="0"/>
              <w:spacing w:beforeAutospacing="0" w:afterAutospacing="0"/>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4" w:type="dxa"/>
            <w:vAlign w:val="center"/>
            <w:textDirection w:val="lrTb"/>
            <w:noWrap w:val="false"/>
          </w:tcPr>
          <w:p>
            <w:pPr>
              <w:jc w:val="center"/>
              <w:keepLines w:val="0"/>
              <w:keepNext w:val="0"/>
              <w:pageBreakBefore w:val="0"/>
              <w:spacing w:beforeAutospacing="0" w:afterAutospacing="0"/>
              <w:widowControl/>
              <w:rPr>
                <w:rFonts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7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双光融合视传终端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 3.0000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 6.0000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color w:val="000000"/>
                <w:sz w:val="24"/>
                <w:szCs w:val="24"/>
                <w:highlight w:val="yellow"/>
                <w:u w:val="none"/>
                <w:lang w:val="en-US" w:eastAsia="zh-CN" w:bidi="ar"/>
              </w:rPr>
              <w:suppressLineNumbers w:val="0"/>
            </w:pPr>
            <w:r>
              <w:rPr>
                <w:rFonts w:ascii="Times New Roman" w:hAnsi="Times New Roman" w:cs="Times New Roman"/>
                <w:b w:val="0"/>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7" w:type="dxa"/>
            <w:vAlign w:val="center"/>
            <w:vMerge w:val="continue"/>
            <w:textDirection w:val="lrTb"/>
            <w:noWrap/>
          </w:tcPr>
          <w:p>
            <w:pPr>
              <w:jc w:val="center"/>
              <w:pageBreakBefore w:val="0"/>
              <w:spacing w:beforeAutospacing="0" w:afterAutospacing="0"/>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4" w:type="dxa"/>
            <w:vAlign w:val="center"/>
            <w:textDirection w:val="lrTb"/>
            <w:noWrap w:val="false"/>
          </w:tcPr>
          <w:p>
            <w:pPr>
              <w:jc w:val="center"/>
              <w:keepLines w:val="0"/>
              <w:keepNext w:val="0"/>
              <w:pageBreakBefore w:val="0"/>
              <w:spacing w:beforeAutospacing="0" w:afterAutospacing="0"/>
              <w:widowControl/>
              <w:rPr>
                <w:rFonts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7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小型无人机系留装置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 12.0000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 12.0000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color w:val="000000"/>
                <w:sz w:val="24"/>
                <w:szCs w:val="24"/>
                <w:highlight w:val="yellow"/>
                <w:u w:val="none"/>
                <w:lang w:val="en-US" w:eastAsia="zh-CN" w:bidi="ar"/>
              </w:rPr>
              <w:suppressLineNumbers w:val="0"/>
            </w:pPr>
            <w:r>
              <w:rPr>
                <w:rFonts w:ascii="Times New Roman" w:hAnsi="Times New Roman" w:cs="Times New Roman"/>
                <w:b w:val="0"/>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7"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4" w:type="dxa"/>
            <w:vAlign w:val="center"/>
            <w:textDirection w:val="lrTb"/>
            <w:noWrap w:val="false"/>
          </w:tcPr>
          <w:p>
            <w:pPr>
              <w:jc w:val="center"/>
              <w:keepLines w:val="0"/>
              <w:keepNext w:val="0"/>
              <w:pageBreakBefore w:val="0"/>
              <w:spacing w:beforeAutospacing="0" w:afterAutospacing="0"/>
              <w:widowControl/>
              <w:rPr>
                <w:rFonts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四足机器人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 84.0000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 84.0000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color w:val="000000"/>
                <w:sz w:val="24"/>
                <w:szCs w:val="24"/>
                <w:highlight w:val="yellow"/>
                <w:u w:val="none"/>
                <w:lang w:val="en-US" w:eastAsia="zh-CN" w:bidi="ar"/>
              </w:rPr>
              <w:suppressLineNumbers w:val="0"/>
            </w:pPr>
            <w:r>
              <w:rPr>
                <w:rFonts w:ascii="Times New Roman" w:hAnsi="Times New Roman" w:cs="Times New Roman"/>
                <w:b w:val="0"/>
              </w:rPr>
              <w:t xml:space="preserve">工业</w:t>
            </w:r>
            <w:r/>
          </w:p>
        </w:tc>
      </w:tr>
    </w:tbl>
    <w:p>
      <w:pPr>
        <w:pageBreakBefore w:val="0"/>
        <w:spacing w:beforeAutospacing="0" w:afterAutospacing="0" w:line="0" w:lineRule="atLeast"/>
        <w:rPr>
          <w:rFonts w:hint="eastAsia" w:ascii="宋体" w:hAnsi="宋体"/>
          <w:sz w:val="24"/>
          <w:szCs w:val="24"/>
          <w:highlight w:val="yellow"/>
        </w:rPr>
      </w:pPr>
      <w:r>
        <w:rPr>
          <w:rFonts w:hint="eastAsia" w:ascii="宋体" w:hAnsi="宋体"/>
          <w:sz w:val="24"/>
          <w:szCs w:val="24"/>
          <w:highlight w:val="yellow"/>
        </w:rPr>
      </w:r>
      <w:r/>
    </w:p>
    <w:p>
      <w:pPr>
        <w:pageBreakBefore w:val="0"/>
        <w:spacing w:beforeAutospacing="0" w:afterAutospacing="0" w:line="0" w:lineRule="atLeast"/>
        <w:rPr>
          <w:rFonts w:hint="eastAsia" w:ascii="宋体" w:hAnsi="宋体" w:eastAsia="宋体" w:cs="Times New Roman"/>
          <w:b/>
          <w:color w:val="000000"/>
          <w:sz w:val="24"/>
          <w:szCs w:val="24"/>
          <w:lang w:val="en-US" w:eastAsia="zh-CN"/>
        </w:rPr>
      </w:pPr>
      <w:r>
        <w:rPr>
          <w:rFonts w:hint="eastAsia" w:ascii="宋体" w:hAnsi="宋体" w:eastAsia="宋体" w:cs="Times New Roman"/>
          <w:b/>
          <w:color w:val="000000"/>
          <w:sz w:val="24"/>
          <w:szCs w:val="24"/>
          <w:lang w:val="en-US" w:eastAsia="zh-CN"/>
        </w:rPr>
        <w:t xml:space="preserve">二、政府采购中实施本国产品标准及相关政策</w:t>
      </w:r>
      <w:r/>
    </w:p>
    <w:p>
      <w:pPr>
        <w:ind w:firstLine="480"/>
        <w:keepLines w:val="0"/>
        <w:keepNext w:val="0"/>
        <w:pageBreakBefore w:val="0"/>
        <w:spacing w:beforeAutospacing="0" w:afterAutospacing="0" w:line="0" w:lineRule="atLeast"/>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1.本项目对采购本国产品给予政策支持，具体内容见招标文件“第五章 评标方法与评标标准”。</w:t>
      </w:r>
      <w:r/>
    </w:p>
    <w:p>
      <w:pPr>
        <w:ind w:firstLine="480"/>
        <w:keepLines w:val="0"/>
        <w:keepNext w:val="0"/>
        <w:pageBreakBefore w:val="0"/>
        <w:spacing w:beforeAutospacing="0" w:afterAutospacing="0" w:line="0" w:lineRule="atLeast"/>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keepNext w:val="0"/>
        <w:pageBreakBefore w:val="0"/>
        <w:spacing w:beforeAutospacing="0" w:afterAutospacing="0" w:line="0" w:lineRule="atLeast"/>
        <w:widowControl w:val="off"/>
        <w:rPr>
          <w:rFonts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ageBreakBefore w:val="0"/>
        <w:spacing w:beforeAutospacing="0" w:afterAutospacing="0" w:line="0" w:lineRule="atLeast"/>
        <w:rPr>
          <w:rFonts w:ascii="宋体" w:hAnsi="宋体"/>
          <w:b/>
          <w:color w:val="000000"/>
          <w:sz w:val="24"/>
          <w:szCs w:val="24"/>
        </w:rPr>
      </w:pPr>
      <w:r>
        <w:rPr>
          <w:rFonts w:ascii="宋体" w:hAnsi="宋体"/>
          <w:b/>
          <w:color w:val="000000"/>
          <w:sz w:val="24"/>
          <w:szCs w:val="24"/>
        </w:rPr>
      </w:r>
      <w:r/>
    </w:p>
    <w:p>
      <w:pPr>
        <w:pageBreakBefore w:val="0"/>
        <w:spacing w:beforeAutospacing="0" w:afterAutospacing="0" w:line="0" w:lineRule="atLeast"/>
        <w:rPr>
          <w:rFonts w:ascii="宋体" w:hAnsi="宋体"/>
          <w:b/>
          <w:color w:val="000000"/>
          <w:sz w:val="24"/>
          <w:szCs w:val="24"/>
        </w:rPr>
      </w:pPr>
      <w:r>
        <w:rPr>
          <w:rFonts w:hint="eastAsia" w:ascii="宋体" w:hAnsi="宋体"/>
          <w:b/>
          <w:color w:val="000000"/>
          <w:sz w:val="24"/>
          <w:szCs w:val="24"/>
          <w:lang w:eastAsia="zh-CN"/>
        </w:rPr>
        <w:t xml:space="preserve">三</w:t>
      </w:r>
      <w:r>
        <w:rPr>
          <w:rFonts w:ascii="宋体" w:hAnsi="宋体"/>
          <w:b/>
          <w:color w:val="000000"/>
          <w:sz w:val="24"/>
          <w:szCs w:val="24"/>
        </w:rPr>
        <w:t xml:space="preserve">、技术要求</w:t>
      </w:r>
      <w:r/>
    </w:p>
    <w:p>
      <w:pPr>
        <w:pageBreakBefore w:val="0"/>
        <w:spacing w:beforeAutospacing="0" w:afterAutospacing="0" w:line="0" w:lineRule="atLeast"/>
        <w:rPr>
          <w:rFonts w:hint="eastAsia" w:ascii="宋体" w:hAnsi="宋体"/>
          <w:i/>
          <w:sz w:val="24"/>
          <w:szCs w:val="24"/>
          <w:u w:val="single"/>
        </w:rPr>
      </w:pPr>
      <w:r>
        <w:rPr>
          <w:rFonts w:hint="eastAsia" w:ascii="宋体" w:hAnsi="宋体"/>
          <w:bCs/>
          <w:color w:val="000000"/>
          <w:sz w:val="24"/>
          <w:szCs w:val="24"/>
        </w:rPr>
        <w:t xml:space="preserve">技术要求是指对采购标的功能和质量要求，包括性能、材料、结构、外观、安全，或者服务内容和标准等。</w:t>
      </w:r>
      <w:r>
        <w:rPr>
          <w:rFonts w:hint="eastAsia" w:ascii="宋体" w:hAnsi="宋体"/>
          <w:bCs/>
          <w:sz w:val="24"/>
          <w:szCs w:val="24"/>
        </w:rPr>
        <w:t xml:space="preserve">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p>
    <w:p>
      <w:pPr>
        <w:pageBreakBefore w:val="0"/>
        <w:spacing w:beforeAutospacing="0" w:afterAutospacing="0" w:line="0" w:lineRule="atLeast"/>
        <w:rPr>
          <w:rFonts w:hint="eastAsia" w:ascii="宋体" w:hAnsi="宋体"/>
          <w:b w:val="0"/>
          <w:bCs w:val="0"/>
          <w:sz w:val="24"/>
          <w:szCs w:val="24"/>
        </w:rPr>
      </w:pPr>
      <w:r>
        <w:rPr>
          <w:rFonts w:hint="eastAsia" w:ascii="宋体" w:hAnsi="宋体"/>
          <w:b w:val="0"/>
          <w:bCs w:val="0"/>
          <w:sz w:val="24"/>
          <w:szCs w:val="24"/>
        </w:rPr>
      </w:r>
      <w:r/>
    </w:p>
    <w:p>
      <w:pPr>
        <w:keepLines w:val="0"/>
        <w:keepNext w:val="0"/>
        <w:pageBreakBefore w:val="0"/>
        <w:spacing w:beforeAutospacing="0" w:afterAutospacing="0" w:line="0" w:lineRule="atLeast"/>
        <w:widowControl w:val="off"/>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分包1：</w:t>
      </w:r>
      <w:r>
        <w:rPr>
          <w:rFonts w:hint="default" w:ascii="Times New Roman" w:hAnsi="Times New Roman" w:eastAsia="宋体" w:cs="Times New Roman"/>
          <w:b/>
          <w:bCs/>
          <w:sz w:val="24"/>
          <w:szCs w:val="24"/>
          <w:lang w:val="en-US" w:eastAsia="zh-CN"/>
        </w:rPr>
        <w:t xml:space="preserve">消防腰斧</w:t>
      </w:r>
      <w:r>
        <w:rPr>
          <w:rFonts w:hint="default" w:ascii="Times New Roman" w:hAnsi="Times New Roman" w:eastAsia="宋体" w:cs="Times New Roman"/>
          <w:b/>
          <w:bCs/>
          <w:sz w:val="24"/>
          <w:szCs w:val="24"/>
        </w:rPr>
        <w:t xml:space="preserve">等</w:t>
      </w:r>
      <w:r/>
    </w:p>
    <w:p>
      <w:pPr>
        <w:keepLines w:val="0"/>
        <w:keepNext w:val="0"/>
        <w:pageBreakBefore w:val="0"/>
        <w:spacing w:beforeAutospacing="0" w:afterAutospacing="0" w:line="0" w:lineRule="atLeast"/>
        <w:widowControl w:val="off"/>
        <w:rPr>
          <w:rFonts w:hint="default" w:ascii="Times New Roman" w:hAnsi="Times New Roman" w:eastAsia="宋体" w:cs="Times New Roman"/>
          <w:b w:val="0"/>
          <w:bCs w:val="0"/>
          <w:sz w:val="24"/>
          <w:szCs w:val="24"/>
        </w:rPr>
      </w:pPr>
      <w:r>
        <w:rPr>
          <w:rFonts w:hint="default" w:ascii="Times New Roman" w:hAnsi="Times New Roman" w:eastAsia="宋体" w:cs="Times New Roman"/>
          <w:b/>
          <w:bCs/>
          <w:sz w:val="24"/>
          <w:szCs w:val="24"/>
          <w:lang w:val="en-US" w:eastAsia="zh-CN"/>
        </w:rPr>
        <w:t xml:space="preserve">消防腰斧</w:t>
      </w:r>
      <w:r/>
    </w:p>
    <w:p>
      <w:pPr>
        <w:keepLines w:val="0"/>
        <w:keepNext w:val="0"/>
        <w:pageBreakBefore w:val="0"/>
        <w:spacing w:beforeAutospacing="0" w:afterAutospacing="0" w:line="0" w:lineRule="atLeast"/>
        <w:widowControl w:val="off"/>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rPr>
        <w:t xml:space="preserve">采购数</w:t>
      </w:r>
      <w:r>
        <w:rPr>
          <w:rFonts w:hint="default" w:ascii="Times New Roman" w:hAnsi="Times New Roman" w:eastAsia="宋体" w:cs="Times New Roman"/>
          <w:b w:val="0"/>
          <w:bCs w:val="0"/>
          <w:sz w:val="24"/>
          <w:szCs w:val="24"/>
          <w:highlight w:val="none"/>
        </w:rPr>
        <w:t xml:space="preserve">量</w:t>
      </w:r>
      <w:r>
        <w:rPr>
          <w:rFonts w:hint="default" w:ascii="Times New Roman" w:hAnsi="Times New Roman" w:eastAsia="宋体" w:cs="Times New Roman"/>
          <w:i w:val="0"/>
          <w:iCs w:val="0"/>
          <w:color w:val="000000"/>
          <w:sz w:val="24"/>
          <w:szCs w:val="24"/>
          <w:highlight w:val="none"/>
          <w:u w:val="none"/>
          <w:lang w:val="en-US" w:eastAsia="zh-CN" w:bidi="ar"/>
        </w:rPr>
        <w:t xml:space="preserve">597</w:t>
      </w:r>
      <w:r>
        <w:rPr>
          <w:rFonts w:hint="default" w:ascii="Times New Roman" w:hAnsi="Times New Roman" w:eastAsia="宋体" w:cs="Times New Roman"/>
          <w:b w:val="0"/>
          <w:bCs w:val="0"/>
          <w:sz w:val="24"/>
          <w:szCs w:val="24"/>
          <w:highlight w:val="none"/>
        </w:rPr>
        <w:t xml:space="preserve">套，</w:t>
      </w:r>
      <w:r>
        <w:rPr>
          <w:rFonts w:hint="default" w:ascii="Times New Roman" w:hAnsi="Times New Roman" w:eastAsia="宋体" w:cs="Times New Roman"/>
          <w:b w:val="0"/>
          <w:bCs w:val="0"/>
          <w:i/>
          <w:iCs/>
          <w:sz w:val="24"/>
          <w:szCs w:val="24"/>
          <w:highlight w:val="none"/>
          <w:u w:val="single"/>
        </w:rPr>
        <w:t xml:space="preserve">预算单价</w:t>
      </w:r>
      <w:r>
        <w:rPr>
          <w:rFonts w:hint="default" w:ascii="Times New Roman" w:hAnsi="Times New Roman" w:eastAsia="宋体" w:cs="Times New Roman"/>
          <w:b w:val="0"/>
          <w:bCs w:val="0"/>
          <w:i/>
          <w:iCs/>
          <w:sz w:val="24"/>
          <w:szCs w:val="24"/>
          <w:highlight w:val="none"/>
          <w:u w:val="single"/>
          <w:lang w:val="en-US" w:eastAsia="zh-CN"/>
        </w:rPr>
        <w:t xml:space="preserve">0.018</w:t>
      </w:r>
      <w:r>
        <w:rPr>
          <w:rFonts w:hint="default" w:ascii="Times New Roman" w:hAnsi="Times New Roman" w:eastAsia="宋体" w:cs="Times New Roman"/>
          <w:b w:val="0"/>
          <w:bCs w:val="0"/>
          <w:i/>
          <w:iCs/>
          <w:sz w:val="24"/>
          <w:szCs w:val="24"/>
          <w:highlight w:val="none"/>
          <w:u w:val="single"/>
        </w:rPr>
        <w:t xml:space="preserve">万，预算总价</w:t>
      </w:r>
      <w:r>
        <w:rPr>
          <w:rFonts w:hint="default" w:ascii="Times New Roman" w:hAnsi="Times New Roman" w:eastAsia="宋体" w:cs="Times New Roman"/>
          <w:b w:val="0"/>
          <w:bCs w:val="0"/>
          <w:i/>
          <w:iCs/>
          <w:sz w:val="24"/>
          <w:szCs w:val="24"/>
          <w:highlight w:val="none"/>
          <w:u w:val="single"/>
          <w:lang w:val="en-US" w:eastAsia="zh-CN"/>
        </w:rPr>
        <w:t xml:space="preserve">10.746</w:t>
      </w:r>
      <w:r>
        <w:rPr>
          <w:rFonts w:hint="default" w:ascii="Times New Roman" w:hAnsi="Times New Roman" w:eastAsia="宋体" w:cs="Times New Roman"/>
          <w:b w:val="0"/>
          <w:bCs w:val="0"/>
          <w:i/>
          <w:iCs/>
          <w:sz w:val="24"/>
          <w:szCs w:val="24"/>
          <w:highlight w:val="none"/>
          <w:u w:val="single"/>
        </w:rPr>
        <w:t xml:space="preserve">万。</w:t>
      </w:r>
      <w:r/>
    </w:p>
    <w:p>
      <w:pPr>
        <w:keepLines w:val="0"/>
        <w:keepNext w:val="0"/>
        <w:pageBreakBefore w:val="0"/>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一、基本描述</w:t>
      </w:r>
      <w:r/>
    </w:p>
    <w:p>
      <w:pPr>
        <w:keepLines w:val="0"/>
        <w:keepNext w:val="0"/>
        <w:pageBreakBefore w:val="0"/>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1、结构组成：由多功能腰斧和腰斧套组成。</w:t>
      </w:r>
      <w:r/>
    </w:p>
    <w:p>
      <w:pPr>
        <w:keepLines w:val="0"/>
        <w:keepNext w:val="0"/>
        <w:pageBreakBefore w:val="0"/>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2、主要应用场景：具备能砍、能凿、能撬等性能，个人防护工具。</w:t>
      </w:r>
      <w:r/>
    </w:p>
    <w:p>
      <w:pPr>
        <w:keepLines w:val="0"/>
        <w:keepNext w:val="0"/>
        <w:pageBreakBefore w:val="0"/>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二、标准规范及检验报告</w:t>
      </w:r>
      <w:r/>
    </w:p>
    <w:p>
      <w:pPr>
        <w:keepLines w:val="0"/>
        <w:keepNext w:val="0"/>
        <w:pageBreakBefore w:val="0"/>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▲3、检测标准依据：符合 XF 630-2023《消防腰斧》标准要求。</w:t>
      </w:r>
      <w:r/>
    </w:p>
    <w:p>
      <w:pPr>
        <w:keepLines w:val="0"/>
        <w:keepNext w:val="0"/>
        <w:pageBreakBefore w:val="0"/>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▲4、提供由国家认可的检测机构出具与所投产品型号一致、完整有效的检验（检测）报告。</w:t>
      </w:r>
      <w:r/>
    </w:p>
    <w:p>
      <w:pPr>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▲5、提供所投产品的消防产品认证证书，出具证书的认证机构应经国务院认证认可监督管理部门批准依法取得相应资质。</w:t>
      </w:r>
      <w:r/>
    </w:p>
    <w:p>
      <w:pPr>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三、基础性能参数</w:t>
      </w:r>
      <w:r/>
    </w:p>
    <w:p>
      <w:pPr>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6、基本尺寸（mm）：全长 285±2.5，斧头长度 160±2.5，斧头厚度 10±1，平刃宽度 56±1.5，柄刃宽度 22±1，撬口宽度 30±1，撬口深度 25±1。</w:t>
      </w:r>
      <w:r/>
    </w:p>
    <w:p>
      <w:pPr>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7、外观要求：腰斧各刃部应抛光，其表面粗糙度 Ra 值≤ 2.0 μm；腰斧金属表面应平整光洁，不应有裂纹、毛刺、凹痕、缺损或有害杂质等缺陷，涂漆部分不应有流痕气泡等缺陷；橡胶斧柄套应无碎渣、气泡、孔隙、夹杂物及其它明显缺陷，表面花纹应清晰。</w:t>
      </w:r>
      <w:r/>
    </w:p>
    <w:p>
      <w:pPr>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8、质量≤1.0kg（不包含腰斧套）。</w:t>
      </w:r>
      <w:r/>
    </w:p>
    <w:p>
      <w:pPr>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9、材质为 45#优质碳素钢，腰斧各刃部和撬口均应经热处理，且其硬度均应达到48HRC-56HRC,刃部热处理长度应 20-40mm,撬口热处理长度应 5-10mm。</w:t>
      </w:r>
      <w:r/>
    </w:p>
    <w:p>
      <w:pPr>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10、抗冲击性能：腰斧各刃部经5kg的重锤冲击后，不应有裂纹、变形等损伤。</w:t>
      </w:r>
      <w:r/>
    </w:p>
    <w:p>
      <w:pPr>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▲11、平刃砍断性能：腰斧平刃应能砍断直径6.5mm的 Q235A 圆钢，应无明显缺刃、卷边和裂纹等影响使用功能的损伤。</w:t>
      </w:r>
      <w:r/>
    </w:p>
    <w:p>
      <w:pPr>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12、尖刃和柄刃凿击性能：腰斧尖刃和柄刃应能凿击Q235A钢平板，应无明显缺刃、卷边和裂纹等影响使用功能的损伤。</w:t>
      </w:r>
      <w:r/>
    </w:p>
    <w:p>
      <w:pPr>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13、耐腐蚀性能：腰斧的金属部分经国际标准48h中性盐雾试验后，外观应符合国家标准外观等级评定轻微级的要求。</w:t>
      </w:r>
      <w:r/>
    </w:p>
    <w:p>
      <w:pPr>
        <w:pStyle w:val="72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r>
      <w:r/>
    </w:p>
    <w:p>
      <w:pPr>
        <w:keepLines w:val="0"/>
        <w:keepNext w:val="0"/>
        <w:pageBreakBefore w:val="0"/>
        <w:spacing w:beforeAutospacing="0" w:afterAutospacing="0" w:line="0" w:lineRule="atLeast"/>
        <w:widowControl w:val="off"/>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 xml:space="preserve">消防安全腰带（2）</w:t>
      </w:r>
      <w:r/>
    </w:p>
    <w:p>
      <w:pPr>
        <w:keepLines w:val="0"/>
        <w:keepNext w:val="0"/>
        <w:pageBreakBefore w:val="0"/>
        <w:spacing w:beforeAutospacing="0" w:afterAutospacing="0" w:line="0" w:lineRule="atLeast"/>
        <w:widowControl w:val="off"/>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b w:val="0"/>
          <w:bCs w:val="0"/>
          <w:color w:val="auto"/>
          <w:sz w:val="24"/>
          <w:szCs w:val="24"/>
        </w:rPr>
        <w:t xml:space="preserve">采购数量</w:t>
      </w:r>
      <w:r>
        <w:rPr>
          <w:rFonts w:hint="default" w:ascii="Times New Roman" w:hAnsi="Times New Roman" w:eastAsia="宋体" w:cs="Times New Roman"/>
          <w:i w:val="0"/>
          <w:iCs w:val="0"/>
          <w:color w:val="auto"/>
          <w:sz w:val="24"/>
          <w:szCs w:val="24"/>
          <w:u w:val="none"/>
          <w:lang w:val="en-US" w:eastAsia="zh-CN" w:bidi="ar"/>
        </w:rPr>
        <w:t xml:space="preserve">805</w:t>
      </w:r>
      <w:r>
        <w:rPr>
          <w:rFonts w:hint="default" w:ascii="Times New Roman" w:hAnsi="Times New Roman" w:eastAsia="宋体" w:cs="Times New Roman"/>
          <w:b w:val="0"/>
          <w:bCs w:val="0"/>
          <w:color w:val="auto"/>
          <w:sz w:val="24"/>
          <w:szCs w:val="24"/>
        </w:rPr>
        <w:t xml:space="preserve">套，</w:t>
      </w:r>
      <w:r>
        <w:rPr>
          <w:rFonts w:hint="default" w:ascii="Times New Roman" w:hAnsi="Times New Roman" w:eastAsia="宋体" w:cs="Times New Roman"/>
          <w:b w:val="0"/>
          <w:bCs w:val="0"/>
          <w:i/>
          <w:iCs/>
          <w:color w:val="auto"/>
          <w:sz w:val="24"/>
          <w:szCs w:val="24"/>
          <w:u w:val="single"/>
        </w:rPr>
        <w:t xml:space="preserve">预算单价</w:t>
      </w:r>
      <w:r>
        <w:rPr>
          <w:rFonts w:hint="default" w:ascii="Times New Roman" w:hAnsi="Times New Roman" w:eastAsia="宋体" w:cs="Times New Roman"/>
          <w:b w:val="0"/>
          <w:bCs w:val="0"/>
          <w:i/>
          <w:iCs/>
          <w:color w:val="auto"/>
          <w:sz w:val="24"/>
          <w:szCs w:val="24"/>
          <w:u w:val="single"/>
          <w:lang w:val="en-US" w:eastAsia="zh-CN"/>
        </w:rPr>
        <w:t xml:space="preserve">0.018</w:t>
      </w:r>
      <w:r>
        <w:rPr>
          <w:rFonts w:hint="default" w:ascii="Times New Roman" w:hAnsi="Times New Roman" w:eastAsia="宋体" w:cs="Times New Roman"/>
          <w:b w:val="0"/>
          <w:bCs w:val="0"/>
          <w:i/>
          <w:iCs/>
          <w:color w:val="auto"/>
          <w:sz w:val="24"/>
          <w:szCs w:val="24"/>
          <w:u w:val="single"/>
        </w:rPr>
        <w:t xml:space="preserve">万，预算总价</w:t>
      </w:r>
      <w:r>
        <w:rPr>
          <w:rFonts w:hint="default" w:ascii="Times New Roman" w:hAnsi="Times New Roman" w:eastAsia="宋体" w:cs="Times New Roman"/>
          <w:b w:val="0"/>
          <w:bCs w:val="0"/>
          <w:i/>
          <w:iCs/>
          <w:color w:val="auto"/>
          <w:sz w:val="24"/>
          <w:szCs w:val="24"/>
          <w:u w:val="single"/>
          <w:lang w:val="en-US" w:eastAsia="zh-CN"/>
        </w:rPr>
        <w:t xml:space="preserve">14.49</w:t>
      </w:r>
      <w:r>
        <w:rPr>
          <w:rFonts w:hint="default" w:ascii="Times New Roman" w:hAnsi="Times New Roman" w:eastAsia="宋体" w:cs="Times New Roman"/>
          <w:b w:val="0"/>
          <w:bCs w:val="0"/>
          <w:i/>
          <w:iCs/>
          <w:color w:val="auto"/>
          <w:sz w:val="24"/>
          <w:szCs w:val="24"/>
          <w:u w:val="single"/>
        </w:rPr>
        <w:t xml:space="preserve">万。</w:t>
      </w:r>
      <w:r/>
    </w:p>
    <w:p>
      <w:pPr>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一、基本描述</w:t>
      </w:r>
      <w:r/>
    </w:p>
    <w:p>
      <w:pPr>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1、结构组成：安全腰带由织带、带扣、D 型环和移动板组成。</w:t>
      </w:r>
      <w:r/>
    </w:p>
    <w:p>
      <w:pPr>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2、主要应用场景：消防员登高作业和逃生自救。</w:t>
      </w:r>
      <w:r/>
    </w:p>
    <w:p>
      <w:pPr>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二、标准规范及检验报告</w:t>
      </w:r>
      <w:r/>
    </w:p>
    <w:p>
      <w:pPr>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▲3、检测标准依据：符合XF494-2023 《消防用防坠落装备》标准。</w:t>
      </w:r>
      <w:r/>
    </w:p>
    <w:p>
      <w:pPr>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▲4、提供由国家认可的检测机构出具与所投产品型号一致、完整有效的检验（检测）报告。</w:t>
      </w:r>
      <w:r/>
    </w:p>
    <w:p>
      <w:pPr>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三、检验报告中可体现的参数</w:t>
      </w:r>
      <w:r/>
    </w:p>
    <w:p>
      <w:pPr>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▲5、织带。尼龙 66 材质，织带为整根，不应有接缝，具有一定硬度，规格为宽 70mm(±2mm)×厚2.5mm(±0.5mm)，末端收尾为整烫圆弧型。</w:t>
      </w:r>
      <w:r/>
    </w:p>
    <w:p>
      <w:pPr>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▲6、带扣。热锻铝 7075 合金材质，阳极氧化处理工艺，规格为长 96mm(±2mm)×宽 90mm(±2mm)×厚 6mm(±1mm)。</w:t>
      </w:r>
      <w:r/>
    </w:p>
    <w:p>
      <w:pPr>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7、扦针：不锈钢 420 材质，双扦针，扦针的长度≥35mm。</w:t>
      </w:r>
      <w:r/>
    </w:p>
    <w:p>
      <w:pPr>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8、扦针：直径应与带扣、扦针孔适配。</w:t>
      </w:r>
      <w:r/>
    </w:p>
    <w:p>
      <w:pPr>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9、D 型环：热锻铝 7075 合金材质，阳极氧化处理工艺，配置两个 D 型环。</w:t>
      </w:r>
      <w:r/>
    </w:p>
    <w:p>
      <w:pPr>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10、D 型环：其中一个 D 型环采用缝合固定，距带扣 100mm(±5mm)处；</w:t>
      </w:r>
      <w:r/>
    </w:p>
    <w:p>
      <w:pPr>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11、D 型环：另一个 D 型环采用移动板和 D 型环组合结构，可自由调节。</w:t>
      </w:r>
      <w:r/>
    </w:p>
    <w:p>
      <w:pPr>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▲12、扦针孔。优质不锈钢材质，直径 12±1mm，距带尾部 200 ±4mm 处成双排六列型式向前等距排列。</w:t>
      </w:r>
      <w:r/>
    </w:p>
    <w:p>
      <w:pPr>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13、移动板。尼龙 66 材质，规格（长×宽×厚）：95mm(±2mm)×65mm(±2mm)×3mm(±0.5mm)。</w:t>
      </w:r>
      <w:r/>
    </w:p>
    <w:p>
      <w:pPr>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14、收带扣。尼龙材质，松紧带缝纫。</w:t>
      </w:r>
      <w:r/>
    </w:p>
    <w:p>
      <w:pPr>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15、缝线。尼龙 66 材质，电脑曲折缝制线迹。</w:t>
      </w:r>
      <w:r/>
    </w:p>
    <w:p>
      <w:pPr>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▲16、型号。分大、中、小三个型号，成品长度分别为 1400mm、1300mm、1200mm。</w:t>
      </w:r>
      <w:r/>
    </w:p>
    <w:p>
      <w:pPr>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17、腰带质量≤0.8kg。</w:t>
      </w:r>
      <w:r/>
    </w:p>
    <w:p>
      <w:pPr>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18、安全腰带设计负荷≥1.33KN。</w:t>
      </w:r>
      <w:r/>
    </w:p>
    <w:p>
      <w:pPr>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19、安全腰带的承重织带宽度应介于40mm~70mm</w:t>
      </w:r>
      <w:r/>
    </w:p>
    <w:p>
      <w:pPr>
        <w:pStyle w:val="72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r>
      <w:r/>
    </w:p>
    <w:p>
      <w:pPr>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r>
      <w:r/>
    </w:p>
    <w:p>
      <w:pPr>
        <w:keepLines w:val="0"/>
        <w:keepNext w:val="0"/>
        <w:pageBreakBefore w:val="0"/>
        <w:spacing w:beforeAutospacing="0" w:afterAutospacing="0" w:line="0" w:lineRule="atLeast"/>
        <w:widowControl w:val="off"/>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 xml:space="preserve">防静电内衣</w:t>
      </w:r>
      <w:r/>
    </w:p>
    <w:p>
      <w:pPr>
        <w:keepLines w:val="0"/>
        <w:keepNext w:val="0"/>
        <w:pageBreakBefore w:val="0"/>
        <w:spacing w:beforeAutospacing="0" w:afterAutospacing="0" w:line="0" w:lineRule="atLeast"/>
        <w:widowControl w:val="off"/>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b w:val="0"/>
          <w:bCs w:val="0"/>
          <w:color w:val="auto"/>
          <w:sz w:val="24"/>
          <w:szCs w:val="24"/>
        </w:rPr>
        <w:t xml:space="preserve">采购数量</w:t>
      </w:r>
      <w:r>
        <w:rPr>
          <w:rFonts w:hint="default" w:ascii="Times New Roman" w:hAnsi="Times New Roman" w:eastAsia="宋体" w:cs="Times New Roman"/>
          <w:i w:val="0"/>
          <w:iCs w:val="0"/>
          <w:color w:val="auto"/>
          <w:sz w:val="24"/>
          <w:szCs w:val="24"/>
          <w:u w:val="none"/>
          <w:lang w:val="en-US" w:eastAsia="zh-CN" w:bidi="ar"/>
        </w:rPr>
        <w:t xml:space="preserve">182</w:t>
      </w:r>
      <w:r>
        <w:rPr>
          <w:rFonts w:hint="default" w:ascii="Times New Roman" w:hAnsi="Times New Roman" w:eastAsia="宋体" w:cs="Times New Roman"/>
          <w:b w:val="0"/>
          <w:bCs w:val="0"/>
          <w:color w:val="auto"/>
          <w:sz w:val="24"/>
          <w:szCs w:val="24"/>
        </w:rPr>
        <w:t xml:space="preserve">套，</w:t>
      </w:r>
      <w:r>
        <w:rPr>
          <w:rFonts w:hint="default" w:ascii="Times New Roman" w:hAnsi="Times New Roman" w:eastAsia="宋体" w:cs="Times New Roman"/>
          <w:b w:val="0"/>
          <w:bCs w:val="0"/>
          <w:i/>
          <w:iCs/>
          <w:color w:val="auto"/>
          <w:sz w:val="24"/>
          <w:szCs w:val="24"/>
          <w:u w:val="single"/>
        </w:rPr>
        <w:t xml:space="preserve">预算单价</w:t>
      </w:r>
      <w:r>
        <w:rPr>
          <w:rFonts w:hint="default" w:ascii="Times New Roman" w:hAnsi="Times New Roman" w:eastAsia="宋体" w:cs="Times New Roman"/>
          <w:b w:val="0"/>
          <w:bCs w:val="0"/>
          <w:i/>
          <w:iCs/>
          <w:color w:val="auto"/>
          <w:sz w:val="24"/>
          <w:szCs w:val="24"/>
          <w:u w:val="single"/>
          <w:lang w:val="en-US" w:eastAsia="zh-CN"/>
        </w:rPr>
        <w:t xml:space="preserve">0.014</w:t>
      </w:r>
      <w:r>
        <w:rPr>
          <w:rFonts w:hint="default" w:ascii="Times New Roman" w:hAnsi="Times New Roman" w:eastAsia="宋体" w:cs="Times New Roman"/>
          <w:b w:val="0"/>
          <w:bCs w:val="0"/>
          <w:i/>
          <w:iCs/>
          <w:color w:val="auto"/>
          <w:sz w:val="24"/>
          <w:szCs w:val="24"/>
          <w:u w:val="single"/>
        </w:rPr>
        <w:t xml:space="preserve">万，预算总价</w:t>
      </w:r>
      <w:r>
        <w:rPr>
          <w:rFonts w:hint="default" w:ascii="Times New Roman" w:hAnsi="Times New Roman" w:eastAsia="宋体" w:cs="Times New Roman"/>
          <w:b w:val="0"/>
          <w:bCs w:val="0"/>
          <w:i/>
          <w:iCs/>
          <w:color w:val="auto"/>
          <w:sz w:val="24"/>
          <w:szCs w:val="24"/>
          <w:u w:val="single"/>
          <w:lang w:val="en-US" w:eastAsia="zh-CN"/>
        </w:rPr>
        <w:t xml:space="preserve">2.548</w:t>
      </w:r>
      <w:r>
        <w:rPr>
          <w:rFonts w:hint="default" w:ascii="Times New Roman" w:hAnsi="Times New Roman" w:eastAsia="宋体" w:cs="Times New Roman"/>
          <w:b w:val="0"/>
          <w:bCs w:val="0"/>
          <w:i/>
          <w:iCs/>
          <w:color w:val="auto"/>
          <w:sz w:val="24"/>
          <w:szCs w:val="24"/>
          <w:u w:val="single"/>
        </w:rPr>
        <w:t xml:space="preserve">万。</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一、基本描述</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1、结构组成：由纯棉织物并经过防静电处理而成，具有透气、吸汗、防静电、阻燃等性能。</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2、主要应用场景：用于可燃气体、粉尘、蒸汽等易燃易爆场所作业时身体内层防护。</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二、标准规范及检验报告</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▲3、检测标准依据：符合 GB12014-2019《防静电服》标准。</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▲4、提供由国家认可的检测机构出具与所投产品型号一致、完整有效的检验（检测）报告。</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三、基础性能参数</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5、点对点电阻1×10⁷~1×10¹¹Ω</w:t>
      </w:r>
      <w:r>
        <w:rPr>
          <w:rFonts w:hint="eastAsia" w:ascii="Times New Roman" w:hAnsi="Times New Roman" w:cs="Times New Roman"/>
          <w:sz w:val="24"/>
          <w:szCs w:val="24"/>
          <w:lang w:val="en-US" w:eastAsia="zh-CN"/>
        </w:rPr>
        <w:t xml:space="preserve">。</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6、甲醛含量：直接接触皮肤≤75mg/kg ，非直接接触皮肤≤300mg/kg。</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7、pH值4.0∽8.5。</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▲8、透气率≥30mm/s。</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9、耐水色牢度/级(变色/沾色)≥3-4。</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10、耐干摩擦色牢度/级≥3-4。</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▲11、带电电荷量0.20~0.60μC/件。</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▲12、顶破强力≥250N。</w:t>
      </w:r>
      <w:r/>
    </w:p>
    <w:p>
      <w:pPr>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r>
      <w:r/>
    </w:p>
    <w:p>
      <w:pPr>
        <w:keepLines w:val="0"/>
        <w:keepNext w:val="0"/>
        <w:pageBreakBefore w:val="0"/>
        <w:spacing w:beforeAutospacing="0" w:afterAutospacing="0" w:line="0" w:lineRule="atLeast"/>
        <w:widowControl w:val="off"/>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 xml:space="preserve">消防员灭火防护头套 （核心产品） </w:t>
      </w:r>
      <w:r/>
    </w:p>
    <w:p>
      <w:pPr>
        <w:keepLines w:val="0"/>
        <w:keepNext w:val="0"/>
        <w:pageBreakBefore w:val="0"/>
        <w:spacing w:beforeAutospacing="0" w:afterAutospacing="0" w:line="0" w:lineRule="atLeast"/>
        <w:widowControl w:val="off"/>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b w:val="0"/>
          <w:bCs w:val="0"/>
          <w:color w:val="auto"/>
          <w:sz w:val="24"/>
          <w:szCs w:val="24"/>
        </w:rPr>
        <w:t xml:space="preserve">采购数量</w:t>
      </w:r>
      <w:r>
        <w:rPr>
          <w:rFonts w:hint="default" w:ascii="Times New Roman" w:hAnsi="Times New Roman" w:eastAsia="宋体" w:cs="Times New Roman"/>
          <w:i w:val="0"/>
          <w:iCs w:val="0"/>
          <w:color w:val="auto"/>
          <w:sz w:val="24"/>
          <w:szCs w:val="24"/>
          <w:u w:val="none"/>
          <w:lang w:val="en-US" w:eastAsia="zh-CN" w:bidi="ar"/>
        </w:rPr>
        <w:t xml:space="preserve">2350</w:t>
      </w:r>
      <w:r>
        <w:rPr>
          <w:rFonts w:hint="default" w:ascii="Times New Roman" w:hAnsi="Times New Roman" w:eastAsia="宋体" w:cs="Times New Roman"/>
          <w:b w:val="0"/>
          <w:bCs w:val="0"/>
          <w:color w:val="auto"/>
          <w:sz w:val="24"/>
          <w:szCs w:val="24"/>
        </w:rPr>
        <w:t xml:space="preserve">套，</w:t>
      </w:r>
      <w:r>
        <w:rPr>
          <w:rFonts w:hint="default" w:ascii="Times New Roman" w:hAnsi="Times New Roman" w:eastAsia="宋体" w:cs="Times New Roman"/>
          <w:b w:val="0"/>
          <w:bCs w:val="0"/>
          <w:i/>
          <w:iCs/>
          <w:color w:val="auto"/>
          <w:sz w:val="24"/>
          <w:szCs w:val="24"/>
          <w:u w:val="single"/>
        </w:rPr>
        <w:t xml:space="preserve">预算单价</w:t>
      </w:r>
      <w:r>
        <w:rPr>
          <w:rFonts w:hint="default" w:ascii="Times New Roman" w:hAnsi="Times New Roman" w:eastAsia="宋体" w:cs="Times New Roman"/>
          <w:b w:val="0"/>
          <w:bCs w:val="0"/>
          <w:i/>
          <w:iCs/>
          <w:color w:val="auto"/>
          <w:sz w:val="24"/>
          <w:szCs w:val="24"/>
          <w:u w:val="single"/>
          <w:lang w:val="en-US" w:eastAsia="zh-CN"/>
        </w:rPr>
        <w:t xml:space="preserve">0.012</w:t>
      </w:r>
      <w:r>
        <w:rPr>
          <w:rFonts w:hint="default" w:ascii="Times New Roman" w:hAnsi="Times New Roman" w:eastAsia="宋体" w:cs="Times New Roman"/>
          <w:b w:val="0"/>
          <w:bCs w:val="0"/>
          <w:i/>
          <w:iCs/>
          <w:color w:val="auto"/>
          <w:sz w:val="24"/>
          <w:szCs w:val="24"/>
          <w:u w:val="single"/>
        </w:rPr>
        <w:t xml:space="preserve">万，预算总价</w:t>
      </w:r>
      <w:r>
        <w:rPr>
          <w:rFonts w:hint="default" w:ascii="Times New Roman" w:hAnsi="Times New Roman" w:eastAsia="宋体" w:cs="Times New Roman"/>
          <w:b w:val="0"/>
          <w:bCs w:val="0"/>
          <w:i/>
          <w:iCs/>
          <w:color w:val="auto"/>
          <w:sz w:val="24"/>
          <w:szCs w:val="24"/>
          <w:u w:val="single"/>
          <w:lang w:val="en-US" w:eastAsia="zh-CN"/>
        </w:rPr>
        <w:t xml:space="preserve">28.2</w:t>
      </w:r>
      <w:r>
        <w:rPr>
          <w:rFonts w:hint="default" w:ascii="Times New Roman" w:hAnsi="Times New Roman" w:eastAsia="宋体" w:cs="Times New Roman"/>
          <w:b w:val="0"/>
          <w:bCs w:val="0"/>
          <w:i/>
          <w:iCs/>
          <w:color w:val="auto"/>
          <w:sz w:val="24"/>
          <w:szCs w:val="24"/>
          <w:u w:val="single"/>
        </w:rPr>
        <w:t xml:space="preserve">万。</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一、基本描述</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1、结构组成：采用芳纶等本质阻燃材料制成，原材料采用原浆染色，洗涤不脱色。 </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2、主要应用场景：用于消防灭火作业时头部、侧面及颈部保护，免受火焰或高温烫伤。</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二、标准规范及检验报告</w:t>
      </w:r>
      <w:r/>
    </w:p>
    <w:p>
      <w:pPr>
        <w:pStyle w:val="720"/>
        <w:ind w:left="0" w:firstLine="0"/>
        <w:keepLines w:val="0"/>
        <w:keepNext w:val="0"/>
        <w:pageBreakBefore w:val="0"/>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sz w:val="24"/>
          <w:szCs w:val="24"/>
          <w:lang w:val="en-US" w:eastAsia="zh-CN"/>
        </w:rPr>
        <w:t xml:space="preserve">▲3、检测标准依据：符</w:t>
      </w:r>
      <w:r>
        <w:rPr>
          <w:rFonts w:hint="default" w:ascii="Times New Roman" w:hAnsi="Times New Roman" w:eastAsia="宋体" w:cs="Times New Roman"/>
          <w:color w:val="auto"/>
          <w:sz w:val="24"/>
          <w:szCs w:val="24"/>
          <w:highlight w:val="none"/>
          <w:lang w:val="en-US" w:eastAsia="zh-CN"/>
        </w:rPr>
        <w:t xml:space="preserve">合XF869-2010《消防员灭火防护头套》标准。</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▲4、提供由国家认可的检测机构出具与所投产品型号一致、完整有效的检验（检测）</w:t>
      </w:r>
      <w:r>
        <w:rPr>
          <w:rFonts w:hint="eastAsia" w:ascii="Times New Roman" w:hAnsi="Times New Roman" w:cs="Times New Roman"/>
          <w:sz w:val="24"/>
          <w:szCs w:val="24"/>
          <w:lang w:val="en-US" w:eastAsia="zh-CN"/>
        </w:rPr>
        <w:t xml:space="preserve">报告</w:t>
      </w:r>
      <w:r>
        <w:rPr>
          <w:rFonts w:hint="default" w:ascii="Times New Roman" w:hAnsi="Times New Roman" w:eastAsia="宋体" w:cs="Times New Roman"/>
          <w:sz w:val="24"/>
          <w:szCs w:val="24"/>
          <w:lang w:val="en-US" w:eastAsia="zh-CN"/>
        </w:rPr>
        <w:t xml:space="preserve">。</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三、基础性能参数</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5、保护区域：头套前部与防护服领口内重叠的长度≥200mm, 头套后部与防护服领口内重叠的长度≥200mm，头套侧部与防护服领口内重叠的长度≥130mm。</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6、面部开口边缘与呼吸防护装具面罩重叠长度≥10mm。 </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7、面料性能：</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▲7.1阻燃性能：经向续燃时间≤0s，损毁长度≤25mm，无熔融、滴落现象；纬向续燃时间≤0s，纬向损毁长度≤20mm，无熔融、滴落现象。 </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  7.2经热稳定性能试验后沿经、纬方向尺寸变化率为≤2%，试样表面无变色、熔融和滴落等明显变化。 </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  7.3水洗尺寸变化率直向≤3.5%，横向≤2%。 </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  7.4单位面积质量：两层或两层以上≥200g/㎡。 面料抗起球等级≥4级。</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  7.</w:t>
      </w:r>
      <w:r>
        <w:rPr>
          <w:rFonts w:hint="eastAsia" w:ascii="Times New Roman" w:hAnsi="Times New Roman" w:cs="Times New Roman"/>
          <w:sz w:val="24"/>
          <w:szCs w:val="24"/>
          <w:lang w:val="en-US" w:eastAsia="zh-CN"/>
        </w:rPr>
        <w:t xml:space="preserve">5</w:t>
      </w:r>
      <w:r>
        <w:rPr>
          <w:rFonts w:hint="default" w:ascii="Times New Roman" w:hAnsi="Times New Roman" w:eastAsia="宋体" w:cs="Times New Roman"/>
          <w:sz w:val="24"/>
          <w:szCs w:val="24"/>
          <w:lang w:val="en-US" w:eastAsia="zh-CN"/>
        </w:rPr>
        <w:t xml:space="preserve">PH值≤7。</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7.6甲醛含量：未检出。 </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8、缝纫线耐高温性能：无熔融、炭化的现象。 </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9、整体性能： </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 ▲9.1接缝强力≥800N。 </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   9.2针距密度：缝制明暗线每3cm≥14针。 </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 ▲9.3质量≤160g。</w:t>
      </w:r>
      <w:r/>
    </w:p>
    <w:p>
      <w:pPr>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r>
      <w:r/>
    </w:p>
    <w:p>
      <w:pPr>
        <w:keepLines w:val="0"/>
        <w:keepNext w:val="0"/>
        <w:pageBreakBefore w:val="0"/>
        <w:spacing w:beforeAutospacing="0" w:afterAutospacing="0" w:line="0" w:lineRule="atLeast"/>
        <w:widowControl w:val="off"/>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分包</w:t>
      </w:r>
      <w:r>
        <w:rPr>
          <w:rFonts w:hint="default" w:ascii="Times New Roman" w:hAnsi="Times New Roman" w:eastAsia="宋体" w:cs="Times New Roman"/>
          <w:b/>
          <w:bCs/>
          <w:sz w:val="24"/>
          <w:szCs w:val="24"/>
          <w:lang w:val="en-US" w:eastAsia="zh-CN"/>
        </w:rPr>
        <w:t xml:space="preserve">2</w:t>
      </w:r>
      <w:r>
        <w:rPr>
          <w:rFonts w:hint="default" w:ascii="Times New Roman" w:hAnsi="Times New Roman" w:eastAsia="宋体" w:cs="Times New Roman"/>
          <w:b/>
          <w:bCs/>
          <w:sz w:val="24"/>
          <w:szCs w:val="24"/>
        </w:rPr>
        <w:t xml:space="preserve">：消防手套（2）</w:t>
      </w:r>
      <w:r/>
    </w:p>
    <w:p>
      <w:pPr>
        <w:keepLines w:val="0"/>
        <w:keepNext w:val="0"/>
        <w:pageBreakBefore w:val="0"/>
        <w:spacing w:beforeAutospacing="0" w:afterAutospacing="0" w:line="0" w:lineRule="atLeast"/>
        <w:widowControl w:val="off"/>
        <w:rPr>
          <w:rFonts w:hint="default" w:ascii="Times New Roman" w:hAnsi="Times New Roman" w:eastAsia="宋体" w:cs="Times New Roman"/>
          <w:sz w:val="24"/>
          <w:szCs w:val="24"/>
        </w:rPr>
      </w:pPr>
      <w:r>
        <w:rPr>
          <w:rFonts w:hint="default" w:ascii="Times New Roman" w:hAnsi="Times New Roman" w:eastAsia="宋体" w:cs="Times New Roman"/>
          <w:b w:val="0"/>
          <w:bCs w:val="0"/>
          <w:color w:val="auto"/>
          <w:sz w:val="24"/>
          <w:szCs w:val="24"/>
        </w:rPr>
        <w:t xml:space="preserve">采购数量</w:t>
      </w:r>
      <w:r>
        <w:rPr>
          <w:rFonts w:hint="default" w:ascii="Times New Roman" w:hAnsi="Times New Roman" w:eastAsia="宋体" w:cs="Times New Roman"/>
          <w:i w:val="0"/>
          <w:iCs w:val="0"/>
          <w:color w:val="000000"/>
          <w:sz w:val="24"/>
          <w:szCs w:val="24"/>
          <w:u w:val="none"/>
          <w:lang w:val="en-US" w:eastAsia="zh-CN" w:bidi="ar"/>
        </w:rPr>
        <w:t xml:space="preserve">1617</w:t>
      </w:r>
      <w:r>
        <w:rPr>
          <w:rFonts w:hint="default" w:ascii="Times New Roman" w:hAnsi="Times New Roman" w:eastAsia="宋体" w:cs="Times New Roman"/>
          <w:b w:val="0"/>
          <w:bCs w:val="0"/>
          <w:color w:val="auto"/>
          <w:sz w:val="24"/>
          <w:szCs w:val="24"/>
        </w:rPr>
        <w:t xml:space="preserve">套，</w:t>
      </w:r>
      <w:r>
        <w:rPr>
          <w:rFonts w:hint="default" w:ascii="Times New Roman" w:hAnsi="Times New Roman" w:eastAsia="宋体" w:cs="Times New Roman"/>
          <w:b w:val="0"/>
          <w:bCs w:val="0"/>
          <w:i/>
          <w:iCs/>
          <w:color w:val="auto"/>
          <w:sz w:val="24"/>
          <w:szCs w:val="24"/>
          <w:u w:val="single"/>
        </w:rPr>
        <w:t xml:space="preserve">预算单价</w:t>
      </w:r>
      <w:r>
        <w:rPr>
          <w:rFonts w:hint="default" w:ascii="Times New Roman" w:hAnsi="Times New Roman" w:eastAsia="宋体" w:cs="Times New Roman"/>
          <w:b w:val="0"/>
          <w:bCs w:val="0"/>
          <w:i/>
          <w:iCs/>
          <w:color w:val="auto"/>
          <w:sz w:val="24"/>
          <w:szCs w:val="24"/>
          <w:u w:val="single"/>
          <w:lang w:val="en-US" w:eastAsia="zh-CN"/>
        </w:rPr>
        <w:t xml:space="preserve">0.03</w:t>
      </w:r>
      <w:r>
        <w:rPr>
          <w:rFonts w:hint="default" w:ascii="Times New Roman" w:hAnsi="Times New Roman" w:eastAsia="宋体" w:cs="Times New Roman"/>
          <w:b w:val="0"/>
          <w:bCs w:val="0"/>
          <w:i/>
          <w:iCs/>
          <w:color w:val="auto"/>
          <w:sz w:val="24"/>
          <w:szCs w:val="24"/>
          <w:u w:val="single"/>
        </w:rPr>
        <w:t xml:space="preserve">万，预算总价</w:t>
      </w:r>
      <w:r>
        <w:rPr>
          <w:rFonts w:hint="default" w:ascii="Times New Roman" w:hAnsi="Times New Roman" w:eastAsia="宋体" w:cs="Times New Roman"/>
          <w:b w:val="0"/>
          <w:bCs w:val="0"/>
          <w:i/>
          <w:iCs/>
          <w:color w:val="auto"/>
          <w:sz w:val="24"/>
          <w:szCs w:val="24"/>
          <w:u w:val="single"/>
          <w:lang w:val="en-US" w:eastAsia="zh-CN"/>
        </w:rPr>
        <w:t xml:space="preserve">48.51</w:t>
      </w:r>
      <w:r>
        <w:rPr>
          <w:rFonts w:hint="default" w:ascii="Times New Roman" w:hAnsi="Times New Roman" w:eastAsia="宋体" w:cs="Times New Roman"/>
          <w:b w:val="0"/>
          <w:bCs w:val="0"/>
          <w:i/>
          <w:iCs/>
          <w:color w:val="auto"/>
          <w:sz w:val="24"/>
          <w:szCs w:val="24"/>
          <w:u w:val="single"/>
        </w:rPr>
        <w:t xml:space="preserve">万。</w:t>
      </w:r>
      <w:r/>
    </w:p>
    <w:p>
      <w:pPr>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一、基本描述</w:t>
      </w:r>
      <w:r/>
    </w:p>
    <w:p>
      <w:pPr>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1、结构组成：由外层（采用阻燃牛皮），防水层，隔热层，衬里结构。</w:t>
      </w:r>
      <w:r/>
    </w:p>
    <w:p>
      <w:pPr>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2、主要应用场景：用于灭火救援作业中的手部及腕部防护。</w:t>
      </w:r>
      <w:r/>
    </w:p>
    <w:p>
      <w:pPr>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二、标准规范及检验报告</w:t>
      </w:r>
      <w:r/>
    </w:p>
    <w:p>
      <w:pPr>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▲3、检测标准依据：符合XF7-2004《消防手套》标准</w:t>
      </w:r>
      <w:r/>
    </w:p>
    <w:p>
      <w:pPr>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▲4、提供由国家认可的检测机构出具与所投产品型号一致、完整有效的检验（检测）报告（报告中带有CMA标识）。</w:t>
      </w:r>
      <w:r/>
    </w:p>
    <w:p>
      <w:pPr>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▲5、提供所投产品的消防产品认证证书，出具证书的认证机构应经国务院认证认可监督管理部门批准依法取得相应资质。</w:t>
      </w:r>
      <w:r/>
    </w:p>
    <w:p>
      <w:pPr>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三、基础性能参数</w:t>
      </w:r>
      <w:r/>
    </w:p>
    <w:p>
      <w:pPr>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6、阻燃性能：手掌、手背阴燃和续燃时间为0s，手套外层掌心面损毁长度经向≤10mm；纬向≤11mm；手套外层手背损毁长度经向≤10mm，纬向≤11mm；</w:t>
      </w:r>
      <w:r/>
    </w:p>
    <w:p>
      <w:pPr>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▲7、整体热防护性能(TPP)≥60(cal/cm²)。</w:t>
      </w:r>
      <w:r/>
    </w:p>
    <w:p>
      <w:pPr>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8、力学性能：</w:t>
      </w:r>
      <w:r/>
    </w:p>
    <w:p>
      <w:pPr>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8.1 耐磨性能（循环次数）：掌心＞2000，背面＞2000；</w:t>
      </w:r>
      <w:r/>
    </w:p>
    <w:p>
      <w:pPr>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8.2 割破力：掌心＞15.0N，背面＞15.0N；</w:t>
      </w:r>
      <w:r/>
    </w:p>
    <w:p>
      <w:pPr>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▲8.3 撕破强力：掌心≥100N，背面≥100N；</w:t>
      </w:r>
      <w:r/>
    </w:p>
    <w:p>
      <w:pPr>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▲8.4 刺穿力：掌心≥120N，背面≥120N。</w:t>
      </w:r>
      <w:r/>
    </w:p>
    <w:p>
      <w:pPr>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9、阻隔性能：</w:t>
      </w:r>
      <w:r/>
    </w:p>
    <w:p>
      <w:pPr>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9.1 耐静水压性能：手套防水层和其线缝在静水压 7kPa 下试验 5min 后，不出现水滴；</w:t>
      </w:r>
      <w:r/>
    </w:p>
    <w:p>
      <w:pPr>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9.2 整体防水性能：无渗漏。</w:t>
      </w:r>
      <w:r/>
    </w:p>
    <w:p>
      <w:pPr>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10、人体工效要求：</w:t>
      </w:r>
      <w:r/>
    </w:p>
    <w:p>
      <w:pPr>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10.1 灵巧性能（mm）：30s内3次拾取钢棒直径≤6.5mm；</w:t>
      </w:r>
      <w:r/>
    </w:p>
    <w:p>
      <w:pPr>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10.2 握紧性能（%）：拉重力比≥85%；穿戴性能（s）：穿戴时间≤2.5s。</w:t>
      </w:r>
      <w:r/>
    </w:p>
    <w:p>
      <w:pPr>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11、主体颜色为藏青色、黄银黄反光带，立体裁剪，翻指式指尖合缝，各层厚薄均匀，有灵巧舒适、防割、耐磨、防穿刺、防火阻燃、防水等功能。</w:t>
      </w:r>
      <w:r/>
    </w:p>
    <w:p>
      <w:pPr>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▲12、外层手掌材料采用牛皮，手背材料采用芳纶梭织布，防水材料采用防水透气膜，隔热层材料采用芳纶抗静电针织布，手腕处添加有腕带收紧，手背添加有防护软壳。</w:t>
      </w:r>
      <w:r/>
    </w:p>
    <w:p>
      <w:pPr>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pStyle w:val="72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r>
      <w:r/>
    </w:p>
    <w:p>
      <w:pPr>
        <w:keepLines w:val="0"/>
        <w:keepNext w:val="0"/>
        <w:pageBreakBefore w:val="0"/>
        <w:spacing w:beforeAutospacing="0" w:afterAutospacing="0" w:line="0" w:lineRule="atLeast"/>
        <w:widowControl w:val="off"/>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rPr>
        <w:t xml:space="preserve">分包</w:t>
      </w:r>
      <w:r>
        <w:rPr>
          <w:rFonts w:hint="default" w:ascii="Times New Roman" w:hAnsi="Times New Roman" w:eastAsia="宋体" w:cs="Times New Roman"/>
          <w:b/>
          <w:bCs/>
          <w:sz w:val="24"/>
          <w:szCs w:val="24"/>
          <w:lang w:val="en-US" w:eastAsia="zh-CN"/>
        </w:rPr>
        <w:t xml:space="preserve">3</w:t>
      </w:r>
      <w:r>
        <w:rPr>
          <w:rFonts w:hint="default" w:ascii="Times New Roman" w:hAnsi="Times New Roman" w:eastAsia="宋体" w:cs="Times New Roman"/>
          <w:b/>
          <w:bCs/>
          <w:sz w:val="24"/>
          <w:szCs w:val="24"/>
        </w:rPr>
        <w:t xml:space="preserve">：便携式 PDT 集群基站</w:t>
      </w:r>
      <w:r>
        <w:rPr>
          <w:rFonts w:hint="default" w:ascii="Times New Roman" w:hAnsi="Times New Roman" w:eastAsia="宋体" w:cs="Times New Roman"/>
          <w:b/>
          <w:bCs/>
          <w:sz w:val="24"/>
          <w:szCs w:val="24"/>
          <w:lang w:val="en-US" w:eastAsia="zh-CN"/>
        </w:rPr>
        <w:t xml:space="preserve">等</w:t>
      </w:r>
      <w:r/>
    </w:p>
    <w:p>
      <w:pPr>
        <w:keepLines w:val="0"/>
        <w:keepNext w:val="0"/>
        <w:pageBreakBefore w:val="0"/>
        <w:spacing w:beforeAutospacing="0" w:afterAutospacing="0" w:line="0" w:lineRule="atLeast"/>
        <w:widowControl w:val="off"/>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便携式 PDT 集群基站（核心产品）</w:t>
      </w:r>
      <w:r/>
    </w:p>
    <w:p>
      <w:pPr>
        <w:keepLines w:val="0"/>
        <w:keepNext w:val="0"/>
        <w:pageBreakBefore w:val="0"/>
        <w:spacing w:beforeAutospacing="0" w:afterAutospacing="0" w:line="0" w:lineRule="atLeast"/>
        <w:widowControl w:val="off"/>
        <w:rPr>
          <w:rFonts w:hint="default" w:ascii="Times New Roman" w:hAnsi="Times New Roman" w:eastAsia="宋体" w:cs="Times New Roman"/>
          <w:sz w:val="24"/>
          <w:szCs w:val="24"/>
        </w:rPr>
      </w:pPr>
      <w:r>
        <w:rPr>
          <w:rFonts w:hint="default" w:ascii="Times New Roman" w:hAnsi="Times New Roman" w:eastAsia="宋体" w:cs="Times New Roman"/>
          <w:b w:val="0"/>
          <w:bCs w:val="0"/>
          <w:color w:val="auto"/>
          <w:sz w:val="24"/>
          <w:szCs w:val="24"/>
        </w:rPr>
        <w:t xml:space="preserve">采购数量</w:t>
      </w:r>
      <w:r>
        <w:rPr>
          <w:rFonts w:hint="default" w:ascii="Times New Roman" w:hAnsi="Times New Roman" w:eastAsia="宋体" w:cs="Times New Roman"/>
          <w:i w:val="0"/>
          <w:iCs w:val="0"/>
          <w:color w:val="000000"/>
          <w:sz w:val="24"/>
          <w:szCs w:val="24"/>
          <w:u w:val="none"/>
          <w:lang w:val="en-US" w:eastAsia="zh-CN" w:bidi="ar"/>
        </w:rPr>
        <w:t xml:space="preserve">1</w:t>
      </w:r>
      <w:r>
        <w:rPr>
          <w:rFonts w:hint="default" w:ascii="Times New Roman" w:hAnsi="Times New Roman" w:eastAsia="宋体" w:cs="Times New Roman"/>
          <w:b w:val="0"/>
          <w:bCs w:val="0"/>
          <w:color w:val="auto"/>
          <w:sz w:val="24"/>
          <w:szCs w:val="24"/>
        </w:rPr>
        <w:t xml:space="preserve">套，</w:t>
      </w:r>
      <w:r>
        <w:rPr>
          <w:rFonts w:hint="default" w:ascii="Times New Roman" w:hAnsi="Times New Roman" w:eastAsia="宋体" w:cs="Times New Roman"/>
          <w:b w:val="0"/>
          <w:bCs w:val="0"/>
          <w:i/>
          <w:iCs/>
          <w:color w:val="auto"/>
          <w:sz w:val="24"/>
          <w:szCs w:val="24"/>
          <w:u w:val="single"/>
        </w:rPr>
        <w:t xml:space="preserve">预算单价</w:t>
      </w:r>
      <w:r>
        <w:rPr>
          <w:rFonts w:hint="default" w:ascii="Times New Roman" w:hAnsi="Times New Roman" w:eastAsia="宋体" w:cs="Times New Roman"/>
          <w:b w:val="0"/>
          <w:bCs w:val="0"/>
          <w:i/>
          <w:iCs/>
          <w:color w:val="auto"/>
          <w:sz w:val="24"/>
          <w:szCs w:val="24"/>
          <w:u w:val="single"/>
          <w:lang w:val="en-US" w:eastAsia="zh-CN"/>
        </w:rPr>
        <w:t xml:space="preserve">27</w:t>
      </w:r>
      <w:r>
        <w:rPr>
          <w:rFonts w:hint="default" w:ascii="Times New Roman" w:hAnsi="Times New Roman" w:eastAsia="宋体" w:cs="Times New Roman"/>
          <w:b w:val="0"/>
          <w:bCs w:val="0"/>
          <w:i/>
          <w:iCs/>
          <w:color w:val="auto"/>
          <w:sz w:val="24"/>
          <w:szCs w:val="24"/>
          <w:u w:val="single"/>
        </w:rPr>
        <w:t xml:space="preserve">万，预算总价</w:t>
      </w:r>
      <w:r>
        <w:rPr>
          <w:rFonts w:hint="default" w:ascii="Times New Roman" w:hAnsi="Times New Roman" w:eastAsia="宋体" w:cs="Times New Roman"/>
          <w:b w:val="0"/>
          <w:bCs w:val="0"/>
          <w:i/>
          <w:iCs/>
          <w:color w:val="auto"/>
          <w:sz w:val="24"/>
          <w:szCs w:val="24"/>
          <w:u w:val="single"/>
          <w:lang w:val="en-US" w:eastAsia="zh-CN"/>
        </w:rPr>
        <w:t xml:space="preserve">27</w:t>
      </w:r>
      <w:r>
        <w:rPr>
          <w:rFonts w:hint="default" w:ascii="Times New Roman" w:hAnsi="Times New Roman" w:eastAsia="宋体" w:cs="Times New Roman"/>
          <w:b w:val="0"/>
          <w:bCs w:val="0"/>
          <w:i/>
          <w:iCs/>
          <w:color w:val="auto"/>
          <w:sz w:val="24"/>
          <w:szCs w:val="24"/>
          <w:u w:val="single"/>
        </w:rPr>
        <w:t xml:space="preserve">万。</w:t>
      </w:r>
      <w:r/>
    </w:p>
    <w:p>
      <w:pPr>
        <w:pStyle w:val="720"/>
        <w:ind w:left="0" w:firstLine="0"/>
        <w:keepLines w:val="0"/>
        <w:keepNext w:val="0"/>
        <w:pageBreakBefore w:val="0"/>
        <w:widowControl w:val="off"/>
        <w:rPr>
          <w:rFonts w:hint="default" w:ascii="Times New Roman" w:hAnsi="Times New Roman" w:eastAsia="宋体" w:cs="Times New Roman"/>
          <w:i/>
          <w:iCs/>
          <w:sz w:val="24"/>
          <w:szCs w:val="24"/>
          <w:u w:val="single"/>
          <w:lang w:val="en-US" w:eastAsia="zh-CN"/>
        </w:rPr>
      </w:pPr>
      <w:r>
        <w:rPr>
          <w:rFonts w:hint="default" w:ascii="Times New Roman" w:hAnsi="Times New Roman" w:eastAsia="宋体" w:cs="Times New Roman"/>
          <w:sz w:val="24"/>
          <w:szCs w:val="24"/>
          <w:lang w:val="en-US" w:eastAsia="zh-CN"/>
        </w:rPr>
        <w:t xml:space="preserve">1、</w:t>
      </w:r>
      <w:r>
        <w:rPr>
          <w:rFonts w:hint="default" w:ascii="Times New Roman" w:hAnsi="Times New Roman" w:eastAsia="宋体" w:cs="Times New Roman"/>
          <w:i/>
          <w:iCs/>
          <w:sz w:val="24"/>
          <w:szCs w:val="24"/>
          <w:u w:val="single"/>
          <w:lang w:val="en-US" w:eastAsia="zh-CN"/>
        </w:rPr>
        <w:t xml:space="preserve">无线电发射设备型号核准证：应具有中华人民共和国工业和信息化部颁发的《无线电发射设备型号核准证》（型号核准证证书必须在有效期内）</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▲2、网络接入：基站支持链路自动切换功能，支持无线链路和有线链路自动切换，可通过手动设置链路优先级，当主链路故障时，自动切换到备链路，切换时间&lt;60S</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▲3、无线网络：内置4G/5G全网通模块，或额外配备设备支持4G/5G全网通无线接入，支持VPN网络配置</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4、制式：至少支持PDT</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▲5、载频数：支持 2 载频，并可扩容至4 载频</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6、专网频段：350-400MHz</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7、基站重量：≤10kg（含电池），支持背负使用，配备背负背包</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8、防护等级：≥IP67</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9、发射机性能：频率误差≤0.05ppm；占用带宽≤8.5KHz</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10、接收机性能：邻信道选择≥60dB；互调响应抑制≥70dB；共信道抑制 ≤-12dB</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11、续航时间：≥4h</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12、定位功能：支持北斗定位</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▲13、系统接入：需承诺支持接入江苏省应急管理厅370M 集群系统管理，实现单呼、组呼、卫星定位通话、呼叫限时和短消息、现场调度、按组改频、网管配置等功能（接入标准详见《GA/T 1364-2017警用数字集群(PDT)通信系统互联技术规范》）</w:t>
      </w:r>
      <w:r/>
    </w:p>
    <w:p>
      <w:pPr>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r>
      <w:r/>
    </w:p>
    <w:p>
      <w:pPr>
        <w:keepLines w:val="0"/>
        <w:keepNext w:val="0"/>
        <w:pageBreakBefore w:val="0"/>
        <w:spacing w:beforeAutospacing="0" w:afterAutospacing="0" w:line="0" w:lineRule="atLeast"/>
        <w:widowControl w:val="off"/>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双光融合视传终端</w:t>
      </w:r>
      <w:r/>
    </w:p>
    <w:p>
      <w:pPr>
        <w:keepLines w:val="0"/>
        <w:keepNext w:val="0"/>
        <w:pageBreakBefore w:val="0"/>
        <w:spacing w:beforeAutospacing="0" w:afterAutospacing="0" w:line="0" w:lineRule="atLeast"/>
        <w:widowControl w:val="off"/>
        <w:rPr>
          <w:rFonts w:hint="default" w:ascii="Times New Roman" w:hAnsi="Times New Roman" w:eastAsia="宋体" w:cs="Times New Roman"/>
          <w:b w:val="0"/>
          <w:bCs w:val="0"/>
          <w:i/>
          <w:iCs/>
          <w:color w:val="auto"/>
          <w:sz w:val="24"/>
          <w:szCs w:val="24"/>
          <w:u w:val="single"/>
        </w:rPr>
      </w:pPr>
      <w:r>
        <w:rPr>
          <w:rFonts w:hint="default" w:ascii="Times New Roman" w:hAnsi="Times New Roman" w:eastAsia="宋体" w:cs="Times New Roman"/>
          <w:b w:val="0"/>
          <w:bCs w:val="0"/>
          <w:color w:val="auto"/>
          <w:sz w:val="24"/>
          <w:szCs w:val="24"/>
        </w:rPr>
        <w:t xml:space="preserve">采购数量</w:t>
      </w:r>
      <w:r>
        <w:rPr>
          <w:rFonts w:hint="default" w:ascii="Times New Roman" w:hAnsi="Times New Roman" w:eastAsia="宋体" w:cs="Times New Roman"/>
          <w:i w:val="0"/>
          <w:iCs w:val="0"/>
          <w:color w:val="000000"/>
          <w:sz w:val="24"/>
          <w:szCs w:val="24"/>
          <w:u w:val="none"/>
          <w:lang w:val="en-US" w:eastAsia="zh-CN" w:bidi="ar"/>
        </w:rPr>
        <w:t xml:space="preserve">2</w:t>
      </w:r>
      <w:r>
        <w:rPr>
          <w:rFonts w:hint="default" w:ascii="Times New Roman" w:hAnsi="Times New Roman" w:eastAsia="宋体" w:cs="Times New Roman"/>
          <w:b w:val="0"/>
          <w:bCs w:val="0"/>
          <w:color w:val="auto"/>
          <w:sz w:val="24"/>
          <w:szCs w:val="24"/>
        </w:rPr>
        <w:t xml:space="preserve">套，</w:t>
      </w:r>
      <w:r>
        <w:rPr>
          <w:rFonts w:hint="default" w:ascii="Times New Roman" w:hAnsi="Times New Roman" w:eastAsia="宋体" w:cs="Times New Roman"/>
          <w:b w:val="0"/>
          <w:bCs w:val="0"/>
          <w:i/>
          <w:iCs/>
          <w:color w:val="auto"/>
          <w:sz w:val="24"/>
          <w:szCs w:val="24"/>
          <w:u w:val="single"/>
        </w:rPr>
        <w:t xml:space="preserve">预算单价</w:t>
      </w:r>
      <w:r>
        <w:rPr>
          <w:rFonts w:hint="default" w:ascii="Times New Roman" w:hAnsi="Times New Roman" w:eastAsia="宋体" w:cs="Times New Roman"/>
          <w:b w:val="0"/>
          <w:bCs w:val="0"/>
          <w:i/>
          <w:iCs/>
          <w:color w:val="auto"/>
          <w:sz w:val="24"/>
          <w:szCs w:val="24"/>
          <w:u w:val="single"/>
          <w:lang w:val="en-US" w:eastAsia="zh-CN"/>
        </w:rPr>
        <w:t xml:space="preserve">3</w:t>
      </w:r>
      <w:r>
        <w:rPr>
          <w:rFonts w:hint="default" w:ascii="Times New Roman" w:hAnsi="Times New Roman" w:eastAsia="宋体" w:cs="Times New Roman"/>
          <w:b w:val="0"/>
          <w:bCs w:val="0"/>
          <w:i/>
          <w:iCs/>
          <w:color w:val="auto"/>
          <w:sz w:val="24"/>
          <w:szCs w:val="24"/>
          <w:u w:val="single"/>
        </w:rPr>
        <w:t xml:space="preserve">万，预算总价</w:t>
      </w:r>
      <w:r>
        <w:rPr>
          <w:rFonts w:hint="default" w:ascii="Times New Roman" w:hAnsi="Times New Roman" w:eastAsia="宋体" w:cs="Times New Roman"/>
          <w:b w:val="0"/>
          <w:bCs w:val="0"/>
          <w:i/>
          <w:iCs/>
          <w:color w:val="auto"/>
          <w:sz w:val="24"/>
          <w:szCs w:val="24"/>
          <w:u w:val="single"/>
          <w:lang w:val="en-US" w:eastAsia="zh-CN"/>
        </w:rPr>
        <w:t xml:space="preserve">6</w:t>
      </w:r>
      <w:r>
        <w:rPr>
          <w:rFonts w:hint="default" w:ascii="Times New Roman" w:hAnsi="Times New Roman" w:eastAsia="宋体" w:cs="Times New Roman"/>
          <w:b w:val="0"/>
          <w:bCs w:val="0"/>
          <w:i/>
          <w:iCs/>
          <w:color w:val="auto"/>
          <w:sz w:val="24"/>
          <w:szCs w:val="24"/>
          <w:u w:val="single"/>
        </w:rPr>
        <w:t xml:space="preserve">万。</w:t>
      </w:r>
      <w:r/>
    </w:p>
    <w:p>
      <w:pPr>
        <w:pStyle w:val="720"/>
        <w:ind w:left="0" w:firstLine="0"/>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1、</w:t>
      </w:r>
      <w:r>
        <w:rPr>
          <w:rFonts w:hint="default" w:ascii="Times New Roman" w:hAnsi="Times New Roman" w:eastAsia="宋体" w:cs="Times New Roman"/>
          <w:sz w:val="24"/>
          <w:szCs w:val="24"/>
        </w:rPr>
        <w:t xml:space="preserve">兼容性要求</w:t>
      </w: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rPr>
        <w:t xml:space="preserve">可通过手机或电脑实时调取设备第一视角可见光、红外热成像、可见光与热成像融合视频图像，并支持上下线状态、语音通话，定位信息实时获取。</w:t>
      </w:r>
      <w:r/>
    </w:p>
    <w:p>
      <w:pPr>
        <w:pStyle w:val="720"/>
        <w:ind w:left="0" w:firstLine="0"/>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w:t>
      </w:r>
      <w:r>
        <w:rPr>
          <w:rFonts w:hint="default" w:ascii="Times New Roman" w:hAnsi="Times New Roman" w:eastAsia="宋体" w:cs="Times New Roman"/>
          <w:sz w:val="24"/>
          <w:szCs w:val="24"/>
          <w:lang w:val="en-US" w:eastAsia="zh-CN"/>
        </w:rPr>
        <w:t xml:space="preserve">2</w:t>
      </w:r>
      <w:r>
        <w:rPr>
          <w:rFonts w:hint="default" w:ascii="Times New Roman" w:hAnsi="Times New Roman" w:eastAsia="宋体" w:cs="Times New Roman"/>
          <w:sz w:val="24"/>
          <w:szCs w:val="24"/>
        </w:rPr>
        <w:t xml:space="preserve">、盔装部分功能规格要求</w:t>
      </w: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rPr>
        <w:t xml:space="preserve">夜视镜头：数字CMOS图像传感器，像素≥1920*1080；红外热成像镜头：分辨率≥256×192，支持探测距离≥100米，识别距离≥40米，辨认距离≥20米；</w:t>
      </w:r>
      <w:r/>
    </w:p>
    <w:p>
      <w:pPr>
        <w:pStyle w:val="720"/>
        <w:ind w:left="0" w:firstLine="0"/>
        <w:keepLines w:val="0"/>
        <w:keepNext w:val="0"/>
        <w:pageBreakBefore w:val="0"/>
        <w:widowControl w:val="off"/>
        <w:rPr>
          <w:rFonts w:hint="default" w:ascii="Times New Roman" w:hAnsi="Times New Roman" w:eastAsia="宋体" w:cs="Times New Roman"/>
          <w:sz w:val="24"/>
          <w:szCs w:val="24"/>
          <w:highlight w:val="red"/>
        </w:rPr>
      </w:pPr>
      <w:r>
        <w:rPr>
          <w:rFonts w:hint="default" w:ascii="Times New Roman" w:hAnsi="Times New Roman" w:eastAsia="宋体" w:cs="Times New Roman"/>
          <w:sz w:val="24"/>
          <w:szCs w:val="24"/>
          <w:lang w:val="en-US" w:eastAsia="zh-CN"/>
        </w:rPr>
        <w:t xml:space="preserve">3</w:t>
      </w:r>
      <w:r>
        <w:rPr>
          <w:rFonts w:hint="default" w:ascii="Times New Roman" w:hAnsi="Times New Roman" w:eastAsia="宋体" w:cs="Times New Roman"/>
          <w:sz w:val="24"/>
          <w:szCs w:val="24"/>
        </w:rPr>
        <w:t xml:space="preserve">、测温范围≥-10℃～550℃，支持中心点测温和多点测</w:t>
      </w:r>
      <w:r>
        <w:rPr>
          <w:rFonts w:hint="default" w:ascii="Times New Roman" w:hAnsi="Times New Roman" w:eastAsia="宋体" w:cs="Times New Roman"/>
          <w:sz w:val="24"/>
          <w:szCs w:val="24"/>
          <w:highlight w:val="none"/>
        </w:rPr>
        <w:t xml:space="preserve">温；（</w:t>
      </w:r>
      <w:r>
        <w:rPr>
          <w:rFonts w:hint="default" w:ascii="Times New Roman" w:hAnsi="Times New Roman" w:eastAsia="宋体" w:cs="Times New Roman"/>
          <w:sz w:val="24"/>
          <w:szCs w:val="24"/>
          <w:highlight w:val="none"/>
          <w:lang w:val="en-US" w:eastAsia="zh-CN"/>
        </w:rPr>
        <w:t xml:space="preserve">提供由国家认可的检测机构出具与所投产品型号一致、完整有效的检验（检测）</w:t>
      </w:r>
      <w:r>
        <w:rPr>
          <w:rFonts w:hint="eastAsia" w:ascii="Times New Roman" w:hAnsi="Times New Roman" w:cs="Times New Roman"/>
          <w:sz w:val="24"/>
          <w:szCs w:val="24"/>
          <w:highlight w:val="none"/>
          <w:lang w:val="en-US" w:eastAsia="zh-CN"/>
        </w:rPr>
        <w:t xml:space="preserve">报告</w:t>
      </w:r>
      <w:r>
        <w:rPr>
          <w:rFonts w:hint="default" w:ascii="Times New Roman" w:hAnsi="Times New Roman" w:eastAsia="宋体" w:cs="Times New Roman"/>
          <w:sz w:val="24"/>
          <w:szCs w:val="24"/>
          <w:highlight w:val="none"/>
          <w:lang w:val="en-US" w:eastAsia="zh-CN"/>
        </w:rPr>
        <w:t xml:space="preserve">。</w:t>
      </w:r>
      <w:r>
        <w:rPr>
          <w:rFonts w:hint="default" w:ascii="Times New Roman" w:hAnsi="Times New Roman" w:eastAsia="宋体" w:cs="Times New Roman"/>
          <w:sz w:val="24"/>
          <w:szCs w:val="24"/>
          <w:highlight w:val="none"/>
        </w:rPr>
        <w:t xml:space="preserve">）</w:t>
      </w:r>
      <w:r/>
    </w:p>
    <w:p>
      <w:pPr>
        <w:pStyle w:val="720"/>
        <w:ind w:left="0" w:firstLine="0"/>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4</w:t>
      </w:r>
      <w:r>
        <w:rPr>
          <w:rFonts w:hint="default" w:ascii="Times New Roman" w:hAnsi="Times New Roman" w:eastAsia="宋体" w:cs="Times New Roman"/>
          <w:sz w:val="24"/>
          <w:szCs w:val="24"/>
        </w:rPr>
        <w:t xml:space="preserve">、视频模式：至少支持可见光、红外热成像、可见光与热成像双光融合等三种视频图传模式；图像防抖：支持EIS视频防抖图像补偿技术，适应各种复杂运动场景；</w:t>
      </w:r>
      <w:r/>
    </w:p>
    <w:p>
      <w:pPr>
        <w:pStyle w:val="720"/>
        <w:ind w:left="0" w:firstLine="0"/>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5</w:t>
      </w:r>
      <w:r>
        <w:rPr>
          <w:rFonts w:hint="default" w:ascii="Times New Roman" w:hAnsi="Times New Roman" w:eastAsia="宋体" w:cs="Times New Roman"/>
          <w:sz w:val="24"/>
          <w:szCs w:val="24"/>
        </w:rPr>
        <w:t xml:space="preserve">、网络：支持4G/5G全网通；支持Wi-Fi；具有AP热点模式；支持蓝牙，与腕戴视显匹配连接；支持接入自组网设备网络；</w:t>
      </w:r>
      <w:r/>
    </w:p>
    <w:p>
      <w:pPr>
        <w:pStyle w:val="720"/>
        <w:ind w:left="0" w:firstLine="0"/>
        <w:keepLines w:val="0"/>
        <w:keepNext w:val="0"/>
        <w:pageBreakBefore w:val="0"/>
        <w:widowControl w:val="off"/>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rPr>
        <w:t xml:space="preserve">▲</w:t>
      </w:r>
      <w:r>
        <w:rPr>
          <w:rFonts w:hint="default" w:ascii="Times New Roman" w:hAnsi="Times New Roman" w:eastAsia="宋体" w:cs="Times New Roman"/>
          <w:sz w:val="24"/>
          <w:szCs w:val="24"/>
          <w:lang w:val="en-US" w:eastAsia="zh-CN"/>
        </w:rPr>
        <w:t xml:space="preserve">6</w:t>
      </w:r>
      <w:r>
        <w:rPr>
          <w:rFonts w:hint="default" w:ascii="Times New Roman" w:hAnsi="Times New Roman" w:eastAsia="宋体" w:cs="Times New Roman"/>
          <w:sz w:val="24"/>
          <w:szCs w:val="24"/>
        </w:rPr>
        <w:t xml:space="preserve">、三防功能：防水防尘等级≥IP68，支持承受≥2米任意面跌落，且主要部件与数据安全；（</w:t>
      </w:r>
      <w:r>
        <w:rPr>
          <w:rFonts w:hint="default" w:ascii="Times New Roman" w:hAnsi="Times New Roman" w:eastAsia="宋体" w:cs="Times New Roman"/>
          <w:sz w:val="24"/>
          <w:szCs w:val="24"/>
          <w:highlight w:val="none"/>
          <w:lang w:val="en-US" w:eastAsia="zh-CN"/>
        </w:rPr>
        <w:t xml:space="preserve">提供由国家认可的检测机构出具与所投产品型号一致、完整有效的检验（检测）</w:t>
      </w:r>
      <w:r>
        <w:rPr>
          <w:rFonts w:hint="eastAsia" w:ascii="Times New Roman" w:hAnsi="Times New Roman" w:cs="Times New Roman"/>
          <w:sz w:val="24"/>
          <w:szCs w:val="24"/>
          <w:highlight w:val="none"/>
          <w:lang w:val="en-US" w:eastAsia="zh-CN"/>
        </w:rPr>
        <w:t xml:space="preserve">报告</w:t>
      </w:r>
      <w:r>
        <w:rPr>
          <w:rFonts w:hint="default" w:ascii="Times New Roman" w:hAnsi="Times New Roman" w:eastAsia="宋体" w:cs="Times New Roman"/>
          <w:sz w:val="24"/>
          <w:szCs w:val="24"/>
          <w:highlight w:val="none"/>
          <w:lang w:val="en-US" w:eastAsia="zh-CN"/>
        </w:rPr>
        <w:t xml:space="preserve">。</w:t>
      </w:r>
      <w:r>
        <w:rPr>
          <w:rFonts w:hint="default" w:ascii="Times New Roman" w:hAnsi="Times New Roman" w:eastAsia="宋体" w:cs="Times New Roman"/>
          <w:sz w:val="24"/>
          <w:szCs w:val="24"/>
          <w:highlight w:val="none"/>
        </w:rPr>
        <w:t xml:space="preserve">）</w:t>
      </w:r>
      <w:r/>
    </w:p>
    <w:p>
      <w:pPr>
        <w:pStyle w:val="720"/>
        <w:ind w:left="0" w:firstLine="0"/>
        <w:keepLines w:val="0"/>
        <w:keepNext w:val="0"/>
        <w:pageBreakBefore w:val="0"/>
        <w:widowControl w:val="off"/>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w:t>
      </w:r>
      <w:r>
        <w:rPr>
          <w:rFonts w:hint="default" w:ascii="Times New Roman" w:hAnsi="Times New Roman" w:eastAsia="宋体" w:cs="Times New Roman"/>
          <w:sz w:val="24"/>
          <w:szCs w:val="24"/>
          <w:highlight w:val="none"/>
          <w:lang w:val="en-US" w:eastAsia="zh-CN"/>
        </w:rPr>
        <w:t xml:space="preserve">7</w:t>
      </w:r>
      <w:r>
        <w:rPr>
          <w:rFonts w:hint="default" w:ascii="Times New Roman" w:hAnsi="Times New Roman" w:eastAsia="宋体" w:cs="Times New Roman"/>
          <w:sz w:val="24"/>
          <w:szCs w:val="24"/>
          <w:highlight w:val="none"/>
        </w:rPr>
        <w:t xml:space="preserve">、防爆功能：本安型；（</w:t>
      </w:r>
      <w:r>
        <w:rPr>
          <w:rFonts w:hint="default" w:ascii="Times New Roman" w:hAnsi="Times New Roman" w:eastAsia="宋体" w:cs="Times New Roman"/>
          <w:sz w:val="24"/>
          <w:szCs w:val="24"/>
          <w:highlight w:val="none"/>
          <w:lang w:val="en-US" w:eastAsia="zh-CN"/>
        </w:rPr>
        <w:t xml:space="preserve">提供由国家认可的检测机构出具与所投产品型号一致、完整有效的检验（检测）</w:t>
      </w:r>
      <w:r>
        <w:rPr>
          <w:rFonts w:hint="eastAsia" w:ascii="Times New Roman" w:hAnsi="Times New Roman" w:cs="Times New Roman"/>
          <w:sz w:val="24"/>
          <w:szCs w:val="24"/>
          <w:highlight w:val="none"/>
          <w:lang w:val="en-US" w:eastAsia="zh-CN"/>
        </w:rPr>
        <w:t xml:space="preserve">报告</w:t>
      </w:r>
      <w:r>
        <w:rPr>
          <w:rFonts w:hint="default" w:ascii="Times New Roman" w:hAnsi="Times New Roman" w:eastAsia="宋体" w:cs="Times New Roman"/>
          <w:sz w:val="24"/>
          <w:szCs w:val="24"/>
          <w:highlight w:val="none"/>
          <w:lang w:val="en-US" w:eastAsia="zh-CN"/>
        </w:rPr>
        <w:t xml:space="preserve">。</w:t>
      </w:r>
      <w:r>
        <w:rPr>
          <w:rFonts w:hint="default" w:ascii="Times New Roman" w:hAnsi="Times New Roman" w:eastAsia="宋体" w:cs="Times New Roman"/>
          <w:sz w:val="24"/>
          <w:szCs w:val="24"/>
          <w:highlight w:val="none"/>
        </w:rPr>
        <w:t xml:space="preserve">）</w:t>
      </w:r>
      <w:bookmarkStart w:id="179" w:name="_GoBack"/>
      <w:r/>
      <w:bookmarkEnd w:id="179"/>
      <w:r/>
      <w:r/>
    </w:p>
    <w:p>
      <w:pPr>
        <w:pStyle w:val="720"/>
        <w:ind w:left="0" w:firstLine="0"/>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8</w:t>
      </w:r>
      <w:r>
        <w:rPr>
          <w:rFonts w:hint="default" w:ascii="Times New Roman" w:hAnsi="Times New Roman" w:eastAsia="宋体" w:cs="Times New Roman"/>
          <w:sz w:val="24"/>
          <w:szCs w:val="24"/>
        </w:rPr>
        <w:t xml:space="preserve">、NFC功能：支持快速管理、自动触碰配对设备；定位：支持北斗定位模式；</w:t>
      </w:r>
      <w:r/>
    </w:p>
    <w:p>
      <w:pPr>
        <w:pStyle w:val="720"/>
        <w:ind w:left="0" w:firstLine="0"/>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9</w:t>
      </w:r>
      <w:r>
        <w:rPr>
          <w:rFonts w:hint="default" w:ascii="Times New Roman" w:hAnsi="Times New Roman" w:eastAsia="宋体" w:cs="Times New Roman"/>
          <w:sz w:val="24"/>
          <w:szCs w:val="24"/>
        </w:rPr>
        <w:t xml:space="preserve">、存储：≥32G；</w:t>
      </w:r>
      <w:r/>
    </w:p>
    <w:p>
      <w:pPr>
        <w:pStyle w:val="720"/>
        <w:ind w:left="0" w:firstLine="0"/>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10</w:t>
      </w:r>
      <w:r>
        <w:rPr>
          <w:rFonts w:hint="default" w:ascii="Times New Roman" w:hAnsi="Times New Roman" w:eastAsia="宋体" w:cs="Times New Roman"/>
          <w:sz w:val="24"/>
          <w:szCs w:val="24"/>
        </w:rPr>
        <w:t xml:space="preserve">、续航时间≥3小时；机身重量：≤200g；（含电池）</w:t>
      </w:r>
      <w:r/>
    </w:p>
    <w:p>
      <w:pPr>
        <w:pStyle w:val="720"/>
        <w:ind w:left="0" w:firstLine="0"/>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w:t>
      </w:r>
      <w:r>
        <w:rPr>
          <w:rFonts w:hint="default" w:ascii="Times New Roman" w:hAnsi="Times New Roman" w:eastAsia="宋体" w:cs="Times New Roman"/>
          <w:sz w:val="24"/>
          <w:szCs w:val="24"/>
          <w:lang w:val="en-US" w:eastAsia="zh-CN"/>
        </w:rPr>
        <w:t xml:space="preserve">1</w:t>
      </w:r>
      <w:r>
        <w:rPr>
          <w:rFonts w:hint="default" w:ascii="Times New Roman" w:hAnsi="Times New Roman" w:eastAsia="宋体" w:cs="Times New Roman"/>
          <w:sz w:val="24"/>
          <w:szCs w:val="24"/>
        </w:rPr>
        <w:t xml:space="preserve">、机身及支架：支持主机与支架分离，支持现有各种统型消防头盔，快装快拆，视角角度可调节：垂直≥60度，支持定制专用支架；</w:t>
      </w:r>
      <w:r/>
    </w:p>
    <w:p>
      <w:pPr>
        <w:pStyle w:val="720"/>
        <w:ind w:left="0" w:firstLine="0"/>
        <w:keepLines w:val="0"/>
        <w:keepNext w:val="0"/>
        <w:pageBreakBefore w:val="0"/>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sz w:val="24"/>
          <w:szCs w:val="24"/>
        </w:rPr>
        <w:t xml:space="preserve">1</w:t>
      </w:r>
      <w:r>
        <w:rPr>
          <w:rFonts w:hint="default" w:ascii="Times New Roman" w:hAnsi="Times New Roman" w:eastAsia="宋体" w:cs="Times New Roman"/>
          <w:sz w:val="24"/>
          <w:szCs w:val="24"/>
          <w:lang w:val="en-US" w:eastAsia="zh-CN"/>
        </w:rPr>
        <w:t xml:space="preserve">2</w:t>
      </w:r>
      <w:r>
        <w:rPr>
          <w:rFonts w:hint="default" w:ascii="Times New Roman" w:hAnsi="Times New Roman" w:eastAsia="宋体" w:cs="Times New Roman"/>
          <w:sz w:val="24"/>
          <w:szCs w:val="24"/>
        </w:rPr>
        <w:t xml:space="preserve">、对接接口：音视频信号支持接入江苏省消防救援总队图像管理平台（接口文档详见附件</w:t>
      </w:r>
      <w:r>
        <w:rPr>
          <w:rFonts w:hint="eastAsia" w:ascii="Times New Roman" w:hAnsi="Times New Roman" w:eastAsia="宋体" w:cs="Times New Roman"/>
          <w:color w:val="auto"/>
          <w:sz w:val="24"/>
          <w:szCs w:val="24"/>
          <w:lang w:eastAsia="zh-CN"/>
        </w:rPr>
        <w:t xml:space="preserve">《江苏省消防救援总队互联网图像管理服务平台-设备接入规范》</w:t>
      </w:r>
      <w:r>
        <w:rPr>
          <w:rFonts w:hint="default" w:ascii="Times New Roman" w:hAnsi="Times New Roman" w:eastAsia="宋体" w:cs="Times New Roman"/>
          <w:color w:val="auto"/>
          <w:sz w:val="24"/>
          <w:szCs w:val="24"/>
        </w:rPr>
        <w:t xml:space="preserve">）。</w:t>
      </w:r>
      <w:r/>
    </w:p>
    <w:p>
      <w:pPr>
        <w:pStyle w:val="720"/>
        <w:ind w:left="0" w:firstLine="0"/>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腕戴部分功能规格要求</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t xml:space="preserve">1、视频模式：支持查看可见光、红外热成像、可见光与热成像双光融合画面，支持物理功能按键快捷切换；</w:t>
      </w:r>
      <w:r/>
    </w:p>
    <w:p>
      <w:pPr>
        <w:pStyle w:val="720"/>
        <w:ind w:left="0" w:firstLine="0"/>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13</w:t>
      </w:r>
      <w:r>
        <w:rPr>
          <w:rFonts w:hint="default" w:ascii="Times New Roman" w:hAnsi="Times New Roman" w:eastAsia="宋体" w:cs="Times New Roman"/>
          <w:sz w:val="24"/>
          <w:szCs w:val="24"/>
        </w:rPr>
        <w:t xml:space="preserve">、录像：存储：≥64G；支持音视频通信本地录像、服务器端远程录像、远程调用录像文件、数据线和远程方式下载录像文件；</w:t>
      </w:r>
      <w:r/>
    </w:p>
    <w:p>
      <w:pPr>
        <w:pStyle w:val="720"/>
        <w:ind w:left="0" w:firstLine="0"/>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14</w:t>
      </w:r>
      <w:r>
        <w:rPr>
          <w:rFonts w:hint="default" w:ascii="Times New Roman" w:hAnsi="Times New Roman" w:eastAsia="宋体" w:cs="Times New Roman"/>
          <w:sz w:val="24"/>
          <w:szCs w:val="24"/>
        </w:rPr>
        <w:t xml:space="preserve">、网络：支持4G/5G全网通；支持Wi-Fi；具有AP热点模式；支持蓝牙，与盔装视传自动匹配长连接；支持接入自组网设备网络；</w:t>
      </w:r>
      <w:r/>
    </w:p>
    <w:p>
      <w:pPr>
        <w:pStyle w:val="720"/>
        <w:ind w:left="0" w:firstLine="0"/>
        <w:keepLines w:val="0"/>
        <w:keepNext w:val="0"/>
        <w:pageBreakBefore w:val="0"/>
        <w:widowControl w:val="off"/>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rPr>
        <w:t xml:space="preserve">▲</w:t>
      </w:r>
      <w:r>
        <w:rPr>
          <w:rFonts w:hint="default" w:ascii="Times New Roman" w:hAnsi="Times New Roman" w:eastAsia="宋体" w:cs="Times New Roman"/>
          <w:sz w:val="24"/>
          <w:szCs w:val="24"/>
          <w:lang w:val="en-US" w:eastAsia="zh-CN"/>
        </w:rPr>
        <w:t xml:space="preserve">15</w:t>
      </w:r>
      <w:r>
        <w:rPr>
          <w:rFonts w:hint="default" w:ascii="Times New Roman" w:hAnsi="Times New Roman" w:eastAsia="宋体" w:cs="Times New Roman"/>
          <w:sz w:val="24"/>
          <w:szCs w:val="24"/>
        </w:rPr>
        <w:t xml:space="preserve">、三防功能</w:t>
      </w:r>
      <w:r>
        <w:rPr>
          <w:rFonts w:hint="default" w:ascii="Times New Roman" w:hAnsi="Times New Roman" w:eastAsia="宋体" w:cs="Times New Roman"/>
          <w:sz w:val="24"/>
          <w:szCs w:val="24"/>
          <w:highlight w:val="none"/>
        </w:rPr>
        <w:t xml:space="preserve">：防水防尘等级≥IP68；支持承受≥1.5米任意面跌落，确保主要部件与数据安全；（</w:t>
      </w:r>
      <w:r>
        <w:rPr>
          <w:rFonts w:hint="default" w:ascii="Times New Roman" w:hAnsi="Times New Roman" w:eastAsia="宋体" w:cs="Times New Roman"/>
          <w:sz w:val="24"/>
          <w:szCs w:val="24"/>
          <w:highlight w:val="none"/>
          <w:lang w:val="en-US" w:eastAsia="zh-CN"/>
        </w:rPr>
        <w:t xml:space="preserve">提供由国家认可的检测机构出具与所投产品型号一致、完整有效的检验（检测）</w:t>
      </w:r>
      <w:r>
        <w:rPr>
          <w:rFonts w:hint="eastAsia" w:ascii="Times New Roman" w:hAnsi="Times New Roman" w:cs="Times New Roman"/>
          <w:sz w:val="24"/>
          <w:szCs w:val="24"/>
          <w:highlight w:val="none"/>
          <w:lang w:val="en-US" w:eastAsia="zh-CN"/>
        </w:rPr>
        <w:t xml:space="preserve">报告</w:t>
      </w:r>
      <w:r>
        <w:rPr>
          <w:rFonts w:hint="default" w:ascii="Times New Roman" w:hAnsi="Times New Roman" w:eastAsia="宋体" w:cs="Times New Roman"/>
          <w:sz w:val="24"/>
          <w:szCs w:val="24"/>
          <w:highlight w:val="none"/>
          <w:lang w:val="en-US" w:eastAsia="zh-CN"/>
        </w:rPr>
        <w:t xml:space="preserve">。</w:t>
      </w:r>
      <w:r>
        <w:rPr>
          <w:rFonts w:hint="default" w:ascii="Times New Roman" w:hAnsi="Times New Roman" w:eastAsia="宋体" w:cs="Times New Roman"/>
          <w:sz w:val="24"/>
          <w:szCs w:val="24"/>
          <w:highlight w:val="none"/>
        </w:rPr>
        <w:t xml:space="preserve">）</w:t>
      </w:r>
      <w:r/>
    </w:p>
    <w:p>
      <w:pPr>
        <w:pStyle w:val="720"/>
        <w:ind w:left="0" w:firstLine="0"/>
        <w:keepLines w:val="0"/>
        <w:keepNext w:val="0"/>
        <w:pageBreakBefore w:val="0"/>
        <w:widowControl w:val="off"/>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w:t>
      </w:r>
      <w:r>
        <w:rPr>
          <w:rFonts w:hint="default" w:ascii="Times New Roman" w:hAnsi="Times New Roman" w:eastAsia="宋体" w:cs="Times New Roman"/>
          <w:sz w:val="24"/>
          <w:szCs w:val="24"/>
          <w:highlight w:val="none"/>
          <w:lang w:val="en-US" w:eastAsia="zh-CN"/>
        </w:rPr>
        <w:t xml:space="preserve">16</w:t>
      </w:r>
      <w:r>
        <w:rPr>
          <w:rFonts w:hint="default" w:ascii="Times New Roman" w:hAnsi="Times New Roman" w:eastAsia="宋体" w:cs="Times New Roman"/>
          <w:sz w:val="24"/>
          <w:szCs w:val="24"/>
          <w:highlight w:val="none"/>
        </w:rPr>
        <w:t xml:space="preserve">、防爆功能：本安型。（</w:t>
      </w:r>
      <w:r>
        <w:rPr>
          <w:rFonts w:hint="default" w:ascii="Times New Roman" w:hAnsi="Times New Roman" w:eastAsia="宋体" w:cs="Times New Roman"/>
          <w:sz w:val="24"/>
          <w:szCs w:val="24"/>
          <w:highlight w:val="none"/>
          <w:lang w:val="en-US" w:eastAsia="zh-CN"/>
        </w:rPr>
        <w:t xml:space="preserve">提供由国家认可的检测机构出具与所投产品型号一致、完整有效的检验（检测）</w:t>
      </w:r>
      <w:r>
        <w:rPr>
          <w:rFonts w:hint="eastAsia" w:ascii="Times New Roman" w:hAnsi="Times New Roman" w:cs="Times New Roman"/>
          <w:sz w:val="24"/>
          <w:szCs w:val="24"/>
          <w:highlight w:val="none"/>
          <w:lang w:val="en-US" w:eastAsia="zh-CN"/>
        </w:rPr>
        <w:t xml:space="preserve">报告</w:t>
      </w:r>
      <w:r>
        <w:rPr>
          <w:rFonts w:hint="default" w:ascii="Times New Roman" w:hAnsi="Times New Roman" w:eastAsia="宋体" w:cs="Times New Roman"/>
          <w:sz w:val="24"/>
          <w:szCs w:val="24"/>
          <w:highlight w:val="none"/>
          <w:lang w:val="en-US" w:eastAsia="zh-CN"/>
        </w:rPr>
        <w:t xml:space="preserve">。</w:t>
      </w:r>
      <w:r>
        <w:rPr>
          <w:rFonts w:hint="default" w:ascii="Times New Roman" w:hAnsi="Times New Roman" w:eastAsia="宋体" w:cs="Times New Roman"/>
          <w:sz w:val="24"/>
          <w:szCs w:val="24"/>
          <w:highlight w:val="none"/>
        </w:rPr>
        <w:t xml:space="preserve">）</w:t>
      </w:r>
      <w:r/>
    </w:p>
    <w:p>
      <w:pPr>
        <w:pStyle w:val="720"/>
        <w:ind w:left="0" w:firstLine="0"/>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17</w:t>
      </w:r>
      <w:r>
        <w:rPr>
          <w:rFonts w:hint="default" w:ascii="Times New Roman" w:hAnsi="Times New Roman" w:eastAsia="宋体" w:cs="Times New Roman"/>
          <w:sz w:val="24"/>
          <w:szCs w:val="24"/>
        </w:rPr>
        <w:t xml:space="preserve">、屏幕：彩色屏≥3英寸；</w:t>
      </w:r>
      <w:r/>
    </w:p>
    <w:p>
      <w:pPr>
        <w:pStyle w:val="720"/>
        <w:ind w:left="0" w:firstLine="0"/>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18</w:t>
      </w:r>
      <w:r>
        <w:rPr>
          <w:rFonts w:hint="default" w:ascii="Times New Roman" w:hAnsi="Times New Roman" w:eastAsia="宋体" w:cs="Times New Roman"/>
          <w:sz w:val="24"/>
          <w:szCs w:val="24"/>
        </w:rPr>
        <w:t xml:space="preserve">、续航时间≥3小时；重量≤250g</w:t>
      </w:r>
      <w:r/>
    </w:p>
    <w:p>
      <w:pPr>
        <w:pStyle w:val="720"/>
        <w:ind w:left="0" w:firstLine="0"/>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19、</w:t>
      </w:r>
      <w:r>
        <w:rPr>
          <w:rFonts w:hint="default" w:ascii="Times New Roman" w:hAnsi="Times New Roman" w:eastAsia="宋体" w:cs="Times New Roman"/>
          <w:sz w:val="24"/>
          <w:szCs w:val="24"/>
        </w:rPr>
        <w:t xml:space="preserve">语音模块要求</w:t>
      </w: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rPr>
        <w:t xml:space="preserve">配置空呼麦克风</w:t>
      </w:r>
      <w:r/>
    </w:p>
    <w:p>
      <w:pPr>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pStyle w:val="720"/>
        <w:ind w:left="0" w:firstLine="0"/>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keepLines w:val="0"/>
        <w:keepNext w:val="0"/>
        <w:pageBreakBefore w:val="0"/>
        <w:spacing w:beforeAutospacing="0" w:afterAutospacing="0" w:line="0" w:lineRule="atLeast"/>
        <w:widowControl w:val="off"/>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小型无人机系留装置</w:t>
      </w:r>
      <w:r/>
    </w:p>
    <w:p>
      <w:pPr>
        <w:keepLines w:val="0"/>
        <w:keepNext w:val="0"/>
        <w:pageBreakBefore w:val="0"/>
        <w:spacing w:beforeAutospacing="0" w:afterAutospacing="0" w:line="0" w:lineRule="atLeast"/>
        <w:widowControl w:val="off"/>
        <w:rPr>
          <w:rFonts w:hint="default" w:ascii="Times New Roman" w:hAnsi="Times New Roman" w:eastAsia="宋体" w:cs="Times New Roman"/>
          <w:b w:val="0"/>
          <w:bCs w:val="0"/>
          <w:i/>
          <w:iCs/>
          <w:color w:val="auto"/>
          <w:sz w:val="24"/>
          <w:szCs w:val="24"/>
          <w:u w:val="single"/>
        </w:rPr>
      </w:pPr>
      <w:r>
        <w:rPr>
          <w:rFonts w:hint="default" w:ascii="Times New Roman" w:hAnsi="Times New Roman" w:eastAsia="宋体" w:cs="Times New Roman"/>
          <w:b w:val="0"/>
          <w:bCs w:val="0"/>
          <w:color w:val="auto"/>
          <w:sz w:val="24"/>
          <w:szCs w:val="24"/>
        </w:rPr>
        <w:t xml:space="preserve">采购数量</w:t>
      </w:r>
      <w:r>
        <w:rPr>
          <w:rFonts w:hint="default" w:ascii="Times New Roman" w:hAnsi="Times New Roman" w:eastAsia="宋体" w:cs="Times New Roman"/>
          <w:i w:val="0"/>
          <w:iCs w:val="0"/>
          <w:color w:val="000000"/>
          <w:sz w:val="24"/>
          <w:szCs w:val="24"/>
          <w:u w:val="none"/>
          <w:lang w:val="en-US" w:eastAsia="zh-CN" w:bidi="ar"/>
        </w:rPr>
        <w:t xml:space="preserve">1</w:t>
      </w:r>
      <w:r>
        <w:rPr>
          <w:rFonts w:hint="default" w:ascii="Times New Roman" w:hAnsi="Times New Roman" w:eastAsia="宋体" w:cs="Times New Roman"/>
          <w:b w:val="0"/>
          <w:bCs w:val="0"/>
          <w:color w:val="auto"/>
          <w:sz w:val="24"/>
          <w:szCs w:val="24"/>
        </w:rPr>
        <w:t xml:space="preserve">套，</w:t>
      </w:r>
      <w:r>
        <w:rPr>
          <w:rFonts w:hint="default" w:ascii="Times New Roman" w:hAnsi="Times New Roman" w:eastAsia="宋体" w:cs="Times New Roman"/>
          <w:b w:val="0"/>
          <w:bCs w:val="0"/>
          <w:i/>
          <w:iCs/>
          <w:color w:val="auto"/>
          <w:sz w:val="24"/>
          <w:szCs w:val="24"/>
          <w:u w:val="single"/>
        </w:rPr>
        <w:t xml:space="preserve">预算单价</w:t>
      </w:r>
      <w:r>
        <w:rPr>
          <w:rFonts w:hint="default" w:ascii="Times New Roman" w:hAnsi="Times New Roman" w:eastAsia="宋体" w:cs="Times New Roman"/>
          <w:b w:val="0"/>
          <w:bCs w:val="0"/>
          <w:i/>
          <w:iCs/>
          <w:color w:val="auto"/>
          <w:sz w:val="24"/>
          <w:szCs w:val="24"/>
          <w:u w:val="single"/>
          <w:lang w:val="en-US" w:eastAsia="zh-CN"/>
        </w:rPr>
        <w:t xml:space="preserve">12</w:t>
      </w:r>
      <w:r>
        <w:rPr>
          <w:rFonts w:hint="default" w:ascii="Times New Roman" w:hAnsi="Times New Roman" w:eastAsia="宋体" w:cs="Times New Roman"/>
          <w:b w:val="0"/>
          <w:bCs w:val="0"/>
          <w:i/>
          <w:iCs/>
          <w:color w:val="auto"/>
          <w:sz w:val="24"/>
          <w:szCs w:val="24"/>
          <w:u w:val="single"/>
        </w:rPr>
        <w:t xml:space="preserve">万，预算总价</w:t>
      </w:r>
      <w:r>
        <w:rPr>
          <w:rFonts w:hint="default" w:ascii="Times New Roman" w:hAnsi="Times New Roman" w:eastAsia="宋体" w:cs="Times New Roman"/>
          <w:b w:val="0"/>
          <w:bCs w:val="0"/>
          <w:i/>
          <w:iCs/>
          <w:color w:val="auto"/>
          <w:sz w:val="24"/>
          <w:szCs w:val="24"/>
          <w:u w:val="single"/>
          <w:lang w:val="en-US" w:eastAsia="zh-CN"/>
        </w:rPr>
        <w:t xml:space="preserve">12</w:t>
      </w:r>
      <w:r>
        <w:rPr>
          <w:rFonts w:hint="default" w:ascii="Times New Roman" w:hAnsi="Times New Roman" w:eastAsia="宋体" w:cs="Times New Roman"/>
          <w:b w:val="0"/>
          <w:bCs w:val="0"/>
          <w:i/>
          <w:iCs/>
          <w:color w:val="auto"/>
          <w:sz w:val="24"/>
          <w:szCs w:val="24"/>
          <w:u w:val="single"/>
        </w:rPr>
        <w:t xml:space="preserve">万。</w:t>
      </w:r>
      <w:r/>
    </w:p>
    <w:p>
      <w:pPr>
        <w:pStyle w:val="720"/>
        <w:ind w:left="0" w:firstLine="0"/>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1、</w:t>
      </w:r>
      <w:r>
        <w:rPr>
          <w:rFonts w:hint="default" w:ascii="Times New Roman" w:hAnsi="Times New Roman" w:eastAsia="宋体" w:cs="Times New Roman"/>
          <w:sz w:val="24"/>
          <w:szCs w:val="24"/>
        </w:rPr>
        <w:t xml:space="preserve">兼容性要求</w:t>
      </w: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rPr>
        <w:t xml:space="preserve">至少兼容大疆经纬4系列等机型。</w:t>
      </w:r>
      <w:r/>
    </w:p>
    <w:p>
      <w:pPr>
        <w:pStyle w:val="720"/>
        <w:ind w:left="0" w:firstLine="0"/>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照明模块设备功能</w:t>
      </w:r>
      <w:r>
        <w:rPr>
          <w:rFonts w:hint="default" w:ascii="Times New Roman" w:hAnsi="Times New Roman" w:eastAsia="宋体" w:cs="Times New Roman"/>
          <w:sz w:val="24"/>
          <w:szCs w:val="24"/>
        </w:rPr>
        <w:tab/>
      </w:r>
      <w:r/>
    </w:p>
    <w:p>
      <w:pPr>
        <w:pStyle w:val="720"/>
        <w:ind w:left="0" w:firstLine="0"/>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2</w:t>
      </w:r>
      <w:r>
        <w:rPr>
          <w:rFonts w:hint="default" w:ascii="Times New Roman" w:hAnsi="Times New Roman" w:eastAsia="宋体" w:cs="Times New Roman"/>
          <w:sz w:val="24"/>
          <w:szCs w:val="24"/>
        </w:rPr>
        <w:t xml:space="preserve">.灯板具备照明、警示闪烁功能；</w:t>
      </w:r>
      <w:r/>
    </w:p>
    <w:p>
      <w:pPr>
        <w:pStyle w:val="720"/>
        <w:ind w:left="0" w:firstLine="0"/>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3</w:t>
      </w:r>
      <w:r>
        <w:rPr>
          <w:rFonts w:hint="default" w:ascii="Times New Roman" w:hAnsi="Times New Roman" w:eastAsia="宋体" w:cs="Times New Roman"/>
          <w:sz w:val="24"/>
          <w:szCs w:val="24"/>
        </w:rPr>
        <w:t xml:space="preserve">.灯板具备过热保护功能；</w:t>
      </w:r>
      <w:r/>
    </w:p>
    <w:p>
      <w:pPr>
        <w:pStyle w:val="720"/>
        <w:ind w:left="0" w:firstLine="0"/>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4</w:t>
      </w:r>
      <w:r>
        <w:rPr>
          <w:rFonts w:hint="default" w:ascii="Times New Roman" w:hAnsi="Times New Roman" w:eastAsia="宋体" w:cs="Times New Roman"/>
          <w:sz w:val="24"/>
          <w:szCs w:val="24"/>
        </w:rPr>
        <w:t xml:space="preserve">.灯光满足手动方式或智能控制功能，可以通过按钮或遥控器控制灯光开启、关闭及调节灯光模式，警示灯通过手动开关或遥控器开启或关闭。</w:t>
      </w:r>
      <w:r/>
    </w:p>
    <w:p>
      <w:pPr>
        <w:pStyle w:val="720"/>
        <w:ind w:left="0" w:firstLine="0"/>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照明模块规格要求</w:t>
      </w:r>
      <w:r/>
    </w:p>
    <w:p>
      <w:pPr>
        <w:pStyle w:val="720"/>
        <w:ind w:left="0" w:firstLine="0"/>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5</w:t>
      </w:r>
      <w:r>
        <w:rPr>
          <w:rFonts w:hint="default" w:ascii="Times New Roman" w:hAnsi="Times New Roman" w:eastAsia="宋体" w:cs="Times New Roman"/>
          <w:sz w:val="24"/>
          <w:szCs w:val="24"/>
        </w:rPr>
        <w:t xml:space="preserve">.升空照明灯组额定功率≥1000W、警示闪烁灯功率：≥200W；</w:t>
      </w:r>
      <w:r/>
    </w:p>
    <w:p>
      <w:pPr>
        <w:pStyle w:val="720"/>
        <w:ind w:left="0" w:firstLine="0"/>
        <w:keepLines w:val="0"/>
        <w:keepNext w:val="0"/>
        <w:pageBreakBefore w:val="0"/>
        <w:widowControl w:val="off"/>
        <w:rPr>
          <w:rFonts w:hint="default" w:ascii="Times New Roman" w:hAnsi="Times New Roman" w:eastAsia="宋体" w:cs="Times New Roman"/>
          <w:sz w:val="24"/>
          <w:szCs w:val="24"/>
          <w:highlight w:val="red"/>
        </w:rPr>
      </w:pPr>
      <w:r>
        <w:rPr>
          <w:rFonts w:hint="default" w:ascii="Times New Roman" w:hAnsi="Times New Roman" w:eastAsia="宋体" w:cs="Times New Roman"/>
          <w:sz w:val="24"/>
          <w:szCs w:val="24"/>
        </w:rPr>
        <w:t xml:space="preserve">▲</w:t>
      </w:r>
      <w:r>
        <w:rPr>
          <w:rFonts w:hint="default" w:ascii="Times New Roman" w:hAnsi="Times New Roman" w:eastAsia="宋体" w:cs="Times New Roman"/>
          <w:sz w:val="24"/>
          <w:szCs w:val="24"/>
          <w:lang w:val="en-US" w:eastAsia="zh-CN"/>
        </w:rPr>
        <w:t xml:space="preserve">6</w:t>
      </w:r>
      <w:r>
        <w:rPr>
          <w:rFonts w:hint="default" w:ascii="Times New Roman" w:hAnsi="Times New Roman" w:eastAsia="宋体" w:cs="Times New Roman"/>
          <w:sz w:val="24"/>
          <w:szCs w:val="24"/>
        </w:rPr>
        <w:t xml:space="preserve">.照度值：高度30m处，中心最大值≥25 lx，水平距离30m处边缘照度≥10 lx；（</w:t>
      </w:r>
      <w:r>
        <w:rPr>
          <w:rFonts w:hint="default" w:ascii="Times New Roman" w:hAnsi="Times New Roman" w:eastAsia="宋体" w:cs="Times New Roman"/>
          <w:sz w:val="24"/>
          <w:szCs w:val="24"/>
          <w:lang w:val="en-US" w:eastAsia="zh-CN"/>
        </w:rPr>
        <w:t xml:space="preserve">提供</w:t>
      </w:r>
      <w:r>
        <w:rPr>
          <w:rFonts w:hint="default" w:ascii="Times New Roman" w:hAnsi="Times New Roman" w:eastAsia="宋体" w:cs="Times New Roman"/>
          <w:sz w:val="24"/>
          <w:szCs w:val="24"/>
          <w:highlight w:val="none"/>
          <w:lang w:val="en-US" w:eastAsia="zh-CN"/>
        </w:rPr>
        <w:t xml:space="preserve">由国家认可的检测机构出具与所投产品型号一致、完整有效的检验（检测）</w:t>
      </w:r>
      <w:r>
        <w:rPr>
          <w:rFonts w:hint="eastAsia" w:ascii="Times New Roman" w:hAnsi="Times New Roman" w:cs="Times New Roman"/>
          <w:sz w:val="24"/>
          <w:szCs w:val="24"/>
          <w:highlight w:val="none"/>
          <w:lang w:val="en-US" w:eastAsia="zh-CN"/>
        </w:rPr>
        <w:t xml:space="preserve">报告</w:t>
      </w:r>
      <w:r>
        <w:rPr>
          <w:rFonts w:hint="default" w:ascii="Times New Roman" w:hAnsi="Times New Roman" w:eastAsia="宋体" w:cs="Times New Roman"/>
          <w:sz w:val="24"/>
          <w:szCs w:val="24"/>
          <w:highlight w:val="none"/>
          <w:lang w:val="en-US" w:eastAsia="zh-CN"/>
        </w:rPr>
        <w:t xml:space="preserve">。</w:t>
      </w:r>
      <w:r>
        <w:rPr>
          <w:rFonts w:hint="default" w:ascii="Times New Roman" w:hAnsi="Times New Roman" w:eastAsia="宋体" w:cs="Times New Roman"/>
          <w:sz w:val="24"/>
          <w:szCs w:val="24"/>
          <w:highlight w:val="none"/>
        </w:rPr>
        <w:t xml:space="preserve">）</w:t>
      </w:r>
      <w:r/>
    </w:p>
    <w:p>
      <w:pPr>
        <w:pStyle w:val="720"/>
        <w:ind w:left="0" w:firstLine="0"/>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7</w:t>
      </w:r>
      <w:r>
        <w:rPr>
          <w:rFonts w:hint="default" w:ascii="Times New Roman" w:hAnsi="Times New Roman" w:eastAsia="宋体" w:cs="Times New Roman"/>
          <w:sz w:val="24"/>
          <w:szCs w:val="24"/>
        </w:rPr>
        <w:t xml:space="preserve">.照明灯组（含支架）总重量≤400g；</w:t>
      </w:r>
      <w:r/>
    </w:p>
    <w:p>
      <w:pPr>
        <w:pStyle w:val="720"/>
        <w:ind w:left="0" w:firstLine="0"/>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8</w:t>
      </w:r>
      <w:r>
        <w:rPr>
          <w:rFonts w:hint="default" w:ascii="Times New Roman" w:hAnsi="Times New Roman" w:eastAsia="宋体" w:cs="Times New Roman"/>
          <w:sz w:val="24"/>
          <w:szCs w:val="24"/>
        </w:rPr>
        <w:t xml:space="preserve">.防护等级：≥IP67。</w:t>
      </w:r>
      <w:r/>
    </w:p>
    <w:p>
      <w:pPr>
        <w:pStyle w:val="720"/>
        <w:ind w:left="0" w:firstLine="0"/>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供电平台设备功能</w:t>
      </w:r>
      <w:r/>
    </w:p>
    <w:p>
      <w:pPr>
        <w:pStyle w:val="720"/>
        <w:ind w:left="0" w:firstLine="0"/>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9</w:t>
      </w:r>
      <w:r>
        <w:rPr>
          <w:rFonts w:hint="default" w:ascii="Times New Roman" w:hAnsi="Times New Roman" w:eastAsia="宋体" w:cs="Times New Roman"/>
          <w:sz w:val="24"/>
          <w:szCs w:val="24"/>
        </w:rPr>
        <w:t xml:space="preserve">.系留线缆夜间可见清晰的系留线轨迹，具备常亮、呼吸灯等发光模式，进行安全警示；</w:t>
      </w:r>
      <w:r/>
    </w:p>
    <w:p>
      <w:pPr>
        <w:pStyle w:val="720"/>
        <w:ind w:left="0" w:firstLine="0"/>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10</w:t>
      </w:r>
      <w:r>
        <w:rPr>
          <w:rFonts w:hint="default" w:ascii="Times New Roman" w:hAnsi="Times New Roman" w:eastAsia="宋体" w:cs="Times New Roman"/>
          <w:sz w:val="24"/>
          <w:szCs w:val="24"/>
        </w:rPr>
        <w:t xml:space="preserve">.具备可伸缩护线杆，高度可调，可伸缩护线杆最大高度≥1.5米；</w:t>
      </w:r>
      <w:r/>
    </w:p>
    <w:p>
      <w:pPr>
        <w:pStyle w:val="720"/>
        <w:ind w:left="0" w:firstLine="0"/>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11</w:t>
      </w:r>
      <w:r>
        <w:rPr>
          <w:rFonts w:hint="default" w:ascii="Times New Roman" w:hAnsi="Times New Roman" w:eastAsia="宋体" w:cs="Times New Roman"/>
          <w:sz w:val="24"/>
          <w:szCs w:val="24"/>
        </w:rPr>
        <w:t xml:space="preserve">.断电保护功能：当外部供电电源异常中断时，飞行器可正常飞行及降落。</w:t>
      </w:r>
      <w:r/>
    </w:p>
    <w:p>
      <w:pPr>
        <w:pStyle w:val="720"/>
        <w:ind w:left="0" w:firstLine="0"/>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供电平台规格要求</w:t>
      </w:r>
      <w:r/>
    </w:p>
    <w:p>
      <w:pPr>
        <w:pStyle w:val="720"/>
        <w:ind w:left="0" w:firstLine="0"/>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12</w:t>
      </w:r>
      <w:r>
        <w:rPr>
          <w:rFonts w:hint="default" w:ascii="Times New Roman" w:hAnsi="Times New Roman" w:eastAsia="宋体" w:cs="Times New Roman"/>
          <w:sz w:val="24"/>
          <w:szCs w:val="24"/>
        </w:rPr>
        <w:t xml:space="preserve">.尺寸：长≤500、宽≤400、高≤300mm（包含无人机收纳仓）；</w:t>
      </w:r>
      <w:r/>
    </w:p>
    <w:p>
      <w:pPr>
        <w:pStyle w:val="720"/>
        <w:ind w:left="0" w:firstLine="0"/>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13</w:t>
      </w:r>
      <w:r>
        <w:rPr>
          <w:rFonts w:hint="default" w:ascii="Times New Roman" w:hAnsi="Times New Roman" w:eastAsia="宋体" w:cs="Times New Roman"/>
          <w:sz w:val="24"/>
          <w:szCs w:val="24"/>
        </w:rPr>
        <w:t xml:space="preserve">.重量（包含电源）：≤15kg；</w:t>
      </w:r>
      <w:r/>
    </w:p>
    <w:p>
      <w:pPr>
        <w:pStyle w:val="720"/>
        <w:ind w:left="0" w:firstLine="0"/>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14</w:t>
      </w:r>
      <w:r>
        <w:rPr>
          <w:rFonts w:hint="default" w:ascii="Times New Roman" w:hAnsi="Times New Roman" w:eastAsia="宋体" w:cs="Times New Roman"/>
          <w:sz w:val="24"/>
          <w:szCs w:val="24"/>
        </w:rPr>
        <w:t xml:space="preserve">.系留线缆长度≥50m，悬停高度：≥50m；</w:t>
      </w:r>
      <w:r/>
    </w:p>
    <w:p>
      <w:pPr>
        <w:pStyle w:val="720"/>
        <w:ind w:left="0" w:firstLine="0"/>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15</w:t>
      </w:r>
      <w:r>
        <w:rPr>
          <w:rFonts w:hint="default" w:ascii="Times New Roman" w:hAnsi="Times New Roman" w:eastAsia="宋体" w:cs="Times New Roman"/>
          <w:sz w:val="24"/>
          <w:szCs w:val="24"/>
        </w:rPr>
        <w:t xml:space="preserve">.工作时间：可搭配市电、发电机等使用，可24h连续供电。</w:t>
      </w:r>
      <w:r/>
    </w:p>
    <w:p>
      <w:pPr>
        <w:pStyle w:val="720"/>
        <w:ind w:left="0" w:firstLine="0"/>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地面伴随保障灯组设备功能</w:t>
      </w:r>
      <w:r/>
    </w:p>
    <w:p>
      <w:pPr>
        <w:pStyle w:val="720"/>
        <w:ind w:left="0" w:firstLine="0"/>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16</w:t>
      </w:r>
      <w:r>
        <w:rPr>
          <w:rFonts w:hint="default" w:ascii="Times New Roman" w:hAnsi="Times New Roman" w:eastAsia="宋体" w:cs="Times New Roman"/>
          <w:sz w:val="24"/>
          <w:szCs w:val="24"/>
        </w:rPr>
        <w:t xml:space="preserve">.具备聚光、红蓝警示光等工作模式；</w:t>
      </w:r>
      <w:r/>
    </w:p>
    <w:p>
      <w:pPr>
        <w:pStyle w:val="720"/>
        <w:ind w:left="0" w:firstLine="0"/>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17</w:t>
      </w:r>
      <w:r>
        <w:rPr>
          <w:rFonts w:hint="default" w:ascii="Times New Roman" w:hAnsi="Times New Roman" w:eastAsia="宋体" w:cs="Times New Roman"/>
          <w:sz w:val="24"/>
          <w:szCs w:val="24"/>
        </w:rPr>
        <w:t xml:space="preserve">.可显示灯具的工作模式、剩余电量、剩余时间等内容；</w:t>
      </w:r>
      <w:r/>
    </w:p>
    <w:p>
      <w:pPr>
        <w:pStyle w:val="720"/>
        <w:ind w:left="0" w:firstLine="0"/>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18</w:t>
      </w:r>
      <w:r>
        <w:rPr>
          <w:rFonts w:hint="default" w:ascii="Times New Roman" w:hAnsi="Times New Roman" w:eastAsia="宋体" w:cs="Times New Roman"/>
          <w:sz w:val="24"/>
          <w:szCs w:val="24"/>
        </w:rPr>
        <w:t xml:space="preserve">.具备智能调节电压充电功能，可使用5V等多种充电器对灯具充电。</w:t>
      </w:r>
      <w:r/>
    </w:p>
    <w:p>
      <w:pPr>
        <w:pStyle w:val="720"/>
        <w:ind w:left="0" w:firstLine="0"/>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地面伴随保障灯组规格要求</w:t>
      </w:r>
      <w:r/>
    </w:p>
    <w:p>
      <w:pPr>
        <w:pStyle w:val="720"/>
        <w:ind w:left="0" w:firstLine="0"/>
        <w:keepLines w:val="0"/>
        <w:keepNext w:val="0"/>
        <w:pageBreakBefore w:val="0"/>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19</w:t>
      </w:r>
      <w:r>
        <w:rPr>
          <w:rFonts w:hint="default" w:ascii="Times New Roman" w:hAnsi="Times New Roman" w:eastAsia="宋体" w:cs="Times New Roman"/>
          <w:sz w:val="24"/>
          <w:szCs w:val="24"/>
        </w:rPr>
        <w:t xml:space="preserve">.灯具重量≤2kg；</w:t>
      </w:r>
      <w:r/>
    </w:p>
    <w:p>
      <w:pPr>
        <w:pStyle w:val="720"/>
        <w:ind w:left="0" w:firstLine="0"/>
        <w:keepLines w:val="0"/>
        <w:keepNext w:val="0"/>
        <w:pageBreakBefore w:val="0"/>
        <w:widowControl w:val="off"/>
        <w:rPr>
          <w:rFonts w:hint="default" w:ascii="Times New Roman" w:hAnsi="Times New Roman" w:eastAsia="宋体" w:cs="Times New Roman"/>
          <w:sz w:val="24"/>
          <w:szCs w:val="24"/>
          <w:highlight w:val="red"/>
        </w:rPr>
      </w:pPr>
      <w:r>
        <w:rPr>
          <w:rFonts w:hint="default" w:ascii="Times New Roman" w:hAnsi="Times New Roman" w:eastAsia="宋体" w:cs="Times New Roman"/>
          <w:sz w:val="24"/>
          <w:szCs w:val="24"/>
        </w:rPr>
        <w:t xml:space="preserve">▲2</w:t>
      </w:r>
      <w:r>
        <w:rPr>
          <w:rFonts w:hint="default" w:ascii="Times New Roman" w:hAnsi="Times New Roman" w:eastAsia="宋体" w:cs="Times New Roman"/>
          <w:sz w:val="24"/>
          <w:szCs w:val="24"/>
          <w:lang w:val="en-US" w:eastAsia="zh-CN"/>
        </w:rPr>
        <w:t xml:space="preserve">0</w:t>
      </w:r>
      <w:r>
        <w:rPr>
          <w:rFonts w:hint="default" w:ascii="Times New Roman" w:hAnsi="Times New Roman" w:eastAsia="宋体" w:cs="Times New Roman"/>
          <w:sz w:val="24"/>
          <w:szCs w:val="24"/>
        </w:rPr>
        <w:t xml:space="preserve">.光源功率≥20</w:t>
      </w:r>
      <w:r>
        <w:rPr>
          <w:rFonts w:hint="default" w:ascii="Times New Roman" w:hAnsi="Times New Roman" w:eastAsia="宋体" w:cs="Times New Roman"/>
          <w:sz w:val="24"/>
          <w:szCs w:val="24"/>
          <w:highlight w:val="none"/>
        </w:rPr>
        <w:t xml:space="preserve">W。（</w:t>
      </w:r>
      <w:r>
        <w:rPr>
          <w:rFonts w:hint="default" w:ascii="Times New Roman" w:hAnsi="Times New Roman" w:eastAsia="宋体" w:cs="Times New Roman"/>
          <w:sz w:val="24"/>
          <w:szCs w:val="24"/>
          <w:highlight w:val="none"/>
          <w:lang w:val="en-US" w:eastAsia="zh-CN"/>
        </w:rPr>
        <w:t xml:space="preserve">提供由国家认可的检测机构出具与所投产品型号一致、完整有效的检验（检测）</w:t>
      </w:r>
      <w:r>
        <w:rPr>
          <w:rFonts w:hint="eastAsia" w:ascii="Times New Roman" w:hAnsi="Times New Roman" w:cs="Times New Roman"/>
          <w:sz w:val="24"/>
          <w:szCs w:val="24"/>
          <w:highlight w:val="none"/>
          <w:lang w:val="en-US" w:eastAsia="zh-CN"/>
        </w:rPr>
        <w:t xml:space="preserve">报告</w:t>
      </w:r>
      <w:r>
        <w:rPr>
          <w:rFonts w:hint="default" w:ascii="Times New Roman" w:hAnsi="Times New Roman" w:eastAsia="宋体" w:cs="Times New Roman"/>
          <w:sz w:val="24"/>
          <w:szCs w:val="24"/>
          <w:highlight w:val="none"/>
          <w:lang w:val="en-US" w:eastAsia="zh-CN"/>
        </w:rPr>
        <w:t xml:space="preserve">。</w:t>
      </w:r>
      <w:r>
        <w:rPr>
          <w:rFonts w:hint="default" w:ascii="Times New Roman" w:hAnsi="Times New Roman" w:eastAsia="宋体" w:cs="Times New Roman"/>
          <w:sz w:val="24"/>
          <w:szCs w:val="24"/>
          <w:highlight w:val="none"/>
        </w:rPr>
        <w:t xml:space="preserve">）</w:t>
      </w:r>
      <w:r/>
    </w:p>
    <w:p>
      <w:pPr>
        <w:pStyle w:val="72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r>
      <w:r/>
    </w:p>
    <w:p>
      <w:pPr>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r>
      <w:r/>
    </w:p>
    <w:p>
      <w:pPr>
        <w:keepLines w:val="0"/>
        <w:keepNext w:val="0"/>
        <w:pageBreakBefore w:val="0"/>
        <w:spacing w:beforeAutospacing="0" w:afterAutospacing="0" w:line="0" w:lineRule="atLeast"/>
        <w:widowControl w:val="off"/>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rPr>
        <w:t xml:space="preserve">分包</w:t>
      </w:r>
      <w:r>
        <w:rPr>
          <w:rFonts w:hint="default" w:ascii="Times New Roman" w:hAnsi="Times New Roman" w:eastAsia="宋体" w:cs="Times New Roman"/>
          <w:b/>
          <w:bCs/>
          <w:sz w:val="24"/>
          <w:szCs w:val="24"/>
          <w:lang w:val="en-US" w:eastAsia="zh-CN"/>
        </w:rPr>
        <w:t xml:space="preserve">4</w:t>
      </w:r>
      <w:r>
        <w:rPr>
          <w:rFonts w:hint="default" w:ascii="Times New Roman" w:hAnsi="Times New Roman" w:eastAsia="宋体" w:cs="Times New Roman"/>
          <w:b/>
          <w:bCs/>
          <w:sz w:val="24"/>
          <w:szCs w:val="24"/>
        </w:rPr>
        <w:t xml:space="preserve">：四足机器人</w:t>
      </w:r>
      <w:r/>
    </w:p>
    <w:p>
      <w:pPr>
        <w:keepLines w:val="0"/>
        <w:keepNext w:val="0"/>
        <w:pageBreakBefore w:val="0"/>
        <w:spacing w:beforeAutospacing="0" w:afterAutospacing="0" w:line="0" w:lineRule="atLeast"/>
        <w:widowControl w:val="off"/>
        <w:rPr>
          <w:rFonts w:hint="default" w:ascii="Times New Roman" w:hAnsi="Times New Roman" w:eastAsia="宋体" w:cs="Times New Roman"/>
          <w:sz w:val="24"/>
          <w:szCs w:val="24"/>
        </w:rPr>
      </w:pPr>
      <w:r>
        <w:rPr>
          <w:rFonts w:hint="default" w:ascii="Times New Roman" w:hAnsi="Times New Roman" w:eastAsia="宋体" w:cs="Times New Roman"/>
          <w:b w:val="0"/>
          <w:bCs w:val="0"/>
          <w:color w:val="auto"/>
          <w:sz w:val="24"/>
          <w:szCs w:val="24"/>
        </w:rPr>
        <w:t xml:space="preserve">采购数量</w:t>
      </w:r>
      <w:r>
        <w:rPr>
          <w:rFonts w:hint="default" w:ascii="Times New Roman" w:hAnsi="Times New Roman" w:eastAsia="宋体" w:cs="Times New Roman"/>
          <w:i w:val="0"/>
          <w:iCs w:val="0"/>
          <w:color w:val="000000"/>
          <w:sz w:val="24"/>
          <w:szCs w:val="24"/>
          <w:u w:val="none"/>
          <w:lang w:val="en-US" w:eastAsia="zh-CN" w:bidi="ar"/>
        </w:rPr>
        <w:t xml:space="preserve">1</w:t>
      </w:r>
      <w:r>
        <w:rPr>
          <w:rFonts w:hint="default" w:ascii="Times New Roman" w:hAnsi="Times New Roman" w:eastAsia="宋体" w:cs="Times New Roman"/>
          <w:b w:val="0"/>
          <w:bCs w:val="0"/>
          <w:color w:val="auto"/>
          <w:sz w:val="24"/>
          <w:szCs w:val="24"/>
        </w:rPr>
        <w:t xml:space="preserve">套，</w:t>
      </w:r>
      <w:r>
        <w:rPr>
          <w:rFonts w:hint="default" w:ascii="Times New Roman" w:hAnsi="Times New Roman" w:eastAsia="宋体" w:cs="Times New Roman"/>
          <w:b w:val="0"/>
          <w:bCs w:val="0"/>
          <w:i/>
          <w:iCs/>
          <w:color w:val="auto"/>
          <w:sz w:val="24"/>
          <w:szCs w:val="24"/>
          <w:u w:val="single"/>
        </w:rPr>
        <w:t xml:space="preserve">预算单价</w:t>
      </w:r>
      <w:r>
        <w:rPr>
          <w:rFonts w:hint="default" w:ascii="Times New Roman" w:hAnsi="Times New Roman" w:eastAsia="宋体" w:cs="Times New Roman"/>
          <w:b w:val="0"/>
          <w:bCs w:val="0"/>
          <w:i/>
          <w:iCs/>
          <w:color w:val="auto"/>
          <w:sz w:val="24"/>
          <w:szCs w:val="24"/>
          <w:u w:val="single"/>
          <w:lang w:val="en-US" w:eastAsia="zh-CN"/>
        </w:rPr>
        <w:t xml:space="preserve">84</w:t>
      </w:r>
      <w:r>
        <w:rPr>
          <w:rFonts w:hint="default" w:ascii="Times New Roman" w:hAnsi="Times New Roman" w:eastAsia="宋体" w:cs="Times New Roman"/>
          <w:b w:val="0"/>
          <w:bCs w:val="0"/>
          <w:i/>
          <w:iCs/>
          <w:color w:val="auto"/>
          <w:sz w:val="24"/>
          <w:szCs w:val="24"/>
          <w:u w:val="single"/>
        </w:rPr>
        <w:t xml:space="preserve">万，预算总价</w:t>
      </w:r>
      <w:r>
        <w:rPr>
          <w:rFonts w:hint="default" w:ascii="Times New Roman" w:hAnsi="Times New Roman" w:eastAsia="宋体" w:cs="Times New Roman"/>
          <w:b w:val="0"/>
          <w:bCs w:val="0"/>
          <w:i/>
          <w:iCs/>
          <w:color w:val="auto"/>
          <w:sz w:val="24"/>
          <w:szCs w:val="24"/>
          <w:u w:val="single"/>
          <w:lang w:val="en-US" w:eastAsia="zh-CN"/>
        </w:rPr>
        <w:t xml:space="preserve">84</w:t>
      </w:r>
      <w:r>
        <w:rPr>
          <w:rFonts w:hint="default" w:ascii="Times New Roman" w:hAnsi="Times New Roman" w:eastAsia="宋体" w:cs="Times New Roman"/>
          <w:b w:val="0"/>
          <w:bCs w:val="0"/>
          <w:i/>
          <w:iCs/>
          <w:color w:val="auto"/>
          <w:sz w:val="24"/>
          <w:szCs w:val="24"/>
          <w:u w:val="single"/>
        </w:rPr>
        <w:t xml:space="preserve">万。</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1、快速响应：从设备开机到遥控器连接成功并可进行操控，时间不超过 60 秒；</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▲2、尺寸及外观：站立尺寸：长≤1200mm，宽≤550mm，高≤750mm； </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▲3、重量：≤80kg（带电池）；</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4、续航时间:≥4h（空载）；有效负载:≥30KG；</w:t>
      </w:r>
      <w:r/>
    </w:p>
    <w:p>
      <w:pPr>
        <w:pStyle w:val="720"/>
        <w:ind w:left="0" w:firstLine="0"/>
        <w:keepLines w:val="0"/>
        <w:keepNext w:val="0"/>
        <w:pageBreakBefore w:val="0"/>
        <w:widowControl w:val="off"/>
        <w:rPr>
          <w:rFonts w:hint="default" w:ascii="Times New Roman" w:hAnsi="Times New Roman" w:eastAsia="宋体" w:cs="Times New Roman"/>
          <w:sz w:val="24"/>
          <w:szCs w:val="24"/>
          <w:highlight w:val="none"/>
          <w:lang w:val="en-US" w:eastAsia="zh-CN"/>
        </w:rPr>
      </w:pPr>
      <w:r>
        <w:rPr>
          <w:rFonts w:hint="eastAsia" w:ascii="Times New Roman" w:hAnsi="Times New Roman" w:cs="Times New Roman"/>
          <w:sz w:val="24"/>
          <w:szCs w:val="24"/>
          <w:lang w:val="en-US" w:eastAsia="zh-CN"/>
        </w:rPr>
        <w:t xml:space="preserve">5</w:t>
      </w:r>
      <w:r>
        <w:rPr>
          <w:rFonts w:hint="default" w:ascii="Times New Roman" w:hAnsi="Times New Roman" w:eastAsia="宋体" w:cs="Times New Roman"/>
          <w:sz w:val="24"/>
          <w:szCs w:val="24"/>
          <w:lang w:val="en-US" w:eastAsia="zh-CN"/>
        </w:rPr>
        <w:t xml:space="preserve">、运动功能：具备走直线，踏步、行走、跑步，360°转向，翻越障碍和抗外力干扰的能力；可攀爬斜坡最大坡度≥40°；可攀爬最大连续台阶高度≥20cm；运动</w:t>
      </w:r>
      <w:r>
        <w:rPr>
          <w:rFonts w:hint="default" w:ascii="Times New Roman" w:hAnsi="Times New Roman" w:eastAsia="宋体" w:cs="Times New Roman"/>
          <w:sz w:val="24"/>
          <w:szCs w:val="24"/>
          <w:highlight w:val="none"/>
          <w:lang w:val="en-US" w:eastAsia="zh-CN"/>
        </w:rPr>
        <w:t xml:space="preserve">功能：最大运动速度≥3m/s；</w:t>
      </w:r>
      <w:r/>
    </w:p>
    <w:p>
      <w:pPr>
        <w:pStyle w:val="720"/>
        <w:ind w:left="0" w:firstLine="0"/>
        <w:keepLines w:val="0"/>
        <w:keepNext w:val="0"/>
        <w:pageBreakBefore w:val="0"/>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w:t>
      </w:r>
      <w:r>
        <w:rPr>
          <w:rFonts w:hint="eastAsia" w:ascii="Times New Roman" w:hAnsi="Times New Roman" w:cs="Times New Roman"/>
          <w:sz w:val="24"/>
          <w:szCs w:val="24"/>
          <w:highlight w:val="none"/>
          <w:lang w:val="en-US" w:eastAsia="zh-CN"/>
        </w:rPr>
        <w:t xml:space="preserve">6</w:t>
      </w:r>
      <w:r>
        <w:rPr>
          <w:rFonts w:hint="default" w:ascii="Times New Roman" w:hAnsi="Times New Roman" w:eastAsia="宋体" w:cs="Times New Roman"/>
          <w:sz w:val="24"/>
          <w:szCs w:val="24"/>
          <w:highlight w:val="none"/>
          <w:lang w:val="en-US" w:eastAsia="zh-CN"/>
        </w:rPr>
        <w:t xml:space="preserve">、制动距离：1m/s的速度下，制动距离≤0.4m；</w:t>
      </w:r>
      <w:r/>
    </w:p>
    <w:p>
      <w:pPr>
        <w:pStyle w:val="720"/>
        <w:ind w:left="0" w:firstLine="0"/>
        <w:keepLines w:val="0"/>
        <w:keepNext w:val="0"/>
        <w:pageBreakBefore w:val="0"/>
        <w:widowControl w:val="off"/>
        <w:rPr>
          <w:rFonts w:hint="default" w:ascii="Times New Roman" w:hAnsi="Times New Roman" w:eastAsia="宋体"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7</w:t>
      </w:r>
      <w:r>
        <w:rPr>
          <w:rFonts w:hint="default" w:ascii="Times New Roman" w:hAnsi="Times New Roman" w:eastAsia="宋体" w:cs="Times New Roman"/>
          <w:sz w:val="24"/>
          <w:szCs w:val="24"/>
          <w:highlight w:val="none"/>
          <w:lang w:val="en-US" w:eastAsia="zh-CN"/>
        </w:rPr>
        <w:t xml:space="preserve">、防护等级≥IP67（须提供第三方具备认证资质的机构出具的检测报告扫描件，并加盖投标单位公章）；</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w:t>
      </w:r>
      <w:r>
        <w:rPr>
          <w:rFonts w:hint="eastAsia" w:ascii="Times New Roman" w:hAnsi="Times New Roman" w:cs="Times New Roman"/>
          <w:sz w:val="24"/>
          <w:szCs w:val="24"/>
          <w:lang w:val="en-US" w:eastAsia="zh-CN"/>
        </w:rPr>
        <w:t xml:space="preserve">8</w:t>
      </w:r>
      <w:r>
        <w:rPr>
          <w:rFonts w:hint="default" w:ascii="Times New Roman" w:hAnsi="Times New Roman" w:eastAsia="宋体" w:cs="Times New Roman"/>
          <w:sz w:val="24"/>
          <w:szCs w:val="24"/>
          <w:lang w:val="en-US" w:eastAsia="zh-CN"/>
        </w:rPr>
        <w:t xml:space="preserve">、安全功能：具备360°自动避障和绕障功能；</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eastAsia" w:ascii="Times New Roman" w:hAnsi="Times New Roman" w:cs="Times New Roman"/>
          <w:sz w:val="24"/>
          <w:szCs w:val="24"/>
          <w:lang w:val="en-US" w:eastAsia="zh-CN"/>
        </w:rPr>
        <w:t xml:space="preserve">9</w:t>
      </w:r>
      <w:r>
        <w:rPr>
          <w:rFonts w:hint="default" w:ascii="Times New Roman" w:hAnsi="Times New Roman" w:eastAsia="宋体" w:cs="Times New Roman"/>
          <w:sz w:val="24"/>
          <w:szCs w:val="24"/>
          <w:lang w:val="en-US" w:eastAsia="zh-CN"/>
        </w:rPr>
        <w:t xml:space="preserve">、安全功能：至少具备软硬急停保护、摔倒保护、过温报警等功能；</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1</w:t>
      </w:r>
      <w:r>
        <w:rPr>
          <w:rFonts w:hint="eastAsia" w:ascii="Times New Roman" w:hAnsi="Times New Roman" w:cs="Times New Roman"/>
          <w:sz w:val="24"/>
          <w:szCs w:val="24"/>
          <w:lang w:val="en-US" w:eastAsia="zh-CN"/>
        </w:rPr>
        <w:t xml:space="preserve">0</w:t>
      </w:r>
      <w:r>
        <w:rPr>
          <w:rFonts w:hint="default" w:ascii="Times New Roman" w:hAnsi="Times New Roman" w:eastAsia="宋体" w:cs="Times New Roman"/>
          <w:sz w:val="24"/>
          <w:szCs w:val="24"/>
          <w:lang w:val="en-US" w:eastAsia="zh-CN"/>
        </w:rPr>
        <w:t xml:space="preserve">、安全功能：至少具备耐磨、防火等性能（须提供第三方具备认证资质的机构出具的检测报告扫描件，或提供承诺函格式自拟，并加盖投标单位公章）；</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双光云台模块功能及要求</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1</w:t>
      </w:r>
      <w:r>
        <w:rPr>
          <w:rFonts w:hint="eastAsia" w:ascii="Times New Roman" w:hAnsi="Times New Roman" w:cs="Times New Roman"/>
          <w:sz w:val="24"/>
          <w:szCs w:val="24"/>
          <w:lang w:val="en-US" w:eastAsia="zh-CN"/>
        </w:rPr>
        <w:t xml:space="preserve">1</w:t>
      </w:r>
      <w:r>
        <w:rPr>
          <w:rFonts w:hint="default" w:ascii="Times New Roman" w:hAnsi="Times New Roman" w:eastAsia="宋体" w:cs="Times New Roman"/>
          <w:sz w:val="24"/>
          <w:szCs w:val="24"/>
          <w:lang w:val="en-US" w:eastAsia="zh-CN"/>
        </w:rPr>
        <w:t xml:space="preserve">、适配四足机器人，支持红外和高速变焦功能；</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1</w:t>
      </w:r>
      <w:r>
        <w:rPr>
          <w:rFonts w:hint="eastAsia" w:ascii="Times New Roman" w:hAnsi="Times New Roman" w:cs="Times New Roman"/>
          <w:sz w:val="24"/>
          <w:szCs w:val="24"/>
          <w:lang w:val="en-US" w:eastAsia="zh-CN"/>
        </w:rPr>
        <w:t xml:space="preserve">2</w:t>
      </w:r>
      <w:r>
        <w:rPr>
          <w:rFonts w:hint="default" w:ascii="Times New Roman" w:hAnsi="Times New Roman" w:eastAsia="宋体" w:cs="Times New Roman"/>
          <w:sz w:val="24"/>
          <w:szCs w:val="24"/>
          <w:lang w:val="en-US" w:eastAsia="zh-CN"/>
        </w:rPr>
        <w:t xml:space="preserve">、分辨率≥1920*1080；红外分辨率≥384*288，测温范围不低于-20℃~150℃、0~500℃；云台角度范围：垂直方向≥-20°（俯视）～ +90°（仰视），水平方向360°；</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激光三维建图模块功能及要求</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1</w:t>
      </w:r>
      <w:r>
        <w:rPr>
          <w:rFonts w:hint="eastAsia" w:ascii="Times New Roman" w:hAnsi="Times New Roman" w:cs="Times New Roman"/>
          <w:sz w:val="24"/>
          <w:szCs w:val="24"/>
          <w:lang w:val="en-US" w:eastAsia="zh-CN"/>
        </w:rPr>
        <w:t xml:space="preserve">3</w:t>
      </w:r>
      <w:r>
        <w:rPr>
          <w:rFonts w:hint="default" w:ascii="Times New Roman" w:hAnsi="Times New Roman" w:eastAsia="宋体" w:cs="Times New Roman"/>
          <w:sz w:val="24"/>
          <w:szCs w:val="24"/>
          <w:lang w:val="en-US" w:eastAsia="zh-CN"/>
        </w:rPr>
        <w:t xml:space="preserve">、能够完全适配四足机器人，支持实时生成厘米级彩色点云模型；</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1</w:t>
      </w:r>
      <w:r>
        <w:rPr>
          <w:rFonts w:hint="eastAsia" w:ascii="Times New Roman" w:hAnsi="Times New Roman" w:cs="Times New Roman"/>
          <w:sz w:val="24"/>
          <w:szCs w:val="24"/>
          <w:lang w:val="en-US" w:eastAsia="zh-CN"/>
        </w:rPr>
        <w:t xml:space="preserve">4</w:t>
      </w:r>
      <w:r>
        <w:rPr>
          <w:rFonts w:hint="default" w:ascii="Times New Roman" w:hAnsi="Times New Roman" w:eastAsia="宋体" w:cs="Times New Roman"/>
          <w:sz w:val="24"/>
          <w:szCs w:val="24"/>
          <w:lang w:val="en-US" w:eastAsia="zh-CN"/>
        </w:rPr>
        <w:t xml:space="preserve">、扫描范围：≥40m，扫描速率：≥20万点/秒；相对精度≤1.5cm，配套RTK模块；</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拾音、广播、照明模块功能及要求</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1</w:t>
      </w:r>
      <w:r>
        <w:rPr>
          <w:rFonts w:hint="eastAsia" w:ascii="Times New Roman" w:hAnsi="Times New Roman" w:cs="Times New Roman"/>
          <w:sz w:val="24"/>
          <w:szCs w:val="24"/>
          <w:lang w:val="en-US" w:eastAsia="zh-CN"/>
        </w:rPr>
        <w:t xml:space="preserve">5</w:t>
      </w:r>
      <w:r>
        <w:rPr>
          <w:rFonts w:hint="default" w:ascii="Times New Roman" w:hAnsi="Times New Roman" w:eastAsia="宋体" w:cs="Times New Roman"/>
          <w:sz w:val="24"/>
          <w:szCs w:val="24"/>
          <w:lang w:val="en-US" w:eastAsia="zh-CN"/>
        </w:rPr>
        <w:t xml:space="preserve">、具备遥控端和四足机器人端远程语音对接功能，具备360°拾音功能，具有回声抵消、智能动态降噪功能；广播：支持实时喊话、录音上传、音频文件播放、文字转语音等播放方式； 照明：支持照明、红蓝爆闪模式切换；</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灭火水炮模块功能及要求</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eastAsia" w:ascii="Times New Roman" w:hAnsi="Times New Roman" w:cs="Times New Roman"/>
          <w:sz w:val="24"/>
          <w:szCs w:val="24"/>
          <w:lang w:val="en-US" w:eastAsia="zh-CN"/>
        </w:rPr>
        <w:t xml:space="preserve">16</w:t>
      </w:r>
      <w:r>
        <w:rPr>
          <w:rFonts w:hint="default" w:ascii="Times New Roman" w:hAnsi="Times New Roman" w:eastAsia="宋体" w:cs="Times New Roman"/>
          <w:sz w:val="24"/>
          <w:szCs w:val="24"/>
          <w:lang w:val="en-US" w:eastAsia="zh-CN"/>
        </w:rPr>
        <w:t xml:space="preserve">、支持直流喷射，≥3 档流量可选：20L/s、30L/s、40L/s；最大射程：≥60m；最大喷雾角度：≥120°；水平运动角度：≥±20°；</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eastAsia" w:ascii="Times New Roman" w:hAnsi="Times New Roman" w:cs="Times New Roman"/>
          <w:sz w:val="24"/>
          <w:szCs w:val="24"/>
          <w:lang w:val="en-US" w:eastAsia="zh-CN"/>
        </w:rPr>
        <w:t xml:space="preserve">17</w:t>
      </w:r>
      <w:r>
        <w:rPr>
          <w:rFonts w:hint="default" w:ascii="Times New Roman" w:hAnsi="Times New Roman" w:eastAsia="宋体" w:cs="Times New Roman"/>
          <w:sz w:val="24"/>
          <w:szCs w:val="24"/>
          <w:lang w:val="en-US" w:eastAsia="zh-CN"/>
        </w:rPr>
        <w:t xml:space="preserve">、支持电控直流喷雾炮头，至少实现直流和喷雾两种模式自由切换；支持安装泡沫炮头，可快速替换直流喷雾炮头，实现一机双用；</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气体检测模块功能及要求</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eastAsia" w:ascii="Times New Roman" w:hAnsi="Times New Roman" w:cs="Times New Roman"/>
          <w:sz w:val="24"/>
          <w:szCs w:val="24"/>
          <w:lang w:val="en-US" w:eastAsia="zh-CN"/>
        </w:rPr>
        <w:t xml:space="preserve">18</w:t>
      </w:r>
      <w:r>
        <w:rPr>
          <w:rFonts w:hint="default" w:ascii="Times New Roman" w:hAnsi="Times New Roman" w:eastAsia="宋体" w:cs="Times New Roman"/>
          <w:sz w:val="24"/>
          <w:szCs w:val="24"/>
          <w:lang w:val="en-US" w:eastAsia="zh-CN"/>
        </w:rPr>
        <w:t xml:space="preserve">、适配四足机器人，能自动识别检测气体包括但不限于：一氧化碳CO、硫化氢H</w:t>
      </w:r>
      <w:r>
        <w:rPr>
          <w:rFonts w:hint="default" w:ascii="Times New Roman" w:hAnsi="Times New Roman" w:eastAsia="宋体" w:cs="Times New Roman"/>
          <w:sz w:val="24"/>
          <w:szCs w:val="24"/>
          <w:vertAlign w:val="subscript"/>
          <w:lang w:val="en-US" w:eastAsia="zh-CN"/>
        </w:rPr>
        <w:t xml:space="preserve">2</w:t>
      </w:r>
      <w:r>
        <w:rPr>
          <w:rFonts w:hint="default" w:ascii="Times New Roman" w:hAnsi="Times New Roman" w:eastAsia="宋体" w:cs="Times New Roman"/>
          <w:sz w:val="24"/>
          <w:szCs w:val="24"/>
          <w:lang w:val="en-US" w:eastAsia="zh-CN"/>
        </w:rPr>
        <w:t xml:space="preserve">S、氧气O</w:t>
      </w:r>
      <w:r>
        <w:rPr>
          <w:rFonts w:hint="default" w:ascii="Times New Roman" w:hAnsi="Times New Roman" w:eastAsia="宋体" w:cs="Times New Roman"/>
          <w:sz w:val="24"/>
          <w:szCs w:val="24"/>
          <w:vertAlign w:val="subscript"/>
          <w:lang w:val="en-US" w:eastAsia="zh-CN"/>
        </w:rPr>
        <w:t xml:space="preserve">2</w:t>
      </w:r>
      <w:r>
        <w:rPr>
          <w:rFonts w:hint="default" w:ascii="Times New Roman" w:hAnsi="Times New Roman" w:eastAsia="宋体" w:cs="Times New Roman"/>
          <w:sz w:val="24"/>
          <w:szCs w:val="24"/>
          <w:lang w:val="en-US" w:eastAsia="zh-CN"/>
        </w:rPr>
        <w:t xml:space="preserve">、可燃 EX、二氧化碳CO</w:t>
      </w:r>
      <w:r>
        <w:rPr>
          <w:rFonts w:hint="default" w:ascii="Times New Roman" w:hAnsi="Times New Roman" w:eastAsia="宋体" w:cs="Times New Roman"/>
          <w:sz w:val="24"/>
          <w:szCs w:val="24"/>
          <w:vertAlign w:val="subscript"/>
          <w:lang w:val="en-US" w:eastAsia="zh-CN"/>
        </w:rPr>
        <w:t xml:space="preserve">2</w:t>
      </w:r>
      <w:r>
        <w:rPr>
          <w:rFonts w:hint="default" w:ascii="Times New Roman" w:hAnsi="Times New Roman" w:eastAsia="宋体" w:cs="Times New Roman"/>
          <w:sz w:val="24"/>
          <w:szCs w:val="24"/>
          <w:lang w:val="en-US" w:eastAsia="zh-CN"/>
        </w:rPr>
        <w:t xml:space="preserve">、氮氧化物NO</w:t>
      </w:r>
      <w:r>
        <w:rPr>
          <w:rFonts w:hint="default" w:ascii="Times New Roman" w:hAnsi="Times New Roman" w:eastAsia="宋体" w:cs="Times New Roman"/>
          <w:sz w:val="24"/>
          <w:szCs w:val="24"/>
          <w:vertAlign w:val="subscript"/>
          <w:lang w:val="en-US" w:eastAsia="zh-CN"/>
        </w:rPr>
        <w:t xml:space="preserve">X</w:t>
      </w:r>
      <w:r>
        <w:rPr>
          <w:rFonts w:hint="default" w:ascii="Times New Roman" w:hAnsi="Times New Roman" w:eastAsia="宋体" w:cs="Times New Roman"/>
          <w:sz w:val="24"/>
          <w:szCs w:val="24"/>
          <w:lang w:val="en-US" w:eastAsia="zh-CN"/>
        </w:rPr>
        <w:t xml:space="preserve">(NO</w:t>
      </w:r>
      <w:r>
        <w:rPr>
          <w:rFonts w:hint="default" w:ascii="Times New Roman" w:hAnsi="Times New Roman" w:eastAsia="宋体" w:cs="Times New Roman"/>
          <w:sz w:val="24"/>
          <w:szCs w:val="24"/>
          <w:vertAlign w:val="subscript"/>
          <w:lang w:val="en-US" w:eastAsia="zh-CN"/>
        </w:rPr>
        <w:t xml:space="preserve">2</w:t>
      </w:r>
      <w:r>
        <w:rPr>
          <w:rFonts w:hint="default" w:ascii="Times New Roman" w:hAnsi="Times New Roman" w:eastAsia="宋体" w:cs="Times New Roman"/>
          <w:sz w:val="24"/>
          <w:szCs w:val="24"/>
          <w:lang w:val="en-US" w:eastAsia="zh-CN"/>
        </w:rPr>
        <w:t xml:space="preserve">)等可燃有害气体，并进行实时浓度报警，在遥控终端上显示气体传感器信息，支持历史检测记录查询手持地面站功能及要求；</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手持地面站功能及要求</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eastAsia" w:ascii="Times New Roman" w:hAnsi="Times New Roman" w:cs="Times New Roman"/>
          <w:sz w:val="24"/>
          <w:szCs w:val="24"/>
          <w:lang w:val="en-US" w:eastAsia="zh-CN"/>
        </w:rPr>
        <w:t xml:space="preserve">19</w:t>
      </w:r>
      <w:r>
        <w:rPr>
          <w:rFonts w:hint="default" w:ascii="Times New Roman" w:hAnsi="Times New Roman" w:eastAsia="宋体" w:cs="Times New Roman"/>
          <w:sz w:val="24"/>
          <w:szCs w:val="24"/>
          <w:lang w:val="en-US" w:eastAsia="zh-CN"/>
        </w:rPr>
        <w:t xml:space="preserve">、具备无线数字图传，全高清视频实时显示遥控、数据、图像链路；</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2</w:t>
      </w:r>
      <w:r>
        <w:rPr>
          <w:rFonts w:hint="eastAsia" w:ascii="Times New Roman" w:hAnsi="Times New Roman" w:cs="Times New Roman"/>
          <w:sz w:val="24"/>
          <w:szCs w:val="24"/>
          <w:lang w:val="en-US" w:eastAsia="zh-CN"/>
        </w:rPr>
        <w:t xml:space="preserve">0</w:t>
      </w:r>
      <w:r>
        <w:rPr>
          <w:rFonts w:hint="default" w:ascii="Times New Roman" w:hAnsi="Times New Roman" w:eastAsia="宋体" w:cs="Times New Roman"/>
          <w:sz w:val="24"/>
          <w:szCs w:val="24"/>
          <w:lang w:val="en-US" w:eastAsia="zh-CN"/>
        </w:rPr>
        <w:t xml:space="preserve">、分辨率：≥1080P；屏幕尺寸≥7寸，高清高亮显示屏；防护等级：≥IP55；</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2</w:t>
      </w:r>
      <w:r>
        <w:rPr>
          <w:rFonts w:hint="eastAsia" w:ascii="Times New Roman" w:hAnsi="Times New Roman" w:cs="Times New Roman"/>
          <w:sz w:val="24"/>
          <w:szCs w:val="24"/>
          <w:lang w:val="en-US" w:eastAsia="zh-CN"/>
        </w:rPr>
        <w:t xml:space="preserve">1</w:t>
      </w:r>
      <w:r>
        <w:rPr>
          <w:rFonts w:hint="default" w:ascii="Times New Roman" w:hAnsi="Times New Roman" w:eastAsia="宋体" w:cs="Times New Roman"/>
          <w:sz w:val="24"/>
          <w:szCs w:val="24"/>
          <w:lang w:val="en-US" w:eastAsia="zh-CN"/>
        </w:rPr>
        <w:t xml:space="preserve">、具备云台控制杆；双光谱云台的转动；可以进行截屏、录屏、紧急停止等功能；能实现对机器人的行走、跑步、上下楼梯、斜坡的遥控、实时显示机器人电量、信号强度，气体传感器等数据；可分屏显示可见光和红外视频实时画面、控制双光云台的转动；可以进行截屏、录屏、紧急停止等功能；</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eastAsia" w:ascii="Times New Roman" w:hAnsi="Times New Roman" w:cs="Times New Roman"/>
          <w:sz w:val="24"/>
          <w:szCs w:val="24"/>
          <w:lang w:val="en-US" w:eastAsia="zh-CN"/>
        </w:rPr>
        <w:t xml:space="preserve">22</w:t>
      </w:r>
      <w:r>
        <w:rPr>
          <w:rFonts w:hint="default" w:ascii="Times New Roman" w:hAnsi="Times New Roman" w:eastAsia="宋体" w:cs="Times New Roman"/>
          <w:sz w:val="24"/>
          <w:szCs w:val="24"/>
          <w:lang w:val="en-US" w:eastAsia="zh-CN"/>
        </w:rPr>
        <w:t xml:space="preserve">、模块化快拆设计：模块采用快拆结构设计，可根据任务需求灵活拆装使用，满足多场景实战需求；</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eastAsia" w:ascii="Times New Roman" w:hAnsi="Times New Roman" w:cs="Times New Roman"/>
          <w:sz w:val="24"/>
          <w:szCs w:val="24"/>
          <w:lang w:val="en-US" w:eastAsia="zh-CN"/>
        </w:rPr>
        <w:t xml:space="preserve">23</w:t>
      </w:r>
      <w:r>
        <w:rPr>
          <w:rFonts w:hint="default" w:ascii="Times New Roman" w:hAnsi="Times New Roman" w:eastAsia="宋体" w:cs="Times New Roman"/>
          <w:sz w:val="24"/>
          <w:szCs w:val="24"/>
          <w:lang w:val="en-US" w:eastAsia="zh-CN"/>
        </w:rPr>
        <w:t xml:space="preserve">、适配定制服务：提供对用户自有的自组网设备适配服务：根据用户已有自组网设备，定制设备接口与机器人适配快速安装；</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eastAsia" w:ascii="Times New Roman" w:hAnsi="Times New Roman" w:cs="Times New Roman"/>
          <w:sz w:val="24"/>
          <w:szCs w:val="24"/>
          <w:lang w:val="en-US" w:eastAsia="zh-CN"/>
        </w:rPr>
        <w:t xml:space="preserve">24</w:t>
      </w:r>
      <w:r>
        <w:rPr>
          <w:rFonts w:hint="default" w:ascii="Times New Roman" w:hAnsi="Times New Roman" w:eastAsia="宋体" w:cs="Times New Roman"/>
          <w:sz w:val="24"/>
          <w:szCs w:val="24"/>
          <w:lang w:val="en-US" w:eastAsia="zh-CN"/>
        </w:rPr>
        <w:t xml:space="preserve">、便携式平板电脑：提供配套的便携式平板电脑，展示实时扫描点云实时建模的效果；专用置物筐：支持根据机器人尺寸定制背负式置物箱，能完全收纳机器人及其配件；</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服务及运维</w:t>
      </w:r>
      <w:r>
        <w:rPr>
          <w:rFonts w:hint="default" w:ascii="Times New Roman" w:hAnsi="Times New Roman" w:eastAsia="宋体" w:cs="Times New Roman"/>
          <w:sz w:val="24"/>
          <w:szCs w:val="24"/>
          <w:lang w:val="en-US" w:eastAsia="zh-CN"/>
        </w:rPr>
        <w:tab/>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eastAsia" w:ascii="Times New Roman" w:hAnsi="Times New Roman" w:cs="Times New Roman"/>
          <w:sz w:val="24"/>
          <w:szCs w:val="24"/>
          <w:lang w:val="en-US" w:eastAsia="zh-CN"/>
        </w:rPr>
        <w:t xml:space="preserve">2</w:t>
      </w:r>
      <w:r>
        <w:rPr>
          <w:rFonts w:hint="default" w:ascii="Times New Roman" w:hAnsi="Times New Roman" w:eastAsia="宋体" w:cs="Times New Roman"/>
          <w:sz w:val="24"/>
          <w:szCs w:val="24"/>
          <w:lang w:val="en-US" w:eastAsia="zh-CN"/>
        </w:rPr>
        <w:t xml:space="preserve">5、</w:t>
      </w:r>
      <w:r>
        <w:rPr>
          <w:rFonts w:hint="default" w:ascii="Times New Roman" w:hAnsi="Times New Roman" w:eastAsia="宋体" w:cs="Times New Roman"/>
          <w:i/>
          <w:iCs/>
          <w:sz w:val="24"/>
          <w:szCs w:val="24"/>
          <w:u w:val="single"/>
          <w:lang w:val="en-US" w:eastAsia="zh-CN"/>
        </w:rPr>
        <w:t xml:space="preserve">提供免费交付培训和终身免费的软件升级服务；</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eastAsia" w:ascii="Times New Roman" w:hAnsi="Times New Roman" w:cs="Times New Roman"/>
          <w:sz w:val="24"/>
          <w:szCs w:val="24"/>
          <w:lang w:val="en-US" w:eastAsia="zh-CN"/>
        </w:rPr>
        <w:t xml:space="preserve">2</w:t>
      </w:r>
      <w:r>
        <w:rPr>
          <w:rFonts w:hint="default" w:ascii="Times New Roman" w:hAnsi="Times New Roman" w:eastAsia="宋体" w:cs="Times New Roman"/>
          <w:sz w:val="24"/>
          <w:szCs w:val="24"/>
          <w:lang w:val="en-US" w:eastAsia="zh-CN"/>
        </w:rPr>
        <w:t xml:space="preserve">6、四足机器人可接入总队无人化装备管理平台</w:t>
      </w:r>
      <w:r/>
    </w:p>
    <w:p>
      <w:pPr>
        <w:pStyle w:val="720"/>
        <w:ind w:left="0" w:firstLine="0"/>
        <w:keepLines w:val="0"/>
        <w:keepNext w:val="0"/>
        <w:pageBreakBefore w:val="0"/>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w:t>
      </w:r>
      <w:r>
        <w:rPr>
          <w:rFonts w:hint="eastAsia" w:ascii="Times New Roman" w:hAnsi="Times New Roman" w:cs="Times New Roman"/>
          <w:sz w:val="24"/>
          <w:szCs w:val="24"/>
          <w:lang w:val="en-US" w:eastAsia="zh-CN"/>
        </w:rPr>
        <w:t xml:space="preserve">2</w:t>
      </w:r>
      <w:r>
        <w:rPr>
          <w:rFonts w:hint="default" w:ascii="Times New Roman" w:hAnsi="Times New Roman" w:eastAsia="宋体" w:cs="Times New Roman"/>
          <w:sz w:val="24"/>
          <w:szCs w:val="24"/>
          <w:lang w:val="en-US" w:eastAsia="zh-CN"/>
        </w:rPr>
        <w:t xml:space="preserve">6.1支持开放标准化接口：采用RESTful API接口，支持基于HTTP/HTTPS/MQTT等协议完成请求响应交互，支持采用JSON数据格式进行数据封装。同时提供丰富API文档，便于第三方平台快速对接和二次开发；</w:t>
      </w:r>
      <w:r/>
    </w:p>
    <w:p>
      <w:pPr>
        <w:pStyle w:val="720"/>
        <w:ind w:left="0" w:firstLine="0"/>
        <w:keepLines w:val="0"/>
        <w:keepNext w:val="0"/>
        <w:pageBreakBefore w:val="0"/>
        <w:widowControl w:val="off"/>
        <w:rPr>
          <w:rFonts w:hint="default"/>
          <w:lang w:val="en-US" w:eastAsia="zh-CN"/>
        </w:rPr>
      </w:pPr>
      <w:r>
        <w:rPr>
          <w:rFonts w:hint="default" w:ascii="Times New Roman" w:hAnsi="Times New Roman" w:eastAsia="宋体" w:cs="Times New Roman"/>
          <w:sz w:val="24"/>
          <w:szCs w:val="24"/>
          <w:lang w:val="en-US" w:eastAsia="zh-CN"/>
        </w:rPr>
        <w:t xml:space="preserve">▲</w:t>
      </w:r>
      <w:r>
        <w:rPr>
          <w:rFonts w:hint="eastAsia" w:ascii="Times New Roman" w:hAnsi="Times New Roman" w:cs="Times New Roman"/>
          <w:sz w:val="24"/>
          <w:szCs w:val="24"/>
          <w:lang w:val="en-US" w:eastAsia="zh-CN"/>
        </w:rPr>
        <w:t xml:space="preserve">2</w:t>
      </w:r>
      <w:r>
        <w:rPr>
          <w:rFonts w:hint="default" w:ascii="Times New Roman" w:hAnsi="Times New Roman" w:eastAsia="宋体" w:cs="Times New Roman"/>
          <w:sz w:val="24"/>
          <w:szCs w:val="24"/>
          <w:lang w:val="en-US" w:eastAsia="zh-CN"/>
        </w:rPr>
        <w:t xml:space="preserve">6.2支持接入装备基础信息、运行状态等数据信息：包括但不限于装备名称、品牌型号、生产厂商、设备在线/离线状态、实时位置、行进速率、环境感知采集影像、异常预警、任务执行阶段等实时运行状态数据。</w:t>
      </w:r>
      <w:r/>
    </w:p>
    <w:p>
      <w:pPr>
        <w:pageBreakBefore w:val="0"/>
        <w:spacing w:beforeAutospacing="0" w:afterAutospacing="0" w:line="0" w:lineRule="atLeast"/>
        <w:rPr>
          <w:rFonts w:hint="eastAsia" w:ascii="宋体" w:hAnsi="宋体"/>
          <w:b/>
          <w:bCs/>
          <w:sz w:val="24"/>
          <w:szCs w:val="24"/>
          <w:lang w:eastAsia="zh-CN"/>
        </w:rPr>
      </w:pPr>
      <w:r>
        <w:rPr>
          <w:rFonts w:hint="eastAsia" w:ascii="宋体" w:hAnsi="宋体"/>
          <w:b/>
          <w:bCs/>
          <w:sz w:val="24"/>
          <w:szCs w:val="24"/>
          <w:lang w:eastAsia="zh-CN"/>
        </w:rPr>
      </w:r>
      <w:r/>
    </w:p>
    <w:p>
      <w:pPr>
        <w:pageBreakBefore w:val="0"/>
        <w:spacing w:beforeAutospacing="0" w:afterAutospacing="0" w:line="0" w:lineRule="atLeast"/>
        <w:rPr>
          <w:rFonts w:ascii="宋体" w:hAnsi="宋体"/>
          <w:b/>
          <w:bCs/>
          <w:sz w:val="24"/>
          <w:szCs w:val="24"/>
        </w:rPr>
      </w:pPr>
      <w:r>
        <w:rPr>
          <w:rFonts w:hint="eastAsia" w:ascii="宋体" w:hAnsi="宋体"/>
          <w:b/>
          <w:bCs/>
          <w:sz w:val="24"/>
          <w:szCs w:val="24"/>
          <w:lang w:eastAsia="zh-CN"/>
        </w:rPr>
        <w:t xml:space="preserve">四</w:t>
      </w:r>
      <w:r>
        <w:rPr>
          <w:rFonts w:ascii="宋体" w:hAnsi="宋体"/>
          <w:b/>
          <w:bCs/>
          <w:sz w:val="24"/>
          <w:szCs w:val="24"/>
        </w:rPr>
        <w:t xml:space="preserve">、</w:t>
      </w:r>
      <w:r>
        <w:rPr>
          <w:rFonts w:hint="eastAsia" w:ascii="宋体" w:hAnsi="宋体"/>
          <w:b/>
          <w:bCs/>
          <w:sz w:val="24"/>
          <w:szCs w:val="24"/>
        </w:rPr>
        <w:t xml:space="preserve">商务</w:t>
      </w:r>
      <w:r>
        <w:rPr>
          <w:rFonts w:ascii="宋体" w:hAnsi="宋体"/>
          <w:b/>
          <w:bCs/>
          <w:sz w:val="24"/>
          <w:szCs w:val="24"/>
        </w:rPr>
        <w:t xml:space="preserve">要求</w:t>
      </w:r>
      <w:r/>
    </w:p>
    <w:p>
      <w:pPr>
        <w:pageBreakBefore w:val="0"/>
        <w:spacing w:beforeAutospacing="0" w:afterAutospacing="0" w:line="0" w:lineRule="atLeast"/>
        <w:rPr>
          <w:rFonts w:ascii="宋体" w:hAnsi="宋体"/>
          <w:b/>
          <w:bCs/>
          <w:sz w:val="24"/>
          <w:szCs w:val="21"/>
        </w:rPr>
      </w:pPr>
      <w:r>
        <w:rPr>
          <w:rFonts w:hint="eastAsia" w:ascii="宋体" w:hAnsi="宋体"/>
          <w:bCs/>
          <w:sz w:val="24"/>
          <w:szCs w:val="24"/>
        </w:rPr>
        <w:t xml:space="preserve">商务要求是指取得采购标的的时间、地点、财务和服务要求，包括交付（实施）的时间（期限）和地点（范围），付款条件（进度和方法），包装和运输，售后服务，保险等。其中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p>
    <w:p>
      <w:pPr>
        <w:pageBreakBefore w:val="0"/>
        <w:spacing w:beforeAutospacing="0" w:afterAutospacing="0" w:line="0" w:lineRule="atLeast"/>
        <w:rPr>
          <w:rFonts w:hint="eastAsia" w:ascii="宋体" w:hAnsi="宋体"/>
          <w:b w:val="0"/>
          <w:bCs w:val="0"/>
          <w:color w:val="000000"/>
          <w:sz w:val="24"/>
          <w:szCs w:val="21"/>
        </w:rPr>
      </w:pPr>
      <w:r>
        <w:rPr>
          <w:rFonts w:hint="eastAsia" w:ascii="宋体" w:hAnsi="宋体"/>
          <w:b w:val="0"/>
          <w:bCs w:val="0"/>
          <w:color w:val="000000"/>
          <w:sz w:val="24"/>
          <w:szCs w:val="21"/>
          <w:lang w:val="en-US" w:eastAsia="zh-CN"/>
        </w:rPr>
        <w:t xml:space="preserve">1.</w:t>
      </w:r>
      <w:r>
        <w:rPr>
          <w:rFonts w:hint="eastAsia" w:ascii="宋体" w:hAnsi="宋体"/>
          <w:b w:val="0"/>
          <w:bCs w:val="0"/>
          <w:color w:val="000000"/>
          <w:sz w:val="24"/>
          <w:szCs w:val="21"/>
        </w:rPr>
        <w:t xml:space="preserve">售后服务方案 </w:t>
      </w:r>
      <w:r/>
    </w:p>
    <w:p>
      <w:pPr>
        <w:pageBreakBefore w:val="0"/>
        <w:spacing w:beforeAutospacing="0" w:afterAutospacing="0" w:line="0" w:lineRule="atLeast"/>
        <w:rPr>
          <w:rFonts w:hint="eastAsia" w:ascii="宋体" w:hAnsi="宋体"/>
          <w:b w:val="0"/>
          <w:bCs w:val="0"/>
          <w:color w:val="000000"/>
          <w:sz w:val="24"/>
          <w:szCs w:val="21"/>
        </w:rPr>
      </w:pPr>
      <w:r>
        <w:rPr>
          <w:rFonts w:hint="eastAsia" w:ascii="宋体" w:hAnsi="宋体"/>
          <w:b w:val="0"/>
          <w:bCs w:val="0"/>
          <w:color w:val="000000"/>
          <w:sz w:val="24"/>
          <w:szCs w:val="21"/>
        </w:rPr>
        <w:t xml:space="preserve">就投标人提供的售后服务方案进行综合评审，内容包括但不限于:售后服务范围、售后服务内容、售后服务点设置、售后服务人员配备、拟投入的设施设备及车辆配备、响应时间、售后服务承诺与保证书等情况。</w:t>
      </w:r>
      <w:r/>
    </w:p>
    <w:p>
      <w:pPr>
        <w:pageBreakBefore w:val="0"/>
        <w:spacing w:beforeAutospacing="0" w:afterAutospacing="0" w:line="0" w:lineRule="atLeast"/>
        <w:rPr>
          <w:rFonts w:hint="eastAsia" w:ascii="宋体" w:hAnsi="宋体"/>
          <w:b w:val="0"/>
          <w:bCs w:val="0"/>
          <w:color w:val="000000"/>
          <w:sz w:val="24"/>
          <w:szCs w:val="21"/>
        </w:rPr>
      </w:pPr>
      <w:r>
        <w:rPr>
          <w:rFonts w:hint="eastAsia" w:ascii="宋体" w:hAnsi="宋体"/>
          <w:b w:val="0"/>
          <w:bCs w:val="0"/>
          <w:color w:val="000000"/>
          <w:sz w:val="24"/>
          <w:szCs w:val="21"/>
        </w:rPr>
        <w:t xml:space="preserve">方案内容完整，售后服务范围全面且清晰，售后服务点设置有利于采购人，配备售后服务人员专业对口且经验丰富，配备设施设备先进且全面，响应时间满足采购文件要求，售后服务承诺与保证书有处罚措施。</w:t>
      </w:r>
      <w:r/>
    </w:p>
    <w:p>
      <w:pPr>
        <w:pageBreakBefore w:val="0"/>
        <w:spacing w:beforeAutospacing="0" w:afterAutospacing="0" w:line="0" w:lineRule="atLeast"/>
        <w:rPr>
          <w:rFonts w:hint="eastAsia" w:ascii="宋体" w:hAnsi="宋体"/>
          <w:b w:val="0"/>
          <w:bCs w:val="0"/>
          <w:color w:val="000000"/>
          <w:sz w:val="24"/>
          <w:szCs w:val="21"/>
        </w:rPr>
      </w:pPr>
      <w:r>
        <w:rPr>
          <w:rFonts w:hint="eastAsia" w:ascii="宋体" w:hAnsi="宋体"/>
          <w:b w:val="0"/>
          <w:bCs w:val="0"/>
          <w:color w:val="000000"/>
          <w:sz w:val="24"/>
          <w:szCs w:val="21"/>
          <w:lang w:val="en-US" w:eastAsia="zh-CN"/>
        </w:rPr>
        <w:t xml:space="preserve">2.</w:t>
      </w:r>
      <w:r>
        <w:rPr>
          <w:rFonts w:hint="eastAsia" w:ascii="宋体" w:hAnsi="宋体"/>
          <w:b w:val="0"/>
          <w:bCs w:val="0"/>
          <w:color w:val="000000"/>
          <w:sz w:val="24"/>
          <w:szCs w:val="21"/>
        </w:rPr>
        <w:t xml:space="preserve">保修方案 </w:t>
      </w:r>
      <w:r/>
    </w:p>
    <w:p>
      <w:pPr>
        <w:pageBreakBefore w:val="0"/>
        <w:spacing w:beforeAutospacing="0" w:afterAutospacing="0" w:line="0" w:lineRule="atLeast"/>
        <w:rPr>
          <w:rFonts w:hint="eastAsia" w:ascii="宋体" w:hAnsi="宋体"/>
          <w:b w:val="0"/>
          <w:bCs w:val="0"/>
          <w:color w:val="000000"/>
          <w:sz w:val="24"/>
          <w:szCs w:val="21"/>
        </w:rPr>
      </w:pPr>
      <w:r>
        <w:rPr>
          <w:rFonts w:hint="eastAsia" w:ascii="宋体" w:hAnsi="宋体"/>
          <w:b w:val="0"/>
          <w:bCs w:val="0"/>
          <w:color w:val="000000"/>
          <w:sz w:val="24"/>
          <w:szCs w:val="21"/>
        </w:rPr>
        <w:t xml:space="preserve">就投标人提供的保修方案进行综合评审，内容包括但不限于：保修范围、所投产品常见故障及保修措施、保修人员配备、拟投入的设施设备及车辆配备、响应时间、保修承诺与保证书等情况。 </w:t>
      </w:r>
      <w:r/>
    </w:p>
    <w:p>
      <w:pPr>
        <w:pageBreakBefore w:val="0"/>
        <w:spacing w:beforeAutospacing="0" w:afterAutospacing="0" w:line="0" w:lineRule="atLeast"/>
        <w:rPr>
          <w:rFonts w:hint="eastAsia" w:ascii="宋体" w:hAnsi="宋体"/>
          <w:b w:val="0"/>
          <w:bCs w:val="0"/>
          <w:color w:val="000000"/>
          <w:sz w:val="24"/>
          <w:szCs w:val="21"/>
        </w:rPr>
      </w:pPr>
      <w:r>
        <w:rPr>
          <w:rFonts w:hint="eastAsia" w:ascii="宋体" w:hAnsi="宋体"/>
          <w:b w:val="0"/>
          <w:bCs w:val="0"/>
          <w:color w:val="000000"/>
          <w:sz w:val="24"/>
          <w:szCs w:val="21"/>
        </w:rPr>
        <w:t xml:space="preserve">方案内容完整，保修范围全面且清晰，常见故障罗列详细且对应的保修措施可行，配备保修人员专业对口且经验丰富，配备设施设备齐全，响应时间满足采购文件要求； </w:t>
      </w:r>
      <w:r/>
    </w:p>
    <w:p>
      <w:pPr>
        <w:pageBreakBefore w:val="0"/>
        <w:spacing w:beforeAutospacing="0" w:afterAutospacing="0" w:line="0" w:lineRule="atLeast"/>
        <w:rPr>
          <w:rFonts w:hint="eastAsia" w:ascii="宋体" w:hAnsi="宋体"/>
          <w:b w:val="0"/>
          <w:bCs w:val="0"/>
          <w:color w:val="000000"/>
          <w:sz w:val="24"/>
          <w:szCs w:val="21"/>
        </w:rPr>
      </w:pPr>
      <w:r>
        <w:rPr>
          <w:rFonts w:hint="eastAsia" w:ascii="宋体" w:hAnsi="宋体"/>
          <w:b w:val="0"/>
          <w:bCs w:val="0"/>
          <w:color w:val="000000"/>
          <w:sz w:val="24"/>
          <w:szCs w:val="21"/>
          <w:lang w:val="en-US" w:eastAsia="zh-CN"/>
        </w:rPr>
        <w:t xml:space="preserve">3.</w:t>
      </w:r>
      <w:r>
        <w:rPr>
          <w:rFonts w:hint="eastAsia" w:ascii="宋体" w:hAnsi="宋体"/>
          <w:b w:val="0"/>
          <w:bCs w:val="0"/>
          <w:color w:val="000000"/>
          <w:sz w:val="24"/>
          <w:szCs w:val="21"/>
        </w:rPr>
        <w:t xml:space="preserve">保修期外维保 </w:t>
      </w:r>
      <w:r/>
    </w:p>
    <w:p>
      <w:pPr>
        <w:pageBreakBefore w:val="0"/>
        <w:spacing w:beforeAutospacing="0" w:afterAutospacing="0" w:line="0" w:lineRule="atLeast"/>
        <w:rPr>
          <w:rFonts w:hint="eastAsia" w:ascii="宋体" w:hAnsi="宋体"/>
          <w:b w:val="0"/>
          <w:bCs w:val="0"/>
          <w:color w:val="000000"/>
          <w:sz w:val="24"/>
          <w:szCs w:val="21"/>
        </w:rPr>
      </w:pPr>
      <w:r>
        <w:rPr>
          <w:rFonts w:hint="eastAsia" w:ascii="宋体" w:hAnsi="宋体"/>
          <w:b w:val="0"/>
          <w:bCs w:val="0"/>
          <w:color w:val="000000"/>
          <w:sz w:val="24"/>
          <w:szCs w:val="21"/>
        </w:rPr>
        <w:t xml:space="preserve">就投标人提供的保修期外维保服务范围、内容、响应时间及维保费用情况、易损件、零配件及重要消耗品的价格、保修期外维保承诺与保证书等情况进行综合评审。 </w:t>
      </w:r>
      <w:r/>
    </w:p>
    <w:p>
      <w:pPr>
        <w:pageBreakBefore w:val="0"/>
        <w:spacing w:beforeAutospacing="0" w:afterAutospacing="0" w:line="0" w:lineRule="atLeast"/>
        <w:rPr>
          <w:rFonts w:hint="eastAsia" w:ascii="宋体" w:hAnsi="宋体"/>
          <w:b w:val="0"/>
          <w:bCs w:val="0"/>
          <w:color w:val="000000"/>
          <w:sz w:val="24"/>
          <w:szCs w:val="21"/>
        </w:rPr>
      </w:pPr>
      <w:r>
        <w:rPr>
          <w:rFonts w:hint="eastAsia" w:ascii="宋体" w:hAnsi="宋体"/>
          <w:b w:val="0"/>
          <w:bCs w:val="0"/>
          <w:color w:val="000000"/>
          <w:sz w:val="24"/>
          <w:szCs w:val="21"/>
        </w:rPr>
        <w:t xml:space="preserve">方案内容完整，维保范围、内容全面，响应时间满足采购文件要求，维保费用优惠合理，服务承诺对采购人有利； </w:t>
      </w:r>
      <w:r/>
    </w:p>
    <w:p>
      <w:pPr>
        <w:pageBreakBefore w:val="0"/>
        <w:spacing w:beforeAutospacing="0" w:afterAutospacing="0" w:line="0" w:lineRule="atLeast"/>
        <w:rPr>
          <w:rFonts w:hint="eastAsia" w:ascii="宋体" w:hAnsi="宋体"/>
          <w:b w:val="0"/>
          <w:bCs w:val="0"/>
          <w:color w:val="000000"/>
          <w:sz w:val="24"/>
          <w:szCs w:val="21"/>
        </w:rPr>
      </w:pPr>
      <w:r>
        <w:rPr>
          <w:rFonts w:hint="eastAsia" w:ascii="宋体" w:hAnsi="宋体"/>
          <w:b w:val="0"/>
          <w:bCs w:val="0"/>
          <w:color w:val="000000"/>
          <w:sz w:val="24"/>
          <w:szCs w:val="21"/>
          <w:lang w:val="en-US" w:eastAsia="zh-CN"/>
        </w:rPr>
        <w:t xml:space="preserve">4.</w:t>
      </w:r>
      <w:r>
        <w:rPr>
          <w:rFonts w:hint="eastAsia" w:ascii="宋体" w:hAnsi="宋体"/>
          <w:b w:val="0"/>
          <w:bCs w:val="0"/>
          <w:color w:val="000000"/>
          <w:sz w:val="24"/>
          <w:szCs w:val="21"/>
        </w:rPr>
        <w:t xml:space="preserve">技术培训方案</w:t>
      </w:r>
      <w:r/>
    </w:p>
    <w:p>
      <w:pPr>
        <w:pageBreakBefore w:val="0"/>
        <w:spacing w:beforeAutospacing="0" w:afterAutospacing="0" w:line="0" w:lineRule="atLeast"/>
        <w:rPr>
          <w:rFonts w:hint="eastAsia" w:ascii="宋体" w:hAnsi="宋体"/>
          <w:b w:val="0"/>
          <w:bCs w:val="0"/>
          <w:color w:val="000000"/>
          <w:sz w:val="24"/>
          <w:szCs w:val="21"/>
        </w:rPr>
      </w:pPr>
      <w:r>
        <w:rPr>
          <w:rFonts w:hint="eastAsia" w:ascii="宋体" w:hAnsi="宋体"/>
          <w:b w:val="0"/>
          <w:bCs w:val="0"/>
          <w:color w:val="000000"/>
          <w:sz w:val="24"/>
          <w:szCs w:val="21"/>
        </w:rPr>
        <w:t xml:space="preserve">就投标人提供的技术培训内容及方式、培训计划、培训对象及配对团队方案等情况进行综合评审。</w:t>
      </w:r>
      <w:r/>
    </w:p>
    <w:p>
      <w:pPr>
        <w:pageBreakBefore w:val="0"/>
        <w:spacing w:beforeAutospacing="0" w:afterAutospacing="0" w:line="0" w:lineRule="atLeast"/>
        <w:rPr>
          <w:rFonts w:hint="eastAsia" w:ascii="宋体" w:hAnsi="宋体"/>
          <w:b w:val="0"/>
          <w:bCs w:val="0"/>
          <w:color w:val="000000"/>
          <w:sz w:val="24"/>
          <w:szCs w:val="21"/>
        </w:rPr>
      </w:pPr>
      <w:r>
        <w:rPr>
          <w:rFonts w:hint="eastAsia" w:ascii="宋体" w:hAnsi="宋体"/>
          <w:b w:val="0"/>
          <w:bCs w:val="0"/>
          <w:color w:val="000000"/>
          <w:sz w:val="24"/>
          <w:szCs w:val="21"/>
        </w:rPr>
        <w:t xml:space="preserve">方案内容完整，培训内容全面覆盖采购标的技术要点、操作规范及常见问题处理，方式科学可行、培训计划合理有序、培训对象覆盖全面、配对团队专业适配，能有效保障采购人相关人员熟练掌握对应技术、规范操作；</w:t>
      </w:r>
      <w:r/>
    </w:p>
    <w:p>
      <w:pPr>
        <w:pageBreakBefore w:val="0"/>
        <w:spacing w:beforeAutospacing="0" w:afterAutospacing="0" w:line="0" w:lineRule="atLeast"/>
        <w:rPr>
          <w:rFonts w:hint="eastAsia" w:ascii="宋体" w:hAnsi="宋体"/>
          <w:b w:val="0"/>
          <w:bCs w:val="0"/>
          <w:color w:val="000000"/>
          <w:sz w:val="24"/>
          <w:szCs w:val="21"/>
        </w:rPr>
      </w:pPr>
      <w:r>
        <w:rPr>
          <w:rFonts w:hint="eastAsia" w:ascii="宋体" w:hAnsi="宋体"/>
          <w:b w:val="0"/>
          <w:bCs w:val="0"/>
          <w:color w:val="000000"/>
          <w:sz w:val="24"/>
          <w:szCs w:val="21"/>
          <w:lang w:val="en-US" w:eastAsia="zh-CN"/>
        </w:rPr>
        <w:t xml:space="preserve">5.</w:t>
      </w:r>
      <w:r>
        <w:rPr>
          <w:rFonts w:hint="eastAsia" w:ascii="宋体" w:hAnsi="宋体"/>
          <w:b w:val="0"/>
          <w:bCs w:val="0"/>
          <w:color w:val="000000"/>
          <w:sz w:val="24"/>
          <w:szCs w:val="21"/>
        </w:rPr>
        <w:t xml:space="preserve">供货方案</w:t>
      </w:r>
      <w:r/>
    </w:p>
    <w:p>
      <w:pPr>
        <w:pageBreakBefore w:val="0"/>
        <w:spacing w:beforeAutospacing="0" w:afterAutospacing="0" w:line="0" w:lineRule="atLeast"/>
        <w:rPr>
          <w:rFonts w:hint="eastAsia" w:ascii="宋体" w:hAnsi="宋体"/>
          <w:b w:val="0"/>
          <w:bCs w:val="0"/>
          <w:color w:val="000000"/>
          <w:sz w:val="24"/>
          <w:szCs w:val="21"/>
        </w:rPr>
      </w:pPr>
      <w:r>
        <w:rPr>
          <w:rFonts w:hint="eastAsia" w:ascii="宋体" w:hAnsi="宋体"/>
          <w:b w:val="0"/>
          <w:bCs w:val="0"/>
          <w:color w:val="000000"/>
          <w:sz w:val="24"/>
          <w:szCs w:val="21"/>
        </w:rPr>
        <w:t xml:space="preserve">就投标人提供的产品供货方案、安装调试方案及配送承诺等方案进行综合评审。</w:t>
      </w:r>
      <w:r/>
    </w:p>
    <w:p>
      <w:pPr>
        <w:pageBreakBefore w:val="0"/>
        <w:spacing w:beforeAutospacing="0" w:afterAutospacing="0" w:line="0" w:lineRule="atLeast"/>
        <w:rPr>
          <w:rFonts w:hint="eastAsia" w:ascii="宋体" w:hAnsi="宋体" w:eastAsia="宋体"/>
          <w:color w:val="000000"/>
          <w:sz w:val="24"/>
          <w:szCs w:val="24"/>
          <w:lang w:eastAsia="zh-CN"/>
        </w:rPr>
      </w:pPr>
      <w:r>
        <w:rPr>
          <w:rFonts w:hint="eastAsia" w:ascii="宋体" w:hAnsi="宋体"/>
          <w:b w:val="0"/>
          <w:bCs w:val="0"/>
          <w:color w:val="000000"/>
          <w:sz w:val="24"/>
          <w:szCs w:val="21"/>
        </w:rPr>
        <w:t xml:space="preserve">供货方案科学合理、周期可控，安装调试步骤清晰、标准规范，配送承诺明确具体、保障到位，能确保产品按时、按质、按量送达并完成安装调试，满足采购人使用需求</w:t>
      </w:r>
      <w:r>
        <w:rPr>
          <w:rFonts w:hint="eastAsia" w:ascii="宋体" w:hAnsi="宋体"/>
          <w:b w:val="0"/>
          <w:bCs w:val="0"/>
          <w:color w:val="000000"/>
          <w:sz w:val="24"/>
          <w:szCs w:val="21"/>
          <w:lang w:eastAsia="zh-CN"/>
        </w:rPr>
        <w:t xml:space="preserve">。</w:t>
      </w:r>
      <w:r/>
    </w:p>
    <w:p>
      <w:pPr>
        <w:pageBreakBefore w:val="0"/>
        <w:spacing w:beforeAutospacing="0" w:afterAutospacing="0" w:line="0" w:lineRule="atLeast"/>
        <w:rPr>
          <w:rFonts w:hint="eastAsia" w:ascii="宋体" w:hAnsi="宋体"/>
          <w:b w:val="0"/>
          <w:bCs w:val="0"/>
          <w:color w:val="000000"/>
          <w:sz w:val="24"/>
          <w:szCs w:val="24"/>
          <w14:ligatures w14:val="none"/>
        </w:rPr>
      </w:pPr>
      <w:r>
        <w:rPr>
          <w:rFonts w:hint="eastAsia" w:ascii="宋体" w:hAnsi="宋体"/>
          <w:b w:val="0"/>
          <w:bCs w:val="0"/>
          <w:color w:val="000000"/>
          <w:sz w:val="24"/>
          <w:szCs w:val="24"/>
        </w:rPr>
        <w:t xml:space="preserve">6.应急预案</w:t>
      </w:r>
      <w:r/>
    </w:p>
    <w:p>
      <w:pPr>
        <w:pageBreakBefore w:val="0"/>
        <w:spacing w:beforeAutospacing="0" w:afterAutospacing="0" w:line="0" w:lineRule="atLeast"/>
        <w:rPr>
          <w:rFonts w:hint="eastAsia" w:ascii="宋体" w:hAnsi="宋体"/>
          <w:b w:val="0"/>
          <w:bCs w:val="0"/>
          <w:color w:val="000000"/>
          <w:sz w:val="24"/>
          <w:szCs w:val="24"/>
          <w14:ligatures w14:val="none"/>
        </w:rPr>
      </w:pPr>
      <w:r>
        <w:rPr>
          <w:rFonts w:hint="eastAsia" w:ascii="宋体" w:hAnsi="宋体"/>
          <w:b w:val="0"/>
          <w:bCs w:val="0"/>
          <w:color w:val="000000"/>
          <w:sz w:val="24"/>
          <w:szCs w:val="24"/>
        </w:rPr>
        <w:t xml:space="preserve">就投标人提供的应急程序和措施、应急响应及处置方案、技术支撑保障等方案进行综合评审。</w:t>
      </w:r>
      <w:r/>
    </w:p>
    <w:p>
      <w:pPr>
        <w:pageBreakBefore w:val="0"/>
        <w:spacing w:beforeAutospacing="0" w:afterAutospacing="0" w:line="0" w:lineRule="atLeast"/>
        <w:rPr>
          <w:rFonts w:hint="eastAsia" w:ascii="宋体" w:hAnsi="宋体"/>
          <w:b w:val="0"/>
          <w:bCs w:val="0"/>
          <w:color w:val="000000"/>
          <w:sz w:val="24"/>
          <w:szCs w:val="24"/>
          <w14:ligatures w14:val="none"/>
        </w:rPr>
      </w:pPr>
      <w:r>
        <w:rPr>
          <w:rFonts w:hint="eastAsia" w:ascii="宋体" w:hAnsi="宋体"/>
          <w:b w:val="0"/>
          <w:bCs w:val="0"/>
          <w:color w:val="000000"/>
          <w:sz w:val="24"/>
          <w:szCs w:val="24"/>
        </w:rPr>
        <w:t xml:space="preserve">应急程序规范完善、处置流程清晰可行，应急响应及时高效、处置措施针对性强，技术支撑保障有力、人员物资储备到位，可全面应对各类突发状况，充分保障采购人应急需求；</w:t>
      </w:r>
      <w:r/>
    </w:p>
    <w:p>
      <w:pPr>
        <w:pageBreakBefore w:val="0"/>
        <w:spacing w:beforeAutospacing="0" w:afterAutospacing="0" w:line="0" w:lineRule="atLeast"/>
        <w:rPr>
          <w:rFonts w:hint="eastAsia" w:ascii="宋体" w:hAnsi="宋体"/>
          <w:b/>
          <w:color w:val="000000"/>
          <w:sz w:val="24"/>
          <w:szCs w:val="24"/>
        </w:rPr>
      </w:pPr>
      <w:r>
        <w:rPr>
          <w:rFonts w:hint="eastAsia" w:ascii="宋体" w:hAnsi="宋体"/>
          <w:b/>
          <w:color w:val="000000"/>
          <w:sz w:val="24"/>
          <w:szCs w:val="24"/>
          <w:lang w:eastAsia="zh-CN"/>
        </w:rPr>
        <w:t xml:space="preserve">五</w:t>
      </w:r>
      <w:r>
        <w:rPr>
          <w:rFonts w:ascii="宋体" w:hAnsi="宋体"/>
          <w:b/>
          <w:color w:val="000000"/>
          <w:sz w:val="24"/>
          <w:szCs w:val="24"/>
        </w:rPr>
        <w:t xml:space="preserve">、其他要求</w:t>
      </w:r>
      <w:r/>
    </w:p>
    <w:p>
      <w:pPr>
        <w:pageBreakBefore w:val="0"/>
        <w:spacing w:beforeAutospacing="0" w:afterAutospacing="0" w:line="0" w:lineRule="atLeast"/>
        <w:rPr>
          <w:rFonts w:hint="eastAsia" w:ascii="宋体" w:hAnsi="宋体"/>
          <w:color w:val="000000"/>
          <w:sz w:val="24"/>
          <w:szCs w:val="24"/>
        </w:rPr>
      </w:pPr>
      <w:r>
        <w:rPr>
          <w:rFonts w:hint="eastAsia" w:ascii="宋体" w:hAnsi="宋体"/>
          <w:color w:val="000000"/>
          <w:sz w:val="24"/>
          <w:szCs w:val="24"/>
        </w:rPr>
        <w:t xml:space="preserve">1. 项目属性:货物类项目。</w:t>
      </w:r>
      <w:r/>
    </w:p>
    <w:p>
      <w:pPr>
        <w:pageBreakBefore w:val="0"/>
        <w:spacing w:beforeAutospacing="0" w:afterAutospacing="0" w:line="0" w:lineRule="atLeast"/>
        <w:rPr>
          <w:rFonts w:ascii="宋体" w:hAnsi="宋体"/>
          <w:sz w:val="24"/>
          <w:szCs w:val="24"/>
        </w:rPr>
      </w:pPr>
      <w:r>
        <w:rPr>
          <w:rFonts w:ascii="宋体" w:hAnsi="宋体"/>
          <w:sz w:val="24"/>
          <w:szCs w:val="24"/>
        </w:rPr>
        <w:t xml:space="preserve">2</w:t>
      </w:r>
      <w:r>
        <w:rPr>
          <w:rFonts w:hint="eastAsia" w:ascii="宋体" w:hAnsi="宋体"/>
          <w:sz w:val="24"/>
          <w:szCs w:val="24"/>
        </w:rPr>
        <w:t xml:space="preserve">．核心产品</w:t>
      </w:r>
      <w:r/>
    </w:p>
    <w:tbl>
      <w:tblPr>
        <w:tblStyle w:val="719"/>
        <w:tblW w:w="3948"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vAlign w:val="top"/>
            <w:textDirection w:val="lrTb"/>
            <w:noWrap w:val="false"/>
          </w:tcPr>
          <w:p>
            <w:pPr>
              <w:jc w:val="center"/>
              <w:pageBreakBefore w:val="0"/>
              <w:spacing w:beforeAutospacing="0" w:afterAutospacing="0"/>
              <w:rPr>
                <w:rFonts w:ascii="宋体" w:hAnsi="宋体"/>
                <w:szCs w:val="21"/>
              </w:rPr>
            </w:pPr>
            <w:r>
              <w:rPr>
                <w:rFonts w:hint="eastAsia" w:ascii="宋体" w:hAnsi="宋体"/>
                <w:szCs w:val="21"/>
              </w:rPr>
              <w:t xml:space="preserve">采购</w:t>
            </w:r>
            <w:r/>
          </w:p>
          <w:p>
            <w:pPr>
              <w:jc w:val="center"/>
              <w:pageBreakBefore w:val="0"/>
              <w:spacing w:beforeAutospacing="0" w:afterAutospacing="0"/>
              <w:rPr>
                <w:rFonts w:hint="eastAsia" w:ascii="宋体" w:hAnsi="宋体"/>
                <w:szCs w:val="21"/>
              </w:rPr>
            </w:pPr>
            <w:r>
              <w:rPr>
                <w:rFonts w:hint="eastAsia" w:ascii="宋体" w:hAnsi="宋体"/>
                <w:szCs w:val="21"/>
              </w:rPr>
              <w:t xml:space="preserve">包号</w:t>
            </w:r>
            <w:r/>
          </w:p>
        </w:tc>
        <w:tc>
          <w:tcPr>
            <w:tcW w:w="3052" w:type="dxa"/>
            <w:vAlign w:val="top"/>
            <w:textDirection w:val="lrTb"/>
            <w:noWrap w:val="false"/>
          </w:tcPr>
          <w:p>
            <w:pPr>
              <w:jc w:val="center"/>
              <w:pageBreakBefore w:val="0"/>
              <w:spacing w:beforeAutospacing="0" w:afterAutospacing="0"/>
              <w:rPr>
                <w:rFonts w:hint="eastAsia" w:ascii="宋体" w:hAnsi="宋体"/>
                <w:szCs w:val="21"/>
              </w:rPr>
            </w:pPr>
            <w:r>
              <w:rPr>
                <w:rFonts w:hint="eastAsia" w:ascii="宋体" w:hAnsi="宋体"/>
                <w:szCs w:val="21"/>
              </w:rPr>
              <w:t xml:space="preserve">核心产品</w:t>
            </w:r>
            <w:r/>
          </w:p>
        </w:tc>
      </w:tr>
      <w:tr>
        <w:trPr/>
        <w:tc>
          <w:tcPr>
            <w:tcW w:w="896" w:type="dxa"/>
            <w:vAlign w:val="top"/>
            <w:textDirection w:val="lrTb"/>
            <w:noWrap w:val="false"/>
          </w:tcPr>
          <w:p>
            <w:pPr>
              <w:jc w:val="center"/>
              <w:pageBreakBefore w:val="0"/>
              <w:spacing w:beforeAutospacing="0" w:afterAutospacing="0"/>
              <w:rPr>
                <w:rFonts w:ascii="宋体" w:hAnsi="宋体"/>
                <w:szCs w:val="21"/>
              </w:rPr>
            </w:pPr>
            <w:r>
              <w:rPr>
                <w:rFonts w:hint="eastAsia" w:ascii="宋体" w:hAnsi="宋体"/>
                <w:szCs w:val="21"/>
              </w:rPr>
              <w:t xml:space="preserve">1</w:t>
            </w:r>
            <w:r/>
          </w:p>
        </w:tc>
        <w:tc>
          <w:tcPr>
            <w:tcW w:w="3052" w:type="dxa"/>
            <w:vAlign w:val="top"/>
            <w:textDirection w:val="lrTb"/>
            <w:noWrap w:val="false"/>
          </w:tcPr>
          <w:p>
            <w:pPr>
              <w:jc w:val="center"/>
              <w:pageBreakBefore w:val="0"/>
              <w:spacing w:beforeAutospacing="0" w:afterAutospacing="0"/>
              <w:rPr>
                <w:rStyle w:val="957"/>
                <w:rFonts w:hint="eastAsia" w:ascii="宋体" w:hAnsi="宋体" w:eastAsia="宋体" w:cs="宋体"/>
                <w:sz w:val="24"/>
                <w:szCs w:val="24"/>
                <w:lang w:val="en-US" w:eastAsia="zh-CN" w:bidi="ar"/>
              </w:rPr>
            </w:pPr>
            <w:r>
              <w:rPr>
                <w:rStyle w:val="957"/>
                <w:rFonts w:hint="eastAsia" w:ascii="宋体" w:hAnsi="宋体" w:eastAsia="宋体" w:cs="宋体"/>
                <w:sz w:val="24"/>
                <w:szCs w:val="24"/>
                <w:lang w:val="en-US" w:eastAsia="zh-CN" w:bidi="ar"/>
              </w:rPr>
              <w:t xml:space="preserve">消防员灭火防护头套</w:t>
            </w:r>
            <w:r/>
          </w:p>
        </w:tc>
      </w:tr>
      <w:tr>
        <w:trPr/>
        <w:tc>
          <w:tcPr>
            <w:tcW w:w="896" w:type="dxa"/>
            <w:vAlign w:val="top"/>
            <w:textDirection w:val="lrTb"/>
            <w:noWrap w:val="false"/>
          </w:tcPr>
          <w:p>
            <w:pPr>
              <w:jc w:val="center"/>
              <w:pageBreakBefore w:val="0"/>
              <w:spacing w:beforeAutospacing="0" w:afterAutospacing="0"/>
              <w:rPr>
                <w:rFonts w:ascii="宋体" w:hAnsi="宋体"/>
                <w:szCs w:val="21"/>
              </w:rPr>
            </w:pPr>
            <w:r>
              <w:rPr>
                <w:rFonts w:hint="eastAsia" w:ascii="宋体" w:hAnsi="宋体"/>
                <w:szCs w:val="21"/>
              </w:rPr>
              <w:t xml:space="preserve">2</w:t>
            </w:r>
            <w:r/>
          </w:p>
        </w:tc>
        <w:tc>
          <w:tcPr>
            <w:tcW w:w="3052" w:type="dxa"/>
            <w:vAlign w:val="top"/>
            <w:textDirection w:val="lrTb"/>
            <w:noWrap w:val="false"/>
          </w:tcPr>
          <w:p>
            <w:pPr>
              <w:jc w:val="center"/>
              <w:pageBreakBefore w:val="0"/>
              <w:spacing w:beforeAutospacing="0" w:afterAutospacing="0"/>
              <w:rPr>
                <w:rStyle w:val="957"/>
                <w:rFonts w:hint="eastAsia" w:ascii="宋体" w:hAnsi="宋体" w:eastAsia="宋体" w:cs="宋体"/>
                <w:sz w:val="24"/>
                <w:szCs w:val="24"/>
                <w:lang w:val="en-US" w:eastAsia="zh-CN" w:bidi="ar"/>
              </w:rPr>
            </w:pPr>
            <w:r>
              <w:rPr>
                <w:rStyle w:val="957"/>
                <w:rFonts w:hint="eastAsia" w:ascii="宋体" w:hAnsi="宋体" w:eastAsia="宋体" w:cs="宋体"/>
                <w:sz w:val="24"/>
                <w:szCs w:val="24"/>
                <w:lang w:val="en-US" w:eastAsia="zh-CN" w:bidi="ar"/>
              </w:rPr>
              <w:t xml:space="preserve">消防手套（2）</w:t>
            </w:r>
            <w:r/>
          </w:p>
        </w:tc>
      </w:tr>
      <w:tr>
        <w:trPr/>
        <w:tc>
          <w:tcPr>
            <w:tcW w:w="896" w:type="dxa"/>
            <w:vAlign w:val="top"/>
            <w:textDirection w:val="lrTb"/>
            <w:noWrap w:val="false"/>
          </w:tcPr>
          <w:p>
            <w:pPr>
              <w:jc w:val="center"/>
              <w:pageBreakBefore w:val="0"/>
              <w:spacing w:beforeAutospacing="0" w:afterAutospacing="0"/>
              <w:rPr>
                <w:rFonts w:hint="eastAsia" w:ascii="宋体" w:hAnsi="宋体" w:eastAsia="宋体"/>
                <w:szCs w:val="21"/>
                <w:lang w:eastAsia="zh-CN"/>
              </w:rPr>
            </w:pPr>
            <w:r>
              <w:rPr>
                <w:rFonts w:hint="eastAsia" w:ascii="宋体" w:hAnsi="宋体"/>
                <w:szCs w:val="21"/>
                <w:lang w:val="en-US" w:eastAsia="zh-CN"/>
              </w:rPr>
              <w:t xml:space="preserve">3</w:t>
            </w:r>
            <w:r/>
          </w:p>
        </w:tc>
        <w:tc>
          <w:tcPr>
            <w:tcW w:w="3052" w:type="dxa"/>
            <w:vAlign w:val="top"/>
            <w:textDirection w:val="lrTb"/>
            <w:noWrap w:val="false"/>
          </w:tcPr>
          <w:p>
            <w:pPr>
              <w:jc w:val="center"/>
              <w:pageBreakBefore w:val="0"/>
              <w:spacing w:beforeAutospacing="0" w:afterAutospacing="0"/>
              <w:rPr>
                <w:rStyle w:val="957"/>
                <w:rFonts w:hint="eastAsia" w:ascii="宋体" w:hAnsi="宋体" w:eastAsia="宋体" w:cs="宋体"/>
                <w:sz w:val="24"/>
                <w:szCs w:val="24"/>
                <w:lang w:val="en-US" w:eastAsia="zh-CN" w:bidi="ar"/>
              </w:rPr>
            </w:pPr>
            <w:r>
              <w:rPr>
                <w:rStyle w:val="957"/>
                <w:rFonts w:hint="eastAsia" w:ascii="宋体" w:hAnsi="宋体" w:eastAsia="宋体" w:cs="宋体"/>
                <w:sz w:val="24"/>
                <w:szCs w:val="24"/>
                <w:lang w:val="en-US" w:eastAsia="zh-CN" w:bidi="ar"/>
              </w:rPr>
              <w:t xml:space="preserve">便携式 PDT 集群基站</w:t>
            </w:r>
            <w:r/>
          </w:p>
        </w:tc>
      </w:tr>
      <w:tr>
        <w:trPr/>
        <w:tc>
          <w:tcPr>
            <w:tcW w:w="896" w:type="dxa"/>
            <w:vAlign w:val="top"/>
            <w:textDirection w:val="lrTb"/>
            <w:noWrap w:val="false"/>
          </w:tcPr>
          <w:p>
            <w:pPr>
              <w:jc w:val="center"/>
              <w:pageBreakBefore w:val="0"/>
              <w:spacing w:beforeAutospacing="0" w:afterAutospacing="0"/>
              <w:rPr>
                <w:rFonts w:hint="eastAsia" w:ascii="宋体" w:hAnsi="宋体" w:eastAsia="宋体"/>
                <w:szCs w:val="21"/>
                <w:lang w:val="en-US" w:eastAsia="zh-CN"/>
              </w:rPr>
            </w:pPr>
            <w:r>
              <w:rPr>
                <w:rFonts w:hint="eastAsia" w:ascii="宋体" w:hAnsi="宋体"/>
                <w:szCs w:val="21"/>
                <w:lang w:val="en-US" w:eastAsia="zh-CN"/>
              </w:rPr>
              <w:t xml:space="preserve">4</w:t>
            </w:r>
            <w:r/>
          </w:p>
        </w:tc>
        <w:tc>
          <w:tcPr>
            <w:tcW w:w="3052" w:type="dxa"/>
            <w:vAlign w:val="top"/>
            <w:textDirection w:val="lrTb"/>
            <w:noWrap w:val="false"/>
          </w:tcPr>
          <w:p>
            <w:pPr>
              <w:jc w:val="center"/>
              <w:pageBreakBefore w:val="0"/>
              <w:spacing w:beforeAutospacing="0" w:afterAutospacing="0"/>
              <w:rPr>
                <w:rStyle w:val="957"/>
                <w:rFonts w:hint="eastAsia" w:ascii="宋体" w:hAnsi="宋体" w:eastAsia="宋体" w:cs="宋体"/>
                <w:sz w:val="24"/>
                <w:szCs w:val="24"/>
                <w:lang w:val="en-US" w:eastAsia="zh-CN" w:bidi="ar"/>
              </w:rPr>
            </w:pPr>
            <w:r>
              <w:rPr>
                <w:rStyle w:val="957"/>
                <w:rFonts w:hint="eastAsia" w:ascii="宋体" w:hAnsi="宋体" w:eastAsia="宋体" w:cs="宋体"/>
                <w:sz w:val="24"/>
                <w:szCs w:val="24"/>
                <w:lang w:val="en-US" w:eastAsia="zh-CN" w:bidi="ar"/>
              </w:rPr>
              <w:t xml:space="preserve">四足机器人</w:t>
            </w:r>
            <w:r/>
          </w:p>
        </w:tc>
      </w:tr>
    </w:tbl>
    <w:p>
      <w:pPr>
        <w:pageBreakBefore w:val="0"/>
        <w:spacing w:beforeAutospacing="0" w:afterAutospacing="0" w:line="0" w:lineRule="atLeast"/>
        <w:rPr>
          <w:rFonts w:hint="eastAsia" w:ascii="宋体" w:hAnsi="宋体"/>
          <w:sz w:val="24"/>
          <w:szCs w:val="24"/>
        </w:rPr>
      </w:pPr>
      <w:r>
        <w:rPr>
          <w:rFonts w:hint="eastAsia" w:ascii="宋体" w:hAnsi="宋体"/>
          <w:sz w:val="24"/>
          <w:szCs w:val="24"/>
        </w:rPr>
      </w:r>
      <w:r/>
    </w:p>
    <w:p>
      <w:pPr>
        <w:pageBreakBefore w:val="0"/>
        <w:spacing w:beforeAutospacing="0" w:afterAutospacing="0" w:line="0" w:lineRule="atLeast"/>
        <w:rPr>
          <w:rFonts w:ascii="宋体" w:hAnsi="宋体"/>
          <w:sz w:val="24"/>
          <w:szCs w:val="24"/>
        </w:rPr>
      </w:pPr>
      <w:r>
        <w:rPr>
          <w:rFonts w:hint="eastAsia" w:ascii="宋体" w:hAnsi="宋体"/>
          <w:sz w:val="24"/>
          <w:szCs w:val="24"/>
        </w:rPr>
        <w:t xml:space="preserve">3.进口</w:t>
      </w:r>
      <w:r>
        <w:rPr>
          <w:rFonts w:ascii="宋体" w:hAnsi="宋体"/>
          <w:sz w:val="24"/>
          <w:szCs w:val="24"/>
        </w:rPr>
        <w:t xml:space="preserve">产品</w:t>
      </w:r>
      <w:r>
        <w:rPr>
          <w:rFonts w:hint="eastAsia" w:ascii="宋体" w:hAnsi="宋体"/>
          <w:sz w:val="24"/>
          <w:szCs w:val="24"/>
        </w:rPr>
        <w:t xml:space="preserve">投标</w:t>
      </w:r>
      <w:r/>
    </w:p>
    <w:tbl>
      <w:tblPr>
        <w:tblStyle w:val="719"/>
        <w:tblW w:w="3948"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vAlign w:val="top"/>
            <w:textDirection w:val="lrTb"/>
            <w:noWrap w:val="false"/>
          </w:tcPr>
          <w:p>
            <w:pPr>
              <w:jc w:val="center"/>
              <w:pageBreakBefore w:val="0"/>
              <w:spacing w:beforeAutospacing="0" w:afterAutospacing="0"/>
              <w:rPr>
                <w:rFonts w:ascii="宋体" w:hAnsi="宋体"/>
                <w:szCs w:val="21"/>
              </w:rPr>
            </w:pPr>
            <w:r>
              <w:rPr>
                <w:rFonts w:hint="eastAsia" w:ascii="宋体" w:hAnsi="宋体"/>
                <w:szCs w:val="21"/>
              </w:rPr>
              <w:t xml:space="preserve">采购</w:t>
            </w:r>
            <w:r/>
          </w:p>
          <w:p>
            <w:pPr>
              <w:jc w:val="center"/>
              <w:pageBreakBefore w:val="0"/>
              <w:spacing w:beforeAutospacing="0" w:afterAutospacing="0"/>
              <w:rPr>
                <w:rFonts w:hint="eastAsia" w:ascii="宋体" w:hAnsi="宋体"/>
                <w:szCs w:val="21"/>
              </w:rPr>
            </w:pPr>
            <w:r>
              <w:rPr>
                <w:rFonts w:hint="eastAsia" w:ascii="宋体" w:hAnsi="宋体"/>
                <w:szCs w:val="21"/>
              </w:rPr>
              <w:t xml:space="preserve">包号</w:t>
            </w:r>
            <w:r/>
          </w:p>
        </w:tc>
        <w:tc>
          <w:tcPr>
            <w:tcW w:w="3052" w:type="dxa"/>
            <w:vAlign w:val="top"/>
            <w:textDirection w:val="lrTb"/>
            <w:noWrap w:val="false"/>
          </w:tcPr>
          <w:p>
            <w:pPr>
              <w:jc w:val="center"/>
              <w:pageBreakBefore w:val="0"/>
              <w:spacing w:beforeAutospacing="0" w:afterAutospacing="0"/>
              <w:rPr>
                <w:rFonts w:ascii="宋体" w:hAnsi="宋体"/>
                <w:szCs w:val="21"/>
              </w:rPr>
            </w:pPr>
            <w:r>
              <w:rPr>
                <w:rFonts w:hint="eastAsia" w:ascii="宋体" w:hAnsi="宋体"/>
                <w:szCs w:val="21"/>
              </w:rPr>
              <w:t xml:space="preserve">是否接受</w:t>
            </w:r>
            <w:r>
              <w:rPr>
                <w:rFonts w:ascii="宋体" w:hAnsi="宋体"/>
                <w:szCs w:val="21"/>
              </w:rPr>
              <w:t xml:space="preserve">进口产品投标</w:t>
            </w:r>
            <w:r/>
          </w:p>
          <w:p>
            <w:pPr>
              <w:jc w:val="center"/>
              <w:pageBreakBefore w:val="0"/>
              <w:spacing w:beforeAutospacing="0" w:afterAutospacing="0"/>
              <w:rPr>
                <w:rFonts w:hint="eastAsia" w:ascii="宋体" w:hAnsi="宋体"/>
                <w:szCs w:val="21"/>
              </w:rPr>
            </w:pPr>
            <w:r>
              <w:rPr>
                <w:rFonts w:hint="eastAsia" w:ascii="宋体" w:hAnsi="宋体"/>
                <w:szCs w:val="21"/>
              </w:rPr>
              <w:t xml:space="preserve">（是/否）</w:t>
            </w:r>
            <w:r/>
          </w:p>
        </w:tc>
      </w:tr>
      <w:tr>
        <w:trPr/>
        <w:tc>
          <w:tcPr>
            <w:tcW w:w="896" w:type="dxa"/>
            <w:vAlign w:val="top"/>
            <w:textDirection w:val="lrTb"/>
            <w:noWrap w:val="false"/>
          </w:tcPr>
          <w:p>
            <w:pPr>
              <w:jc w:val="center"/>
              <w:pageBreakBefore w:val="0"/>
              <w:spacing w:beforeAutospacing="0" w:afterAutospacing="0"/>
              <w:rPr>
                <w:rFonts w:ascii="宋体" w:hAnsi="宋体"/>
                <w:szCs w:val="21"/>
              </w:rPr>
            </w:pPr>
            <w:r>
              <w:rPr>
                <w:rFonts w:hint="eastAsia" w:ascii="宋体" w:hAnsi="宋体"/>
                <w:szCs w:val="21"/>
              </w:rPr>
              <w:t xml:space="preserve">1</w:t>
            </w:r>
            <w:r/>
          </w:p>
        </w:tc>
        <w:tc>
          <w:tcPr>
            <w:tcW w:w="3052" w:type="dxa"/>
            <w:vAlign w:val="top"/>
            <w:textDirection w:val="lrTb"/>
            <w:noWrap w:val="false"/>
          </w:tcPr>
          <w:p>
            <w:pPr>
              <w:jc w:val="center"/>
              <w:pageBreakBefore w:val="0"/>
              <w:spacing w:beforeAutospacing="0" w:afterAutospacing="0"/>
              <w:rPr>
                <w:rFonts w:hint="eastAsia" w:ascii="宋体" w:hAnsi="宋体" w:eastAsia="宋体"/>
                <w:szCs w:val="21"/>
                <w:lang w:eastAsia="zh-CN"/>
              </w:rPr>
            </w:pPr>
            <w:r>
              <w:rPr>
                <w:rFonts w:hint="eastAsia" w:ascii="宋体" w:hAnsi="宋体"/>
                <w:szCs w:val="21"/>
                <w:lang w:val="en-US" w:eastAsia="zh-CN"/>
              </w:rPr>
              <w:t xml:space="preserve">否</w:t>
            </w:r>
            <w:r/>
          </w:p>
        </w:tc>
      </w:tr>
      <w:tr>
        <w:trPr/>
        <w:tc>
          <w:tcPr>
            <w:tcW w:w="896" w:type="dxa"/>
            <w:vAlign w:val="top"/>
            <w:textDirection w:val="lrTb"/>
            <w:noWrap w:val="false"/>
          </w:tcPr>
          <w:p>
            <w:pPr>
              <w:jc w:val="center"/>
              <w:pageBreakBefore w:val="0"/>
              <w:spacing w:beforeAutospacing="0" w:afterAutospacing="0"/>
              <w:rPr>
                <w:rFonts w:ascii="宋体" w:hAnsi="宋体"/>
                <w:szCs w:val="21"/>
              </w:rPr>
            </w:pPr>
            <w:r>
              <w:rPr>
                <w:rFonts w:hint="eastAsia" w:ascii="宋体" w:hAnsi="宋体"/>
                <w:szCs w:val="21"/>
              </w:rPr>
              <w:t xml:space="preserve">2</w:t>
            </w:r>
            <w:r/>
          </w:p>
        </w:tc>
        <w:tc>
          <w:tcPr>
            <w:tcW w:w="3052" w:type="dxa"/>
            <w:vAlign w:val="top"/>
            <w:textDirection w:val="lrTb"/>
            <w:noWrap w:val="false"/>
          </w:tcPr>
          <w:p>
            <w:pPr>
              <w:jc w:val="center"/>
              <w:pageBreakBefore w:val="0"/>
              <w:spacing w:beforeAutospacing="0" w:afterAutospacing="0"/>
              <w:rPr>
                <w:rFonts w:hint="eastAsia" w:ascii="宋体" w:hAnsi="宋体"/>
                <w:szCs w:val="21"/>
              </w:rPr>
            </w:pPr>
            <w:r>
              <w:rPr>
                <w:rFonts w:hint="eastAsia" w:ascii="宋体" w:hAnsi="宋体"/>
                <w:szCs w:val="21"/>
              </w:rPr>
              <w:t xml:space="preserve">否</w:t>
            </w:r>
            <w:r/>
          </w:p>
        </w:tc>
      </w:tr>
      <w:tr>
        <w:trPr/>
        <w:tc>
          <w:tcPr>
            <w:tcW w:w="896" w:type="dxa"/>
            <w:vAlign w:val="top"/>
            <w:textDirection w:val="lrTb"/>
            <w:noWrap w:val="false"/>
          </w:tcPr>
          <w:p>
            <w:pPr>
              <w:jc w:val="center"/>
              <w:pageBreakBefore w:val="0"/>
              <w:spacing w:beforeAutospacing="0" w:afterAutospacing="0"/>
              <w:rPr>
                <w:rFonts w:hint="eastAsia" w:ascii="宋体" w:hAnsi="宋体" w:eastAsia="宋体"/>
                <w:szCs w:val="21"/>
                <w:lang w:eastAsia="zh-CN"/>
              </w:rPr>
            </w:pPr>
            <w:r>
              <w:rPr>
                <w:rFonts w:hint="eastAsia" w:ascii="宋体" w:hAnsi="宋体"/>
                <w:szCs w:val="21"/>
                <w:lang w:val="en-US" w:eastAsia="zh-CN"/>
              </w:rPr>
              <w:t xml:space="preserve">3</w:t>
            </w:r>
            <w:r/>
          </w:p>
        </w:tc>
        <w:tc>
          <w:tcPr>
            <w:tcW w:w="3052" w:type="dxa"/>
            <w:vAlign w:val="top"/>
            <w:textDirection w:val="lrTb"/>
            <w:noWrap w:val="false"/>
          </w:tcPr>
          <w:p>
            <w:pPr>
              <w:jc w:val="center"/>
              <w:pageBreakBefore w:val="0"/>
              <w:spacing w:beforeAutospacing="0" w:afterAutospacing="0"/>
              <w:rPr>
                <w:rFonts w:hint="eastAsia" w:ascii="宋体" w:hAnsi="宋体" w:eastAsia="宋体"/>
                <w:szCs w:val="21"/>
                <w:lang w:val="en-US" w:eastAsia="zh-CN"/>
              </w:rPr>
            </w:pPr>
            <w:r>
              <w:rPr>
                <w:rFonts w:hint="eastAsia" w:ascii="宋体" w:hAnsi="宋体"/>
                <w:szCs w:val="21"/>
                <w:lang w:val="en-US" w:eastAsia="zh-CN"/>
              </w:rPr>
              <w:t xml:space="preserve">否</w:t>
            </w:r>
            <w:r/>
          </w:p>
        </w:tc>
      </w:tr>
      <w:tr>
        <w:trPr/>
        <w:tc>
          <w:tcPr>
            <w:tcW w:w="896" w:type="dxa"/>
            <w:vAlign w:val="top"/>
            <w:textDirection w:val="lrTb"/>
            <w:noWrap w:val="false"/>
          </w:tcPr>
          <w:p>
            <w:pPr>
              <w:jc w:val="center"/>
              <w:pageBreakBefore w:val="0"/>
              <w:spacing w:beforeAutospacing="0" w:afterAutospacing="0"/>
              <w:rPr>
                <w:rFonts w:hint="eastAsia" w:ascii="宋体" w:hAnsi="宋体" w:eastAsia="宋体"/>
                <w:szCs w:val="21"/>
                <w:lang w:val="en-US" w:eastAsia="zh-CN"/>
              </w:rPr>
            </w:pPr>
            <w:r>
              <w:rPr>
                <w:rFonts w:hint="eastAsia" w:ascii="宋体" w:hAnsi="宋体"/>
                <w:szCs w:val="21"/>
                <w:lang w:val="en-US" w:eastAsia="zh-CN"/>
              </w:rPr>
              <w:t xml:space="preserve">4</w:t>
            </w:r>
            <w:r/>
          </w:p>
        </w:tc>
        <w:tc>
          <w:tcPr>
            <w:tcW w:w="3052" w:type="dxa"/>
            <w:vAlign w:val="top"/>
            <w:textDirection w:val="lrTb"/>
            <w:noWrap w:val="false"/>
          </w:tcPr>
          <w:p>
            <w:pPr>
              <w:jc w:val="center"/>
              <w:pageBreakBefore w:val="0"/>
              <w:spacing w:beforeAutospacing="0" w:afterAutospacing="0"/>
              <w:rPr>
                <w:rFonts w:hint="eastAsia" w:ascii="宋体" w:hAnsi="宋体" w:eastAsia="宋体"/>
                <w:szCs w:val="21"/>
                <w:lang w:val="en-US" w:eastAsia="zh-CN"/>
              </w:rPr>
            </w:pPr>
            <w:r>
              <w:rPr>
                <w:rFonts w:hint="eastAsia" w:ascii="宋体" w:hAnsi="宋体"/>
                <w:szCs w:val="21"/>
                <w:lang w:val="en-US" w:eastAsia="zh-CN"/>
              </w:rPr>
              <w:t xml:space="preserve">否</w:t>
            </w:r>
            <w:r/>
          </w:p>
        </w:tc>
      </w:tr>
    </w:tbl>
    <w:p>
      <w:pPr>
        <w:pageBreakBefore w:val="0"/>
        <w:spacing w:beforeAutospacing="0" w:afterAutospacing="0"/>
      </w:pPr>
      <w:r/>
      <w:bookmarkStart w:id="169" w:name="_Toc120614281"/>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w:t>
      </w:r>
      <w:r>
        <w:rPr>
          <w:rFonts w:ascii="SimSun" w:hAnsi="SimSun" w:eastAsia="SimSun" w:cs="SimSun"/>
          <w:color w:val="000000"/>
          <w:sz w:val="24"/>
          <w:highlight w:val="none"/>
        </w:rPr>
        <w:t xml:space="preserve">. 演示要求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演示方式 上传视频演示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w:t>
      </w:r>
      <w:r>
        <w:rPr>
          <w:rFonts w:ascii="SimSun" w:hAnsi="SimSun" w:eastAsia="SimSun" w:cs="SimSun"/>
          <w:color w:val="000000"/>
          <w:sz w:val="24"/>
          <w:u w:val="single"/>
        </w:rPr>
        <w:t xml:space="preserve">5</w:t>
      </w:r>
      <w:r>
        <w:rPr>
          <w:rFonts w:ascii="SimSun" w:hAnsi="SimSun" w:eastAsia="SimSun" w:cs="SimSun"/>
          <w:color w:val="000000"/>
          <w:sz w:val="24"/>
        </w:rPr>
        <w:t xml:space="preserve">分钟</w:t>
      </w:r>
      <w:r>
        <w:rPr>
          <w:rFonts w:ascii="SimSun" w:hAnsi="SimSun" w:eastAsia="SimSun" w:cs="SimSun"/>
          <w:color w:val="000000"/>
          <w:sz w:val="24"/>
          <w:highlight w:val="yellow"/>
        </w:rPr>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2.演示内容如下：</w:t>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t xml:space="preserve">产品整体功能介绍</w:t>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    视频</w:t>
      </w:r>
      <w:r>
        <w:rPr>
          <w:rFonts w:hint="eastAsia" w:ascii="宋体" w:hAnsi="宋体" w:eastAsia="宋体" w:cs="宋体"/>
          <w:color w:val="000000"/>
          <w:sz w:val="24"/>
          <w:szCs w:val="24"/>
          <w:highlight w:val="none"/>
        </w:rPr>
        <w:t xml:space="preserve">展示</w:t>
      </w:r>
      <w:r>
        <w:rPr>
          <w:rFonts w:hint="eastAsia" w:ascii="宋体" w:hAnsi="宋体" w:eastAsia="宋体" w:cs="宋体"/>
          <w:color w:val="000000"/>
          <w:sz w:val="24"/>
          <w:szCs w:val="24"/>
          <w:highlight w:val="none"/>
        </w:rPr>
        <w:t xml:space="preserve">产品特征、功能要素、核心特点的讲解完整性、准确性、</w:t>
      </w:r>
      <w:r>
        <w:rPr>
          <w:rFonts w:hint="eastAsia" w:ascii="宋体" w:hAnsi="宋体" w:cs="宋体"/>
          <w:color w:val="000000"/>
          <w:sz w:val="24"/>
          <w:szCs w:val="24"/>
          <w:highlight w:val="none"/>
          <w:lang w:eastAsia="zh-CN"/>
        </w:rPr>
        <w:t xml:space="preserve">翔实</w:t>
      </w:r>
      <w:r>
        <w:rPr>
          <w:rFonts w:hint="eastAsia" w:ascii="宋体" w:hAnsi="宋体" w:eastAsia="宋体" w:cs="宋体"/>
          <w:color w:val="000000"/>
          <w:sz w:val="24"/>
          <w:szCs w:val="24"/>
          <w:highlight w:val="none"/>
        </w:rPr>
        <w:t xml:space="preserve">度：</w:t>
      </w:r>
      <w:r>
        <w:rPr>
          <w:rFonts w:hint="eastAsia" w:ascii="宋体" w:hAnsi="宋体" w:eastAsia="宋体" w:cs="宋体"/>
          <w:color w:val="000000"/>
          <w:sz w:val="24"/>
          <w:szCs w:val="24"/>
          <w:highlight w:val="none"/>
        </w:rPr>
        <w:t xml:space="preserve">产品特征、功能要素介绍表述清晰、准确、</w:t>
      </w:r>
      <w:r>
        <w:rPr>
          <w:rFonts w:hint="eastAsia" w:ascii="宋体" w:hAnsi="宋体" w:cs="宋体"/>
          <w:color w:val="000000"/>
          <w:sz w:val="24"/>
          <w:szCs w:val="24"/>
          <w:highlight w:val="none"/>
          <w:lang w:eastAsia="zh-CN"/>
        </w:rPr>
        <w:t xml:space="preserve">翔实</w:t>
      </w:r>
      <w:r>
        <w:rPr>
          <w:rFonts w:hint="eastAsia" w:ascii="宋体" w:hAnsi="宋体" w:eastAsia="宋体" w:cs="宋体"/>
          <w:color w:val="000000"/>
          <w:sz w:val="24"/>
          <w:szCs w:val="24"/>
          <w:highlight w:val="none"/>
        </w:rPr>
        <w:t xml:space="preserve">，完整覆盖产品核心功能、核心特点及核心优势，可高效、直观传达产品核心价值，无错误、无遗漏。</w:t>
      </w:r>
      <w:r>
        <w:rPr>
          <w:rFonts w:hint="eastAsia" w:ascii="宋体" w:hAnsi="宋体" w:eastAsia="宋体" w:cs="宋体"/>
          <w:color w:val="000000"/>
          <w:sz w:val="24"/>
          <w:szCs w:val="24"/>
          <w:highlight w:val="none"/>
        </w:rPr>
        <w:t xml:space="preserve">得3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t xml:space="preserve">产品操作展示</w:t>
      </w:r>
      <w:r/>
    </w:p>
    <w:p>
      <w:pPr>
        <w:ind w:left="63"/>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重点评审产品实操完整性、流畅性、直观性，核心演示内容包含但不限于：设备启动打开、核心功能实操展示、设备关闭停机、产品创新功能（如有）、基础操作流程等，组合包需完整演示包内所有产品全套操作流程：</w:t>
      </w:r>
      <w:r>
        <w:rPr>
          <w:rFonts w:hint="eastAsia" w:ascii="宋体" w:hAnsi="宋体" w:eastAsia="宋体" w:cs="宋体"/>
          <w:color w:val="000000"/>
          <w:sz w:val="24"/>
          <w:szCs w:val="24"/>
          <w:highlight w:val="none"/>
        </w:rPr>
        <w:t xml:space="preserve">产品全流程功能操作演示流畅、直观、通俗易懂，完整覆盖全部核心操作环节，全面、清晰展示产品完整功能及标准操作流程，无缺项、无失误。</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t xml:space="preserve">产品布局设计</w:t>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结合实战应用场景，根据产品整体结构布局、实操适配性、使用便捷性、作业效率提升效果综合评审：</w:t>
      </w:r>
      <w:r>
        <w:rPr>
          <w:rFonts w:hint="eastAsia" w:ascii="宋体" w:hAnsi="宋体" w:eastAsia="宋体" w:cs="宋体"/>
          <w:color w:val="000000"/>
          <w:sz w:val="24"/>
          <w:szCs w:val="24"/>
          <w:highlight w:val="none"/>
        </w:rPr>
        <w:t xml:space="preserve">产品整体布局设计贴合实战应用场景，结构合理、设计人性化，可有效提升实操效率、优化使用体验，无设计缺陷。</w:t>
      </w:r>
      <w:r>
        <w:rPr>
          <w:rFonts w:hint="eastAsia" w:ascii="宋体" w:hAnsi="宋体" w:eastAsia="宋体" w:cs="宋体"/>
          <w:color w:val="000000"/>
          <w:sz w:val="24"/>
          <w:szCs w:val="24"/>
          <w:highlight w:val="none"/>
        </w:rPr>
      </w:r>
      <w:r/>
    </w:p>
    <w:p>
      <w:pPr>
        <w:pageBreakBefore w:val="0"/>
        <w:spacing w:beforeAutospacing="0" w:afterAutospacing="0"/>
      </w:pPr>
      <w:r/>
      <w:r/>
    </w:p>
    <w:p>
      <w:pPr>
        <w:pageBreakBefore w:val="0"/>
        <w:spacing w:beforeAutospacing="0" w:afterAutospacing="0"/>
        <w:rPr>
          <w:rFonts w:hint="eastAsia"/>
        </w:rPr>
      </w:pPr>
      <w:r>
        <w:rPr>
          <w:rFonts w:hint="eastAsia"/>
        </w:rPr>
      </w:r>
      <w:r/>
    </w:p>
    <w:p>
      <w:pPr>
        <w:rPr>
          <w:rFonts w:hint="eastAsia" w:ascii="黑体" w:hAnsi="Times New Roman" w:eastAsia="黑体"/>
          <w:b w:val="0"/>
          <w:bCs/>
          <w:color w:val="000000"/>
          <w:sz w:val="44"/>
          <w:szCs w:val="28"/>
        </w:rPr>
      </w:pPr>
      <w:r>
        <w:rPr>
          <w:rFonts w:hint="eastAsia" w:ascii="黑体" w:hAnsi="Times New Roman" w:eastAsia="黑体"/>
          <w:b w:val="0"/>
          <w:bCs/>
          <w:color w:val="000000"/>
          <w:sz w:val="44"/>
          <w:szCs w:val="28"/>
        </w:rPr>
        <w:br w:type="page" w:clear="all"/>
      </w:r>
      <w:r/>
    </w:p>
    <w:p>
      <w:pPr>
        <w:jc w:val="center"/>
        <w:keepNext/>
        <w:pageBreakBefore w:val="0"/>
        <w:spacing w:beforeAutospacing="0" w:afterAutospacing="0"/>
        <w:rPr>
          <w:rFonts w:hint="eastAsia" w:ascii="黑体" w:hAnsi="Times New Roman" w:eastAsia="黑体"/>
          <w:b w:val="0"/>
          <w:bCs/>
          <w:color w:val="000000"/>
          <w:sz w:val="44"/>
          <w:szCs w:val="28"/>
        </w:rPr>
        <w:outlineLvl w:val="0"/>
      </w:pPr>
      <w:r>
        <w:rPr>
          <w:rFonts w:hint="eastAsia" w:ascii="黑体" w:hAnsi="Times New Roman" w:eastAsia="黑体"/>
          <w:b w:val="0"/>
          <w:bCs/>
          <w:color w:val="000000"/>
          <w:sz w:val="44"/>
          <w:szCs w:val="28"/>
        </w:rPr>
        <w:t xml:space="preserve">第五章  评标方法与评标标准</w:t>
      </w:r>
      <w:r/>
    </w:p>
    <w:p>
      <w:pPr>
        <w:pageBreakBefore w:val="0"/>
        <w:spacing w:beforeAutospacing="0" w:afterAutospacing="0"/>
        <w:rPr>
          <w:rFonts w:hint="eastAsia" w:ascii="Times New Roman" w:hAnsi="Times New Roman"/>
          <w:color w:val="000000"/>
          <w:szCs w:val="21"/>
        </w:rPr>
      </w:pPr>
      <w:r>
        <w:rPr>
          <w:rFonts w:hint="eastAsia" w:ascii="Times New Roman" w:hAnsi="Times New Roman"/>
          <w:color w:val="000000"/>
          <w:szCs w:val="21"/>
        </w:rPr>
      </w:r>
      <w:r/>
    </w:p>
    <w:p>
      <w:pPr>
        <w:ind w:firstLine="480"/>
        <w:pageBreakBefore w:val="0"/>
        <w:spacing w:beforeAutospacing="0" w:afterAutospacing="0" w:line="0" w:lineRule="atLeast"/>
        <w:rPr>
          <w:rFonts w:ascii="宋体" w:hAnsi="宋体"/>
          <w:color w:val="000000"/>
          <w:sz w:val="24"/>
          <w:szCs w:val="24"/>
        </w:rPr>
      </w:pPr>
      <w:r>
        <w:rPr>
          <w:rFonts w:ascii="宋体" w:hAnsi="宋体"/>
          <w:color w:val="000000"/>
          <w:sz w:val="24"/>
          <w:szCs w:val="24"/>
        </w:rPr>
        <w:t xml:space="preserve">采用综合评分法的，评标结果按评审后得分由高到低顺序排列。得分相同的，按投标报价由低到高顺序排列。得分且投标报价相同的并列。</w:t>
      </w:r>
      <w:r/>
    </w:p>
    <w:tbl>
      <w:tblPr>
        <w:tblStyle w:val="719"/>
        <w:tblW w:w="7083"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jc w:val="center"/>
              <w:pageBreakBefore w:val="0"/>
              <w:spacing w:beforeAutospacing="0" w:afterAutospacing="0"/>
              <w:rPr>
                <w:rFonts w:hint="eastAsia" w:ascii="宋体" w:hAnsi="宋体"/>
                <w:szCs w:val="21"/>
                <w:highlight w:val="none"/>
              </w:rPr>
            </w:pPr>
            <w:r>
              <w:rPr>
                <w:rFonts w:hint="eastAsia" w:ascii="宋体" w:hAnsi="宋体"/>
                <w:szCs w:val="21"/>
                <w:highlight w:val="none"/>
              </w:rPr>
              <w:t xml:space="preserve">采购包号</w:t>
            </w:r>
            <w:r/>
          </w:p>
        </w:tc>
        <w:tc>
          <w:tcPr>
            <w:tcW w:w="1610" w:type="dxa"/>
            <w:vAlign w:val="top"/>
            <w:textDirection w:val="lrTb"/>
            <w:noWrap w:val="false"/>
          </w:tcPr>
          <w:p>
            <w:pPr>
              <w:jc w:val="center"/>
              <w:pageBreakBefore w:val="0"/>
              <w:spacing w:beforeAutospacing="0" w:afterAutospacing="0"/>
              <w:rPr>
                <w:rFonts w:hint="eastAsia" w:ascii="宋体" w:hAnsi="宋体"/>
                <w:szCs w:val="21"/>
                <w:highlight w:val="none"/>
              </w:rPr>
            </w:pPr>
            <w:r>
              <w:rPr>
                <w:rFonts w:hint="eastAsia" w:ascii="宋体" w:hAnsi="宋体"/>
                <w:szCs w:val="21"/>
                <w:highlight w:val="none"/>
              </w:rPr>
              <w:t xml:space="preserve">选取</w:t>
            </w:r>
            <w:r>
              <w:rPr>
                <w:rFonts w:ascii="宋体" w:hAnsi="宋体"/>
                <w:szCs w:val="21"/>
                <w:highlight w:val="none"/>
              </w:rPr>
              <w:t xml:space="preserve">中标候选人数量</w:t>
            </w:r>
            <w:r/>
          </w:p>
        </w:tc>
        <w:tc>
          <w:tcPr>
            <w:tcW w:w="4325" w:type="dxa"/>
            <w:vAlign w:val="top"/>
            <w:textDirection w:val="lrTb"/>
            <w:noWrap w:val="false"/>
          </w:tcPr>
          <w:p>
            <w:pPr>
              <w:jc w:val="center"/>
              <w:pageBreakBefore w:val="0"/>
              <w:spacing w:beforeAutospacing="0" w:afterAutospacing="0"/>
              <w:rPr>
                <w:rFonts w:hint="eastAsia" w:ascii="宋体" w:hAnsi="宋体"/>
                <w:szCs w:val="21"/>
                <w:highlight w:val="none"/>
              </w:rPr>
            </w:pPr>
            <w:r>
              <w:rPr>
                <w:rFonts w:hint="eastAsia" w:ascii="宋体" w:hAnsi="宋体"/>
                <w:szCs w:val="21"/>
                <w:highlight w:val="none"/>
              </w:rPr>
              <w:t xml:space="preserve">选取</w:t>
            </w:r>
            <w:r>
              <w:rPr>
                <w:rFonts w:ascii="宋体" w:hAnsi="宋体"/>
                <w:szCs w:val="21"/>
                <w:highlight w:val="none"/>
              </w:rPr>
              <w:t xml:space="preserve">中标候选人的原则</w:t>
            </w:r>
            <w:r/>
          </w:p>
        </w:tc>
      </w:tr>
      <w:tr>
        <w:trPr/>
        <w:tc>
          <w:tcPr>
            <w:tcW w:w="1148" w:type="dxa"/>
            <w:vAlign w:val="top"/>
            <w:textDirection w:val="lrTb"/>
            <w:noWrap w:val="false"/>
          </w:tcPr>
          <w:p>
            <w:pPr>
              <w:jc w:val="center"/>
              <w:pageBreakBefore w:val="0"/>
              <w:spacing w:beforeAutospacing="0" w:afterAutospacing="0"/>
              <w:rPr>
                <w:rFonts w:ascii="宋体" w:hAnsi="宋体"/>
                <w:szCs w:val="21"/>
                <w:highlight w:val="none"/>
              </w:rPr>
            </w:pPr>
            <w:r>
              <w:rPr>
                <w:rFonts w:hint="eastAsia" w:ascii="宋体" w:hAnsi="宋体"/>
                <w:szCs w:val="21"/>
                <w:highlight w:val="none"/>
              </w:rPr>
              <w:t xml:space="preserve">1</w:t>
            </w:r>
            <w:r/>
          </w:p>
        </w:tc>
        <w:tc>
          <w:tcPr>
            <w:tcW w:w="1610" w:type="dxa"/>
            <w:vAlign w:val="top"/>
            <w:textDirection w:val="lrTb"/>
            <w:noWrap w:val="false"/>
          </w:tcPr>
          <w:p>
            <w:pPr>
              <w:jc w:val="center"/>
              <w:pageBreakBefore w:val="0"/>
              <w:spacing w:beforeAutospacing="0" w:afterAutospacing="0"/>
              <w:rPr>
                <w:rFonts w:ascii="宋体" w:hAnsi="宋体"/>
                <w:szCs w:val="21"/>
                <w:highlight w:val="none"/>
              </w:rPr>
            </w:pPr>
            <w:r>
              <w:rPr>
                <w:rFonts w:hint="eastAsia" w:ascii="宋体" w:hAnsi="宋体"/>
                <w:szCs w:val="21"/>
                <w:highlight w:val="none"/>
              </w:rPr>
              <w:t xml:space="preserve">1</w:t>
            </w:r>
            <w:r/>
          </w:p>
        </w:tc>
        <w:tc>
          <w:tcPr>
            <w:tcW w:w="4325" w:type="dxa"/>
            <w:vAlign w:val="top"/>
            <w:textDirection w:val="lrTb"/>
            <w:noWrap w:val="false"/>
          </w:tcPr>
          <w:p>
            <w:pPr>
              <w:jc w:val="left"/>
              <w:pageBreakBefore w:val="0"/>
              <w:spacing w:beforeAutospacing="0" w:afterAutospacing="0"/>
              <w:rPr>
                <w:rFonts w:hint="eastAsia" w:ascii="宋体" w:hAnsi="宋体"/>
                <w:szCs w:val="21"/>
                <w:highlight w:val="none"/>
              </w:rPr>
            </w:pPr>
            <w:r>
              <w:rPr>
                <w:rFonts w:hint="eastAsia" w:ascii="宋体" w:hAnsi="宋体"/>
                <w:szCs w:val="21"/>
                <w:highlight w:val="none"/>
              </w:rPr>
              <w:t xml:space="preserve">满足招标文件全部实质性要求，且按照评审因素的量化指标评审得分最高的投标人为中标候选人。</w:t>
            </w:r>
            <w:r/>
          </w:p>
        </w:tc>
      </w:tr>
    </w:tbl>
    <w:p>
      <w:pPr>
        <w:ind w:firstLine="439"/>
        <w:jc w:val="left"/>
        <w:pageBreakBefore w:val="0"/>
        <w:spacing w:beforeAutospacing="0" w:afterAutospacing="0" w:line="0" w:lineRule="atLeast"/>
        <w:rPr>
          <w:rFonts w:hint="eastAsia" w:ascii="Arial" w:hAnsi="Arial" w:cs="Arial"/>
          <w:sz w:val="24"/>
          <w:szCs w:val="24"/>
        </w:rPr>
      </w:pPr>
      <w:r>
        <w:rPr>
          <w:rFonts w:hint="eastAsia" w:ascii="Arial" w:hAnsi="Arial" w:cs="Arial"/>
          <w:sz w:val="24"/>
          <w:szCs w:val="24"/>
        </w:rPr>
      </w:r>
      <w:r/>
    </w:p>
    <w:p>
      <w:pPr>
        <w:ind w:firstLine="439"/>
        <w:jc w:val="left"/>
        <w:pageBreakBefore w:val="0"/>
        <w:spacing w:beforeAutospacing="0" w:afterAutospacing="0" w:line="0" w:lineRule="atLeast"/>
        <w:rPr>
          <w:rFonts w:hint="eastAsia" w:ascii="宋体" w:hAnsi="宋体"/>
          <w:b/>
          <w:sz w:val="24"/>
          <w:szCs w:val="24"/>
          <w:highlight w:val="yellow"/>
        </w:rPr>
      </w:pPr>
      <w:r>
        <w:rPr>
          <w:rFonts w:hint="eastAsia" w:ascii="宋体" w:hAnsi="宋体"/>
          <w:b/>
          <w:sz w:val="24"/>
          <w:szCs w:val="24"/>
        </w:rPr>
        <w:t xml:space="preserve">政府采购政策功能落实</w:t>
      </w:r>
      <w:r/>
    </w:p>
    <w:p>
      <w:pPr>
        <w:ind w:firstLine="480"/>
        <w:jc w:val="left"/>
        <w:pageBreakBefore w:val="0"/>
        <w:spacing w:beforeAutospacing="0" w:afterAutospacing="0" w:line="0" w:lineRule="atLeast"/>
        <w:rPr>
          <w:rFonts w:hint="eastAsia" w:ascii="宋体" w:hAnsi="宋体"/>
          <w:color w:val="000000"/>
          <w:sz w:val="24"/>
          <w:szCs w:val="24"/>
        </w:rPr>
      </w:pPr>
      <w:r>
        <w:rPr>
          <w:rFonts w:hint="eastAsia" w:ascii="宋体" w:hAnsi="宋体"/>
          <w:color w:val="000000"/>
          <w:sz w:val="24"/>
          <w:szCs w:val="24"/>
        </w:rPr>
        <w:t xml:space="preserve">1、小微型企业价格扣除</w:t>
      </w:r>
      <w:r/>
    </w:p>
    <w:p>
      <w:pPr>
        <w:ind w:firstLine="360"/>
        <w:jc w:val="left"/>
        <w:pageBreakBefore w:val="0"/>
        <w:spacing w:beforeAutospacing="0" w:afterAutospacing="0" w:line="0" w:lineRule="atLeast"/>
        <w:rPr>
          <w:rFonts w:hint="eastAsia" w:ascii="宋体" w:hAnsi="宋体"/>
          <w:color w:val="000000"/>
          <w:sz w:val="24"/>
          <w:szCs w:val="24"/>
        </w:rPr>
      </w:pPr>
      <w:r>
        <w:rPr>
          <w:rFonts w:hint="eastAsia" w:ascii="宋体" w:hAnsi="宋体"/>
          <w:color w:val="000000"/>
          <w:sz w:val="24"/>
          <w:szCs w:val="24"/>
        </w:rPr>
        <w:t xml:space="preserve">（1）本项目对小型和微型企业产品给予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的扣除价格，用扣除后的价格参与评审。</w:t>
      </w:r>
      <w:r/>
    </w:p>
    <w:p>
      <w:pPr>
        <w:ind w:firstLine="360"/>
        <w:jc w:val="left"/>
        <w:pageBreakBefore w:val="0"/>
        <w:spacing w:beforeAutospacing="0" w:afterAutospacing="0" w:line="0" w:lineRule="atLeast"/>
        <w:rPr>
          <w:rFonts w:hint="eastAsia" w:ascii="宋体" w:hAnsi="宋体"/>
          <w:color w:val="000000"/>
          <w:sz w:val="24"/>
          <w:szCs w:val="24"/>
        </w:rPr>
      </w:pPr>
      <w:r>
        <w:rPr>
          <w:rFonts w:hint="eastAsia" w:ascii="宋体" w:hAnsi="宋体"/>
          <w:color w:val="000000"/>
          <w:sz w:val="24"/>
          <w:szCs w:val="24"/>
        </w:rPr>
        <w:t xml:space="preserve">（2）供应商需按照采购文件的要求提供相应的</w:t>
      </w:r>
      <w:r>
        <w:rPr>
          <w:rFonts w:hint="eastAsia" w:ascii="宋体" w:hAnsi="宋体"/>
          <w:sz w:val="24"/>
          <w:szCs w:val="24"/>
        </w:rPr>
        <w:t xml:space="preserve">《中小</w:t>
      </w:r>
      <w:r>
        <w:rPr>
          <w:rFonts w:hint="eastAsia" w:ascii="宋体" w:hAnsi="宋体"/>
          <w:color w:val="000000"/>
          <w:sz w:val="24"/>
          <w:szCs w:val="24"/>
        </w:rPr>
        <w:t xml:space="preserve">微企业声明函》。</w:t>
      </w:r>
      <w:r/>
    </w:p>
    <w:p>
      <w:pPr>
        <w:ind w:firstLine="480"/>
        <w:jc w:val="left"/>
        <w:pageBreakBefore w:val="0"/>
        <w:spacing w:beforeAutospacing="0" w:afterAutospacing="0" w:line="0" w:lineRule="atLeast"/>
        <w:rPr>
          <w:rFonts w:hint="eastAsia" w:ascii="宋体" w:hAnsi="宋体"/>
          <w:color w:val="000000"/>
          <w:sz w:val="24"/>
          <w:szCs w:val="24"/>
        </w:rPr>
      </w:pPr>
      <w:r>
        <w:rPr>
          <w:rFonts w:hint="eastAsia" w:ascii="宋体" w:hAnsi="宋体"/>
          <w:color w:val="000000"/>
          <w:sz w:val="24"/>
          <w:szCs w:val="24"/>
        </w:rPr>
        <w:t xml:space="preserve">2、残疾人福利单位价格扣除</w:t>
      </w:r>
      <w:r/>
    </w:p>
    <w:p>
      <w:pPr>
        <w:ind w:left="119" w:firstLine="360"/>
        <w:jc w:val="left"/>
        <w:pageBreakBefore w:val="0"/>
        <w:spacing w:beforeAutospacing="0" w:afterAutospacing="0" w:line="0" w:lineRule="atLeast"/>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p>
    <w:p>
      <w:pPr>
        <w:ind w:left="119" w:firstLine="360"/>
        <w:jc w:val="left"/>
        <w:pageBreakBefore w:val="0"/>
        <w:spacing w:beforeAutospacing="0" w:afterAutospacing="0" w:line="0" w:lineRule="atLeast"/>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ind w:left="119" w:firstLine="360"/>
        <w:jc w:val="left"/>
        <w:pageBreakBefore w:val="0"/>
        <w:spacing w:beforeAutospacing="0" w:afterAutospacing="0" w:line="0" w:lineRule="atLeast"/>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ind w:firstLine="480"/>
        <w:jc w:val="left"/>
        <w:pageBreakBefore w:val="0"/>
        <w:spacing w:beforeAutospacing="0" w:afterAutospacing="0" w:line="0" w:lineRule="atLeast"/>
        <w:rPr>
          <w:rFonts w:hint="eastAsia" w:ascii="宋体" w:hAnsi="宋体"/>
          <w:color w:val="000000"/>
          <w:sz w:val="24"/>
          <w:szCs w:val="24"/>
        </w:rPr>
      </w:pPr>
      <w:r>
        <w:rPr>
          <w:rFonts w:hint="eastAsia" w:ascii="宋体" w:hAnsi="宋体"/>
          <w:color w:val="000000"/>
          <w:sz w:val="24"/>
          <w:szCs w:val="24"/>
        </w:rPr>
        <w:t xml:space="preserve">3、监狱和戒毒企业价格扣除</w:t>
      </w:r>
      <w:r/>
    </w:p>
    <w:p>
      <w:pPr>
        <w:ind w:firstLine="480"/>
        <w:jc w:val="left"/>
        <w:pageBreakBefore w:val="0"/>
        <w:spacing w:beforeAutospacing="0" w:afterAutospacing="0" w:line="0" w:lineRule="atLeast"/>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p>
    <w:p>
      <w:pPr>
        <w:ind w:firstLine="480"/>
        <w:jc w:val="left"/>
        <w:pageBreakBefore w:val="0"/>
        <w:spacing w:beforeAutospacing="0" w:afterAutospacing="0" w:line="0" w:lineRule="atLeast"/>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pageBreakBefore w:val="0"/>
        <w:spacing w:beforeAutospacing="0" w:afterAutospacing="0" w:line="0" w:lineRule="atLeast"/>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p>
    <w:p>
      <w:pPr>
        <w:ind w:firstLine="480"/>
        <w:jc w:val="left"/>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ind w:firstLine="480"/>
        <w:jc w:val="left"/>
        <w:pageBreakBefore w:val="0"/>
        <w:spacing w:beforeAutospacing="0" w:afterAutospacing="0" w:line="400" w:lineRule="exact"/>
        <w:rPr>
          <w:rFonts w:hint="eastAsia" w:ascii="华文新魏" w:hAnsi="宋体" w:eastAsia="华文新魏"/>
          <w:color w:val="000000"/>
          <w:sz w:val="36"/>
          <w:szCs w:val="36"/>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u w:val="single"/>
        </w:rPr>
        <w:t xml:space="preserve">4</w:t>
      </w:r>
      <w:r>
        <w:rPr>
          <w:rFonts w:hint="eastAsia" w:ascii="宋体" w:hAnsi="宋体"/>
          <w:color w:val="000000"/>
          <w:sz w:val="24"/>
          <w:szCs w:val="24"/>
          <w:u w:val="single"/>
        </w:rPr>
        <w:t xml:space="preserve">%</w:t>
      </w:r>
      <w:r>
        <w:rPr>
          <w:rFonts w:hint="eastAsia" w:ascii="宋体" w:hAnsi="宋体"/>
          <w:color w:val="000000"/>
          <w:sz w:val="24"/>
          <w:szCs w:val="24"/>
        </w:rPr>
        <w:t xml:space="preserve">的价格扣除，用扣除后的价格参与评审。</w:t>
      </w:r>
      <w:r/>
    </w:p>
    <w:p>
      <w:pPr>
        <w:ind w:firstLine="480"/>
        <w:jc w:val="left"/>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hint="eastAsia" w:ascii="宋体" w:hAnsi="宋体"/>
          <w:color w:val="000000"/>
          <w:sz w:val="24"/>
          <w:szCs w:val="24"/>
          <w:u w:val="single"/>
        </w:rPr>
        <w:t xml:space="preserve">10%</w:t>
      </w:r>
      <w:r>
        <w:rPr>
          <w:rFonts w:hint="eastAsia" w:ascii="宋体" w:hAnsi="宋体"/>
          <w:color w:val="000000"/>
          <w:sz w:val="24"/>
          <w:szCs w:val="24"/>
        </w:rPr>
        <w:t xml:space="preserve">价格扣除，用扣除后的价格参与评审。</w:t>
      </w:r>
      <w:r/>
    </w:p>
    <w:p>
      <w:pPr>
        <w:ind w:firstLine="480"/>
        <w:jc w:val="left"/>
        <w:keepLines w:val="0"/>
        <w:keepNext w:val="0"/>
        <w:pageBreakBefore w:val="0"/>
        <w:spacing w:beforeAutospacing="0" w:afterAutospacing="0"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7、采购本国产品的支持政策</w:t>
      </w:r>
      <w:r/>
    </w:p>
    <w:p>
      <w:pPr>
        <w:ind w:firstLine="480"/>
        <w:jc w:val="left"/>
        <w:keepLines w:val="0"/>
        <w:keepNext w:val="0"/>
        <w:pageBreakBefore w:val="0"/>
        <w:spacing w:beforeAutospacing="0" w:afterAutospacing="0"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7.1 本项目政府采购活动中既有本国产品又有非本国产品参与竞争的，依法对本国产品给予价格评审优惠，对本国产品的报价给予</w:t>
      </w:r>
      <w:r>
        <w:rPr>
          <w:rFonts w:hint="eastAsia" w:ascii="宋体" w:hAnsi="宋体" w:eastAsia="宋体" w:cs="宋体"/>
          <w:color w:val="000000"/>
          <w:sz w:val="24"/>
          <w:szCs w:val="24"/>
          <w:u w:val="single"/>
          <w:lang w:val="en-US" w:eastAsia="zh-CN"/>
        </w:rPr>
        <w:t xml:space="preserve">20%</w:t>
      </w:r>
      <w:r>
        <w:rPr>
          <w:rFonts w:hint="eastAsia" w:ascii="宋体" w:hAnsi="宋体" w:eastAsia="宋体" w:cs="宋体"/>
          <w:color w:val="000000"/>
          <w:sz w:val="24"/>
          <w:szCs w:val="24"/>
          <w:lang w:val="en-US" w:eastAsia="zh-CN"/>
        </w:rPr>
        <w:t xml:space="preserve">的价格扣除，用扣除后的价格参与评审。</w:t>
      </w:r>
      <w:r/>
    </w:p>
    <w:p>
      <w:pPr>
        <w:ind w:firstLine="480"/>
        <w:jc w:val="left"/>
        <w:keepLines w:val="0"/>
        <w:keepNext w:val="0"/>
        <w:pageBreakBefore w:val="0"/>
        <w:spacing w:beforeAutospacing="0" w:afterAutospacing="0"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000000"/>
          <w:sz w:val="24"/>
          <w:szCs w:val="24"/>
          <w:u w:val="single"/>
          <w:lang w:val="en-US" w:eastAsia="zh-CN"/>
        </w:rPr>
        <w:t xml:space="preserve">80%</w:t>
      </w:r>
      <w:r>
        <w:rPr>
          <w:rFonts w:hint="eastAsia" w:ascii="宋体" w:hAnsi="宋体" w:eastAsia="宋体" w:cs="宋体"/>
          <w:color w:val="000000"/>
          <w:sz w:val="24"/>
          <w:szCs w:val="24"/>
          <w:lang w:val="en-US" w:eastAsia="zh-CN"/>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eastAsia="宋体" w:cs="宋体"/>
          <w:color w:val="000000"/>
          <w:sz w:val="24"/>
          <w:szCs w:val="24"/>
          <w:u w:val="single"/>
          <w:lang w:val="en-US" w:eastAsia="zh-CN"/>
        </w:rPr>
        <w:t xml:space="preserve">20%</w:t>
      </w:r>
      <w:r>
        <w:rPr>
          <w:rFonts w:hint="eastAsia" w:ascii="宋体" w:hAnsi="宋体" w:eastAsia="宋体" w:cs="宋体"/>
          <w:color w:val="000000"/>
          <w:sz w:val="24"/>
          <w:szCs w:val="24"/>
          <w:lang w:val="en-US" w:eastAsia="zh-CN"/>
        </w:rPr>
        <w:t xml:space="preserve">的价格扣除，用扣除后的价格参与评审。供应商未填写比例数值，或比例数值</w:t>
      </w:r>
      <w:r>
        <w:rPr>
          <w:rFonts w:hint="eastAsia" w:ascii="宋体" w:hAnsi="宋体" w:eastAsia="宋体" w:cs="宋体"/>
          <w:color w:val="000000"/>
          <w:sz w:val="24"/>
          <w:szCs w:val="24"/>
          <w:u w:val="none"/>
          <w:lang w:val="en-US" w:eastAsia="zh-CN"/>
        </w:rPr>
        <w:t xml:space="preserve">不足</w:t>
      </w:r>
      <w:r>
        <w:rPr>
          <w:rFonts w:hint="eastAsia" w:ascii="宋体" w:hAnsi="宋体" w:eastAsia="宋体" w:cs="宋体"/>
          <w:color w:val="000000"/>
          <w:sz w:val="24"/>
          <w:szCs w:val="24"/>
          <w:u w:val="single"/>
          <w:lang w:val="en-US" w:eastAsia="zh-CN"/>
        </w:rPr>
        <w:t xml:space="preserve">80%</w:t>
      </w:r>
      <w:r>
        <w:rPr>
          <w:rFonts w:hint="eastAsia" w:ascii="宋体" w:hAnsi="宋体" w:eastAsia="宋体" w:cs="宋体"/>
          <w:color w:val="000000"/>
          <w:sz w:val="24"/>
          <w:szCs w:val="24"/>
          <w:lang w:val="en-US" w:eastAsia="zh-CN"/>
        </w:rPr>
        <w:t xml:space="preserve">的，将不享受本国产品价格评审优惠</w:t>
      </w:r>
      <w:r>
        <w:rPr>
          <w:rFonts w:hint="eastAsia" w:ascii="宋体" w:hAnsi="宋体" w:eastAsia="宋体" w:cs="宋体"/>
          <w:color w:val="000000"/>
          <w:sz w:val="24"/>
          <w:szCs w:val="24"/>
        </w:rPr>
        <w:t xml:space="preserve">。</w:t>
      </w:r>
      <w:r/>
    </w:p>
    <w:p>
      <w:pPr>
        <w:ind w:firstLine="480"/>
        <w:jc w:val="left"/>
        <w:keepLines w:val="0"/>
        <w:keepNext w:val="0"/>
        <w:pageBreakBefore w:val="0"/>
        <w:spacing w:beforeAutospacing="0" w:afterAutospacing="0"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7.3 </w:t>
      </w:r>
      <w:r>
        <w:rPr>
          <w:rFonts w:hint="eastAsia" w:ascii="宋体" w:hAnsi="宋体" w:eastAsia="宋体" w:cs="宋体"/>
          <w:color w:val="000000"/>
          <w:sz w:val="24"/>
          <w:szCs w:val="24"/>
        </w:rPr>
        <w:t xml:space="preserve">供应商需按照</w:t>
      </w:r>
      <w:r>
        <w:rPr>
          <w:rFonts w:hint="eastAsia" w:ascii="宋体" w:hAnsi="宋体" w:eastAsia="宋体" w:cs="宋体"/>
          <w:color w:val="000000"/>
          <w:sz w:val="24"/>
          <w:szCs w:val="24"/>
          <w:lang w:eastAsia="zh-CN"/>
        </w:rPr>
        <w:t xml:space="preserve">招标</w:t>
      </w:r>
      <w:r>
        <w:rPr>
          <w:rFonts w:hint="eastAsia" w:ascii="宋体" w:hAnsi="宋体" w:eastAsia="宋体" w:cs="宋体"/>
          <w:color w:val="000000"/>
          <w:sz w:val="24"/>
          <w:szCs w:val="24"/>
        </w:rPr>
        <w:t xml:space="preserve">文件的要求提供《关于符合本国产品标准的声明函》</w:t>
      </w:r>
      <w:r>
        <w:rPr>
          <w:rFonts w:hint="eastAsia" w:ascii="宋体" w:hAnsi="宋体" w:eastAsia="宋体" w:cs="宋体"/>
          <w:color w:val="000000"/>
          <w:sz w:val="24"/>
          <w:szCs w:val="24"/>
          <w:lang w:eastAsia="zh-CN"/>
        </w:rPr>
        <w:t xml:space="preserve">（以下简称《声明函》），如不提供</w:t>
      </w:r>
      <w:r>
        <w:rPr>
          <w:rFonts w:hint="eastAsia" w:ascii="宋体" w:hAnsi="宋体" w:eastAsia="宋体" w:cs="宋体"/>
          <w:color w:val="000000"/>
          <w:sz w:val="24"/>
          <w:szCs w:val="24"/>
          <w:lang w:val="en-US" w:eastAsia="zh-CN"/>
        </w:rPr>
        <w:t xml:space="preserve">将不享受本国产品价格评审优惠</w:t>
      </w:r>
      <w:r>
        <w:rPr>
          <w:rFonts w:hint="eastAsia" w:ascii="宋体" w:hAnsi="宋体" w:eastAsia="宋体" w:cs="宋体"/>
          <w:color w:val="000000"/>
          <w:sz w:val="24"/>
          <w:szCs w:val="24"/>
        </w:rPr>
        <w:t xml:space="preserve">。</w:t>
      </w:r>
      <w:r/>
    </w:p>
    <w:p>
      <w:pPr>
        <w:ind w:firstLine="480"/>
        <w:jc w:val="left"/>
        <w:keepLines w:val="0"/>
        <w:keepNext w:val="0"/>
        <w:pageBreakBefore w:val="0"/>
        <w:spacing w:beforeAutospacing="0" w:afterAutospacing="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7.4 供应商需在《声明函》中逐一、准确填写产品名称、厂名、生产厂址三项信息（</w:t>
      </w:r>
      <w:r>
        <w:rPr>
          <w:rFonts w:hint="eastAsia" w:ascii="宋体" w:hAnsi="宋体" w:eastAsia="宋体" w:cs="宋体"/>
          <w:color w:val="000000"/>
          <w:sz w:val="24"/>
          <w:szCs w:val="24"/>
          <w:lang w:val="en-US" w:eastAsia="zh-CN"/>
        </w:rPr>
        <w:t xml:space="preserve">《声明函》中标注</w:t>
      </w:r>
      <w:r>
        <w:rPr>
          <w:rFonts w:hint="eastAsia" w:ascii="宋体" w:hAnsi="宋体" w:eastAsia="宋体" w:cs="宋体"/>
          <w:color w:val="000000"/>
          <w:sz w:val="24"/>
          <w:szCs w:val="24"/>
          <w:u w:val="single"/>
          <w:lang w:val="en-US" w:eastAsia="zh-CN"/>
        </w:rPr>
        <w:t xml:space="preserve">“  /  ”</w:t>
      </w:r>
      <w:r>
        <w:rPr>
          <w:rFonts w:hint="eastAsia" w:ascii="宋体" w:hAnsi="宋体" w:eastAsia="宋体" w:cs="宋体"/>
          <w:color w:val="000000"/>
          <w:sz w:val="24"/>
          <w:szCs w:val="24"/>
          <w:lang w:val="en-US" w:eastAsia="zh-CN"/>
        </w:rPr>
        <w:t xml:space="preserve">的地方无需填写</w:t>
      </w:r>
      <w:r>
        <w:rPr>
          <w:rFonts w:hint="eastAsia" w:ascii="宋体" w:hAnsi="宋体" w:eastAsia="宋体" w:cs="宋体"/>
          <w:color w:val="000000"/>
          <w:sz w:val="24"/>
          <w:szCs w:val="24"/>
        </w:rPr>
        <w:t xml:space="preserve">），三项信息中任意一项未填写的视为该项产品不符合本国产品标准，不享受本国产品价格评审优惠。</w:t>
      </w:r>
      <w:r/>
    </w:p>
    <w:p>
      <w:pPr>
        <w:ind w:firstLine="480"/>
        <w:jc w:val="left"/>
        <w:pageBreakBefore w:val="0"/>
        <w:spacing w:beforeAutospacing="0" w:afterAutospacing="0" w:line="400" w:lineRule="exact"/>
        <w:rPr>
          <w:rFonts w:hint="eastAsia" w:ascii="宋体" w:hAnsi="宋体" w:eastAsia="宋体" w:cs="宋体"/>
          <w:b w:val="0"/>
          <w:bCs w:val="0"/>
          <w:color w:val="000000"/>
          <w:sz w:val="24"/>
          <w:szCs w:val="24"/>
          <w:u w:val="none"/>
        </w:rPr>
      </w:pPr>
      <w:r>
        <w:rPr>
          <w:rFonts w:hint="eastAsia" w:ascii="宋体" w:hAnsi="宋体" w:eastAsia="宋体" w:cs="宋体"/>
          <w:b w:val="0"/>
          <w:bCs w:val="0"/>
          <w:color w:val="000000"/>
          <w:sz w:val="24"/>
          <w:szCs w:val="24"/>
          <w:u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宋体" w:hAnsi="宋体" w:eastAsia="宋体" w:cs="宋体"/>
          <w:b w:val="0"/>
          <w:bCs w:val="0"/>
          <w:color w:val="000000"/>
          <w:sz w:val="24"/>
          <w:szCs w:val="24"/>
          <w:u w:val="none"/>
          <w:lang w:eastAsia="zh-CN"/>
        </w:rPr>
        <w:t xml:space="preserve">和招标文件</w:t>
      </w:r>
      <w:r>
        <w:rPr>
          <w:rFonts w:hint="eastAsia" w:ascii="宋体" w:hAnsi="宋体" w:eastAsia="宋体" w:cs="宋体"/>
          <w:b w:val="0"/>
          <w:bCs w:val="0"/>
          <w:color w:val="000000"/>
          <w:sz w:val="24"/>
          <w:szCs w:val="24"/>
          <w:u w:val="none"/>
        </w:rPr>
        <w:t xml:space="preserve">规定的，供应商提供的相关产品视为不符合本国产品标准。</w:t>
      </w:r>
      <w:r/>
    </w:p>
    <w:p>
      <w:pPr>
        <w:ind w:firstLine="560"/>
        <w:jc w:val="left"/>
        <w:pageBreakBefore w:val="0"/>
        <w:spacing w:beforeAutospacing="0" w:afterAutospacing="0" w:line="400" w:lineRule="exact"/>
        <w:rPr>
          <w:rFonts w:hint="eastAsia" w:ascii="方正魏碑_GBK" w:hAnsi="方正魏碑_GBK" w:eastAsia="方正魏碑_GBK" w:cs="方正魏碑_GBK"/>
          <w:color w:val="ff0000"/>
          <w:sz w:val="28"/>
          <w:szCs w:val="28"/>
          <w:lang w:val="en-US" w:eastAsia="zh-CN"/>
        </w:rPr>
      </w:pPr>
      <w:r>
        <w:rPr>
          <w:rFonts w:hint="eastAsia" w:ascii="方正魏碑_GBK" w:hAnsi="方正魏碑_GBK" w:eastAsia="方正魏碑_GBK" w:cs="方正魏碑_GBK"/>
          <w:color w:val="ff0000"/>
          <w:sz w:val="28"/>
          <w:szCs w:val="28"/>
          <w:lang w:val="en-US" w:eastAsia="zh-CN"/>
        </w:rPr>
      </w:r>
      <w:r/>
    </w:p>
    <w:p>
      <w:pPr>
        <w:ind w:firstLine="480"/>
        <w:jc w:val="left"/>
        <w:pageBreakBefore w:val="0"/>
        <w:spacing w:beforeAutospacing="0" w:afterAutospacing="0" w:line="0" w:lineRule="atLeast"/>
        <w:rPr>
          <w:rFonts w:hint="eastAsia" w:ascii="宋体" w:hAnsi="宋体"/>
          <w:b/>
          <w:color w:val="000000"/>
          <w:sz w:val="24"/>
          <w:szCs w:val="24"/>
          <w:highlight w:val="yellow"/>
        </w:rPr>
      </w:pPr>
      <w:r>
        <w:rPr>
          <w:rFonts w:hint="eastAsia" w:ascii="宋体" w:hAnsi="宋体"/>
          <w:b/>
          <w:color w:val="000000"/>
          <w:sz w:val="24"/>
          <w:szCs w:val="24"/>
        </w:rPr>
        <w:t xml:space="preserve">评标方法与评标标准</w:t>
      </w:r>
      <w:r/>
    </w:p>
    <w:p>
      <w:pPr>
        <w:pStyle w:val="959"/>
        <w:ind w:left="0" w:right="0" w:firstLine="0"/>
        <w:keepLines w:val="0"/>
        <w:keepNext w:val="0"/>
        <w:pageBreakBefore w:val="0"/>
        <w:spacing w:before="0" w:beforeAutospacing="0" w:after="0" w:afterAutospacing="0" w:line="0" w:lineRule="atLeast"/>
        <w:widowControl/>
        <w:rPr>
          <w:rFonts w:hint="eastAsia"/>
          <w:lang w:val="en-US" w:eastAsia="zh-CN"/>
        </w:rPr>
        <w:suppressLineNumbers w:val="0"/>
      </w:pPr>
      <w:r>
        <w:rPr>
          <w:rFonts w:hint="eastAsia"/>
          <w:lang w:val="en-US" w:eastAsia="zh-CN"/>
        </w:rPr>
        <w:t xml:space="preserve">分包号1：</w:t>
      </w:r>
      <w:r/>
    </w:p>
    <w:tbl>
      <w:tblPr>
        <w:tblStyle w:val="719"/>
        <w:tblpPr w:horzAnchor="text" w:tblpXSpec="center" w:vertAnchor="text" w:tblpY="1" w:leftFromText="180" w:topFromText="0" w:rightFromText="180" w:bottomFromText="0"/>
        <w:tblW w:w="8923"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57"/>
        <w:gridCol w:w="1637"/>
        <w:gridCol w:w="6113"/>
        <w:gridCol w:w="616"/>
      </w:tblGrid>
      <w:tr>
        <w:trPr>
          <w:jc w:val="center"/>
          <w:trHeight w:val="464"/>
        </w:trPr>
        <w:tc>
          <w:tcPr>
            <w:tcW w:w="55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63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评分因素</w:t>
            </w:r>
            <w:r/>
          </w:p>
        </w:tc>
        <w:tc>
          <w:tcPr>
            <w:tcW w:w="6113"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评审标准</w:t>
            </w:r>
            <w:r/>
          </w:p>
        </w:tc>
        <w:tc>
          <w:tcPr>
            <w:tcW w:w="616"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分值</w:t>
            </w:r>
            <w:r/>
          </w:p>
        </w:tc>
      </w:tr>
      <w:tr>
        <w:trPr>
          <w:jc w:val="center"/>
          <w:trHeight w:val="1247"/>
        </w:trPr>
        <w:tc>
          <w:tcPr>
            <w:tcW w:w="55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r>
            <w:r/>
          </w:p>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163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价格</w:t>
            </w:r>
            <w:r/>
          </w:p>
        </w:tc>
        <w:tc>
          <w:tcPr>
            <w:tcW w:w="6113" w:type="dxa"/>
            <w:vAlign w:val="center"/>
            <w:textDirection w:val="lrTb"/>
            <w:noWrap w:val="false"/>
          </w:tcPr>
          <w:p>
            <w:pPr>
              <w:ind w:left="63"/>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采用低价优先法计算，即满足招标文件要求且投标价格最低的投标报价为评标基准价，其价格分为满分30分。</w:t>
            </w:r>
            <w:r/>
          </w:p>
          <w:p>
            <w:pPr>
              <w:ind w:left="63"/>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其他投标人的价格分统一按照下列公式计算:投标报价得分=(评标基准价/投标报价)×30（小数点保留两位）</w:t>
            </w:r>
            <w:r/>
          </w:p>
        </w:tc>
        <w:tc>
          <w:tcPr>
            <w:tcW w:w="616"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30</w:t>
            </w:r>
            <w:r/>
          </w:p>
        </w:tc>
      </w:tr>
      <w:tr>
        <w:trPr>
          <w:jc w:val="center"/>
        </w:trPr>
        <w:tc>
          <w:tcPr>
            <w:tcW w:w="55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W w:w="163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技术响应</w:t>
            </w:r>
            <w:r/>
          </w:p>
        </w:tc>
        <w:tc>
          <w:tcPr>
            <w:tcW w:w="6113" w:type="dxa"/>
            <w:vAlign w:val="center"/>
            <w:textDirection w:val="lrTb"/>
            <w:noWrap w:val="false"/>
          </w:tcPr>
          <w:p>
            <w:pP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投标人需对第四部分采购需求中的采购清单内所有技术参数要求进行逐条响应，在《技术条款偏离表》中如实详细填列所投产品的参数，且在偏差表中标明是否响应，招标文件要求提供证明材料的提供相应证明材料并标明所在具体页码；否则评标委员会有权做负偏离处理。</w:t>
            </w:r>
            <w:r/>
          </w:p>
          <w:p>
            <w:pP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1）就采购需求中技术参数已明确要求需要通过技术支持资料（包括检测检验报告、白皮书、设备生产厂家证明原件、彩页、手册等）来印证是否响应采购需求的参数内容，投标文件需要提供相应的技术支持资料（如检测报告、白皮书、设备生产厂家证明原件、彩页、手册等，相关材料复印件需加盖投标人公章）。若未提供或所提供技术支持资料不完整、不清晰等问题，即便投标文件中已承诺响应采购需求的，评审时也不予采信。 </w:t>
            </w:r>
            <w:r/>
          </w:p>
          <w:p>
            <w:pP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2）就采购需求中技术参数未明确要求需要通过技术支持资料（包括检测检验报告、白皮书、设备生产厂家证明原件、彩页、手册等）来印证是否响应采购需求的参数内容，以投标文件技术条款偏离表响应的内容为准，其他技术支持资料作为评审参考。</w:t>
            </w:r>
            <w:r/>
          </w:p>
          <w:p>
            <w:pP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（3）非单一产品包及套装组合包评审时，就包内所有产品的参数响应按照上述评分规则累计评审。</w:t>
            </w:r>
            <w:r/>
          </w:p>
          <w:p>
            <w:pP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所投产品所有技术条款完全响应招标文件要求的得28分；本项最低分0分，最高分28分。</w:t>
            </w:r>
            <w:r/>
          </w:p>
          <w:p>
            <w:pP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标记“▲”为重要技术条款，重要技术条款</w:t>
            </w:r>
            <w:r>
              <w:rPr>
                <w:rFonts w:hint="eastAsia" w:ascii="宋体" w:hAnsi="宋体" w:eastAsia="宋体" w:cs="宋体"/>
                <w:sz w:val="24"/>
                <w:szCs w:val="24"/>
                <w:lang w:val="en-US" w:eastAsia="zh-CN"/>
              </w:rPr>
              <w:t xml:space="preserve">不响应的，每条扣1分</w:t>
            </w:r>
            <w:r>
              <w:rPr>
                <w:rFonts w:hint="eastAsia" w:ascii="宋体" w:hAnsi="宋体" w:eastAsia="宋体" w:cs="宋体"/>
                <w:sz w:val="24"/>
                <w:szCs w:val="24"/>
              </w:rPr>
              <w:t xml:space="preserve">。</w:t>
            </w:r>
            <w:r/>
          </w:p>
          <w:p>
            <w:pP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无标记为一般技术条款，一般技术条款</w:t>
            </w:r>
            <w:r>
              <w:rPr>
                <w:rFonts w:hint="eastAsia" w:ascii="宋体" w:hAnsi="宋体" w:eastAsia="宋体" w:cs="宋体"/>
                <w:sz w:val="24"/>
                <w:szCs w:val="24"/>
                <w:lang w:val="en-US" w:eastAsia="zh-CN"/>
              </w:rPr>
              <w:t xml:space="preserve">不响应的，每条扣0.</w:t>
            </w: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分</w:t>
            </w:r>
            <w:r>
              <w:rPr>
                <w:rFonts w:hint="eastAsia" w:ascii="宋体" w:hAnsi="宋体" w:eastAsia="宋体" w:cs="宋体"/>
                <w:sz w:val="24"/>
                <w:szCs w:val="24"/>
              </w:rPr>
              <w:t xml:space="preserve">。</w:t>
            </w:r>
            <w:r/>
          </w:p>
          <w:p>
            <w:pP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6、注：①凡标有最低一级序号的指标项即为一项技术条款，无论是否隶属于上一级编号；</w:t>
            </w:r>
            <w:r/>
          </w:p>
          <w:p>
            <w:pP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除特别说明外，采购文件中标注“▲”的条款需要在投标文件内提供技</w:t>
            </w:r>
            <w:r>
              <w:rPr>
                <w:rFonts w:hint="eastAsia" w:ascii="宋体" w:hAnsi="宋体" w:eastAsia="宋体" w:cs="宋体"/>
                <w:sz w:val="24"/>
                <w:szCs w:val="24"/>
              </w:rPr>
              <w:t xml:space="preserve">术支持资料（如检测报告、白皮书、设备生产厂家证明原件、彩页、手册等材料。当出现同一投标人提供的证明材料证明内容不一致的情况，将按照以下顺序认定：检测报告、彩页、设备生产厂家证明、手册、白皮书、其他证明材料。对技术支持资料类型要求见具体的技术条款；未明确要求技术支持资料类型的技术条款提供任意一种技术支持资料即可），并在评审索引表中详细标明所在投标文件中的具体页码和位置。如因未在《技术条款偏离表》中注明支持资料具体页码和位置导致本项不得分的，由此产生的后果由供应商自行承担。未提供技术支持资料的，评审时不予采信。</w:t>
            </w:r>
            <w:r/>
          </w:p>
        </w:tc>
        <w:tc>
          <w:tcPr>
            <w:tcW w:w="616"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28</w:t>
            </w:r>
            <w:r/>
          </w:p>
        </w:tc>
      </w:tr>
      <w:tr>
        <w:trPr>
          <w:jc w:val="center"/>
        </w:trPr>
        <w:tc>
          <w:tcPr>
            <w:tcW w:w="55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p>
        </w:tc>
        <w:tc>
          <w:tcPr>
            <w:tcW w:w="163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样品</w:t>
            </w:r>
            <w:r>
              <w:rPr>
                <w:rFonts w:hint="eastAsia" w:ascii="宋体" w:hAnsi="宋体" w:cs="宋体"/>
                <w:sz w:val="24"/>
                <w:szCs w:val="24"/>
                <w:lang w:val="en-US" w:eastAsia="zh-CN"/>
              </w:rPr>
              <w:t xml:space="preserve">演示视频</w:t>
            </w:r>
            <w:r/>
          </w:p>
        </w:tc>
        <w:tc>
          <w:tcPr>
            <w:tcW w:w="6113" w:type="dxa"/>
            <w:vAlign w:val="center"/>
            <w:textDirection w:val="lrTb"/>
            <w:noWrap w:val="false"/>
          </w:tcPr>
          <w:p>
            <w:pPr>
              <w:ind w:left="63" w:firstLine="0"/>
              <w:pageBreakBefore w:val="0"/>
              <w:spacing w:beforeAutospacing="0" w:afterAutospacing="0" w:line="360" w:lineRule="exac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样品视频演示需包含本包别内所有产品。样品统一采用视频一镜到底演示评审方式（如本包内涉及多个产品，需连续不间断演示），视频演示评审总分10分，无视频、视频无法播放、视频违规、未按要求演示均按规则扣分或计0分。</w:t>
            </w:r>
            <w:r/>
          </w:p>
          <w:p>
            <w:pPr>
              <w:ind w:left="63"/>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一、视频演示通用要求</w:t>
            </w:r>
            <w:r/>
          </w:p>
          <w:p>
            <w:pPr>
              <w:ind w:left="63" w:firstLine="0"/>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为规范评审标准、保障评标公平公正，所有投标人须严格遵守以下视频录制及演示要求，违反任意一条视为演示无效，样品视频演示项得0分：</w:t>
            </w:r>
            <w:r/>
          </w:p>
          <w:p>
            <w:pPr>
              <w:ind w:left="63"/>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录制规范：视频为全程连续、一镜到底、无剪辑、无拼接、无后期特效的真实场景实拍，画面清晰、声音可辨、产品实物完整出镜，严禁人工修改、配音替换、画面删减等违规操作。</w:t>
            </w:r>
            <w:r/>
          </w:p>
          <w:p>
            <w:pPr>
              <w:ind w:left="63"/>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时长要求：视频总时长严格控制在5分钟以内，超时视为无效视频，本项不得分。</w:t>
            </w:r>
            <w:r/>
          </w:p>
          <w:p>
            <w:pPr>
              <w:ind w:left="63"/>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3.演示形式：仅接受实物录制视频演示，不接受动画、PPT轮播、图片合集、线上实时演示等其他任何演示方式。</w:t>
            </w:r>
            <w:r/>
          </w:p>
          <w:p>
            <w:pPr>
              <w:ind w:left="63"/>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包别专项要求：多产品组合包须按产品类别依次完整演示包内所有投标产品，不得遗漏任一产品；单一产品包仅需演示对应投标单品，未按本要求完整演示的，视为演示缺项，样品视频演示项得0分。</w:t>
            </w:r>
            <w:r/>
          </w:p>
          <w:p>
            <w:pPr>
              <w:ind w:left="63" w:firstLine="0"/>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5.视频格式与责任归属：视频录制格式</w:t>
            </w:r>
            <w:r>
              <w:rPr>
                <w:rFonts w:hint="eastAsia" w:ascii="宋体" w:hAnsi="宋体" w:cs="宋体"/>
                <w:color w:val="000000"/>
                <w:sz w:val="24"/>
                <w:szCs w:val="24"/>
                <w:highlight w:val="none"/>
                <w:lang w:val="en-US" w:eastAsia="zh-CN"/>
              </w:rPr>
              <w:t xml:space="preserve">可</w:t>
            </w:r>
            <w:r>
              <w:rPr>
                <w:rFonts w:hint="eastAsia" w:ascii="宋体" w:hAnsi="宋体" w:eastAsia="宋体" w:cs="宋体"/>
                <w:color w:val="000000"/>
                <w:sz w:val="24"/>
                <w:szCs w:val="24"/>
                <w:highlight w:val="none"/>
              </w:rPr>
              <w:t xml:space="preserve">采用MP4、AVI、MOV、</w:t>
            </w:r>
            <w:r>
              <w:rPr>
                <w:rFonts w:ascii="宋体" w:hAnsi="宋体" w:eastAsia="宋体" w:cs="宋体"/>
                <w:sz w:val="24"/>
                <w:szCs w:val="24"/>
              </w:rPr>
              <w:t xml:space="preserve">MKV</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WMV或</w:t>
            </w:r>
            <w:r>
              <w:rPr>
                <w:rFonts w:hint="eastAsia" w:ascii="宋体" w:hAnsi="宋体" w:eastAsia="宋体" w:cs="宋体"/>
                <w:color w:val="000000"/>
                <w:sz w:val="24"/>
                <w:szCs w:val="24"/>
                <w:highlight w:val="none"/>
              </w:rPr>
              <w:t xml:space="preserve">AVCHD格式</w:t>
            </w:r>
            <w:r>
              <w:rPr>
                <w:rFonts w:hint="eastAsia" w:ascii="宋体" w:hAnsi="宋体" w:cs="宋体"/>
                <w:color w:val="000000"/>
                <w:sz w:val="24"/>
                <w:szCs w:val="24"/>
                <w:highlight w:val="none"/>
                <w:lang w:val="en-US" w:eastAsia="zh-CN"/>
              </w:rPr>
              <w:t xml:space="preserve">中的任意一种，</w:t>
            </w:r>
            <w:r>
              <w:rPr>
                <w:rFonts w:hint="eastAsia" w:ascii="宋体" w:hAnsi="宋体" w:eastAsia="宋体" w:cs="宋体"/>
                <w:color w:val="000000"/>
                <w:sz w:val="24"/>
                <w:szCs w:val="24"/>
                <w:highlight w:val="none"/>
              </w:rPr>
              <w:t xml:space="preserve">由投标人自行选择，投标人须提前自检视频完整性、兼容性。凡因投标人自身原因（包括但不限于视频格式不兼容、文件损坏、视频加密、缺失播放插件、文件上传错误等）导致视频无法正常播放、无法识别、无法完整查看的，一律视为未提供有效视频，样品视频演示项得0分，相关责任由投标人自行承担。</w:t>
            </w:r>
            <w:r/>
          </w:p>
          <w:p>
            <w:pPr>
              <w:ind w:left="63"/>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二、视频演示评分标准（总分10分）</w:t>
            </w:r>
            <w:r/>
          </w:p>
          <w:p>
            <w:pPr>
              <w:ind w:left="63" w:firstLine="0"/>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评标委员会根据投标人演示视频内容，从产品整体功能介绍、产品操作展示、产品布局设计三个维度进行综合评审。</w:t>
            </w:r>
            <w:r/>
          </w:p>
          <w:p>
            <w:pPr>
              <w:ind w:left="63"/>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（一）产品整体功能介绍（3分）</w:t>
            </w:r>
            <w:r/>
          </w:p>
          <w:p>
            <w:pPr>
              <w:ind w:left="63"/>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根据视频中产品特征、功能要素、核心特点的讲解完整性、准确性、</w:t>
            </w:r>
            <w:r>
              <w:rPr>
                <w:rFonts w:hint="eastAsia" w:ascii="宋体" w:hAnsi="宋体" w:cs="宋体"/>
                <w:color w:val="000000"/>
                <w:sz w:val="24"/>
                <w:szCs w:val="24"/>
                <w:highlight w:val="none"/>
                <w:lang w:eastAsia="zh-CN"/>
              </w:rPr>
              <w:t xml:space="preserve">翔实</w:t>
            </w:r>
            <w:r>
              <w:rPr>
                <w:rFonts w:hint="eastAsia" w:ascii="宋体" w:hAnsi="宋体" w:eastAsia="宋体" w:cs="宋体"/>
                <w:color w:val="000000"/>
                <w:sz w:val="24"/>
                <w:szCs w:val="24"/>
                <w:highlight w:val="none"/>
              </w:rPr>
              <w:t xml:space="preserve">度综合打分：</w:t>
            </w:r>
            <w:r/>
          </w:p>
          <w:p>
            <w:pPr>
              <w:ind w:left="63"/>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1.产品特征、功能要素介绍表述清晰、准确、</w:t>
            </w:r>
            <w:r>
              <w:rPr>
                <w:rFonts w:hint="eastAsia" w:ascii="宋体" w:hAnsi="宋体" w:cs="宋体"/>
                <w:color w:val="000000"/>
                <w:sz w:val="24"/>
                <w:szCs w:val="24"/>
                <w:highlight w:val="none"/>
                <w:lang w:eastAsia="zh-CN"/>
              </w:rPr>
              <w:t xml:space="preserve">翔实</w:t>
            </w:r>
            <w:r>
              <w:rPr>
                <w:rFonts w:hint="eastAsia" w:ascii="宋体" w:hAnsi="宋体" w:eastAsia="宋体" w:cs="宋体"/>
                <w:color w:val="000000"/>
                <w:sz w:val="24"/>
                <w:szCs w:val="24"/>
                <w:highlight w:val="none"/>
              </w:rPr>
              <w:t xml:space="preserve">，完整覆盖产品核心功能、核心特点及核心优势，可高效、直观传达产品核心价值，无错误、无遗漏。</w:t>
            </w:r>
            <w:r>
              <w:rPr>
                <w:rFonts w:hint="eastAsia" w:ascii="宋体" w:hAnsi="宋体" w:eastAsia="宋体" w:cs="宋体"/>
                <w:color w:val="000000"/>
                <w:sz w:val="24"/>
                <w:szCs w:val="24"/>
                <w:highlight w:val="none"/>
              </w:rPr>
              <w:t xml:space="preserve">得3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w:t>
            </w:r>
            <w:r/>
          </w:p>
          <w:p>
            <w:pPr>
              <w:ind w:left="63"/>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2.产品特征、功能要素表述完整，整体可传达产品核心功能与特点，仅存在少量非核心内容表述不足，不影响评委对产品核心性能的判定。</w:t>
            </w:r>
            <w:r>
              <w:rPr>
                <w:rFonts w:hint="eastAsia" w:ascii="宋体" w:hAnsi="宋体" w:eastAsia="宋体" w:cs="宋体"/>
                <w:color w:val="000000"/>
                <w:sz w:val="24"/>
                <w:szCs w:val="24"/>
                <w:highlight w:val="none"/>
              </w:rPr>
              <w:t xml:space="preserve">得2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.产品功能及特征介绍存在明显缺失，核心要素讲解笼统、不完整，无法有效、全面传达产品核心功能和特点</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未进行任何产品功能介绍、介绍内容存在关键错误，或未提供有效演示视频。</w:t>
            </w:r>
            <w:r>
              <w:rPr>
                <w:rFonts w:hint="eastAsia" w:ascii="宋体" w:hAnsi="宋体" w:eastAsia="宋体" w:cs="宋体"/>
                <w:color w:val="000000"/>
                <w:sz w:val="24"/>
                <w:szCs w:val="24"/>
                <w:highlight w:val="none"/>
              </w:rPr>
              <w:t xml:space="preserve">得0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w:t>
            </w:r>
            <w:r/>
          </w:p>
          <w:p>
            <w:pPr>
              <w:ind w:left="63"/>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（二）产品操作展示（4分）</w:t>
            </w:r>
            <w:r/>
          </w:p>
          <w:p>
            <w:pPr>
              <w:ind w:left="63"/>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重点评审产品实操完整性、流畅性、直观性，核心演示内容包含但不限于：设备启动打开、核心功能实操展示、设备关闭停机、产品创新功能（如有）、基础操作流程等，组合包需完整演示包内所有产品全套操作流程：</w:t>
            </w:r>
            <w:r/>
          </w:p>
          <w:p>
            <w:pPr>
              <w:ind w:left="63"/>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1.产品全流程功能操作演示流畅、直观、通俗易懂，完整覆盖全部核心操作环节，全面、清晰展示产品完整功能及标准操作流程，无缺项、无失误。</w:t>
            </w:r>
            <w:r>
              <w:rPr>
                <w:rFonts w:hint="eastAsia" w:ascii="宋体" w:hAnsi="宋体" w:eastAsia="宋体" w:cs="宋体"/>
                <w:color w:val="000000"/>
                <w:sz w:val="24"/>
                <w:szCs w:val="24"/>
                <w:highlight w:val="none"/>
              </w:rPr>
              <w:t xml:space="preserve">得4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w:t>
            </w:r>
            <w:r/>
          </w:p>
          <w:p>
            <w:pPr>
              <w:ind w:left="63"/>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2.产品整体操作演示流畅规范，仅存在少量非核心操作环节漏项或细节瑕疵，不影响产品整体功能展示与正常使用。</w:t>
            </w:r>
            <w:r>
              <w:rPr>
                <w:rFonts w:hint="eastAsia" w:ascii="宋体" w:hAnsi="宋体" w:eastAsia="宋体" w:cs="宋体"/>
                <w:color w:val="000000"/>
                <w:sz w:val="24"/>
                <w:szCs w:val="24"/>
                <w:highlight w:val="none"/>
              </w:rPr>
              <w:t xml:space="preserve">得2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w:t>
            </w:r>
            <w:r/>
          </w:p>
          <w:p>
            <w:pPr>
              <w:ind w:left="63"/>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3.产品操作演示不连贯、不规范，核心操作存在缺项，无法完整、清晰展示产品具体功能及标准操作流程</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未开展产品实操演示、核心功能无法正常操作展示，或未提供有效演示视频。</w:t>
            </w:r>
            <w:r>
              <w:rPr>
                <w:rFonts w:hint="eastAsia" w:ascii="宋体" w:hAnsi="宋体" w:eastAsia="宋体" w:cs="宋体"/>
                <w:color w:val="000000"/>
                <w:sz w:val="24"/>
                <w:szCs w:val="24"/>
                <w:highlight w:val="none"/>
              </w:rPr>
              <w:t xml:space="preserve">得0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w:t>
            </w:r>
            <w:r/>
          </w:p>
          <w:p>
            <w:pPr>
              <w:ind w:left="63"/>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（三）产品布局设计（3分）</w:t>
            </w:r>
            <w:r/>
          </w:p>
          <w:p>
            <w:pPr>
              <w:ind w:left="63"/>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结合实战应用场景，根据产品整体结构布局、实操适配性、使用便捷性、作业效率提升效果综合评审：</w:t>
            </w:r>
            <w:r/>
          </w:p>
          <w:p>
            <w:pPr>
              <w:ind w:left="63"/>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1.产品整体布局设计贴合实战应用场景，结构合理、设计人性化，可有效提升实操效率、优化使用体验，无设计缺陷。</w:t>
            </w:r>
            <w:r>
              <w:rPr>
                <w:rFonts w:hint="eastAsia" w:ascii="宋体" w:hAnsi="宋体" w:eastAsia="宋体" w:cs="宋体"/>
                <w:color w:val="000000"/>
                <w:sz w:val="24"/>
                <w:szCs w:val="24"/>
                <w:highlight w:val="none"/>
              </w:rPr>
              <w:t xml:space="preserve">得3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w:t>
            </w:r>
            <w:r/>
          </w:p>
          <w:p>
            <w:pPr>
              <w:ind w:left="63"/>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2.产品布局设计基本贴合实战需求，存在少量非关键性设计瑕疵，不影响产品正常操作使用与实战作业效果。</w:t>
            </w:r>
            <w:r>
              <w:rPr>
                <w:rFonts w:hint="eastAsia" w:ascii="宋体" w:hAnsi="宋体" w:eastAsia="宋体" w:cs="宋体"/>
                <w:color w:val="000000"/>
                <w:sz w:val="24"/>
                <w:szCs w:val="24"/>
                <w:highlight w:val="none"/>
              </w:rPr>
              <w:t xml:space="preserve">得2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w:t>
            </w:r>
            <w:r/>
          </w:p>
          <w:p>
            <w:pPr>
              <w:ind w:left="63"/>
              <w:pageBreakBefore w:val="0"/>
              <w:spacing w:beforeAutospacing="0" w:afterAutospacing="0" w:line="360" w:lineRule="exact"/>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sz w:val="24"/>
                <w:szCs w:val="24"/>
                <w:highlight w:val="none"/>
              </w:rPr>
              <w:t xml:space="preserve">3.产品布局设计存在明显缺陷，对实操便捷性、作业效率造成负面影响，一定程度影响正常操作使用</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布局设计存在重大缺陷，无法适配实战场景、无法正常使用，或未提供有效演示视频。</w:t>
            </w:r>
            <w:r>
              <w:rPr>
                <w:rFonts w:hint="eastAsia" w:ascii="宋体" w:hAnsi="宋体" w:eastAsia="宋体" w:cs="宋体"/>
                <w:color w:val="000000"/>
                <w:sz w:val="24"/>
                <w:szCs w:val="24"/>
                <w:highlight w:val="none"/>
              </w:rPr>
              <w:t xml:space="preserve">得0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w:t>
            </w:r>
            <w:r/>
          </w:p>
        </w:tc>
        <w:tc>
          <w:tcPr>
            <w:tcW w:w="616"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0</w:t>
            </w:r>
            <w:r/>
          </w:p>
        </w:tc>
      </w:tr>
      <w:tr>
        <w:trPr>
          <w:jc w:val="center"/>
        </w:trPr>
        <w:tc>
          <w:tcPr>
            <w:tcW w:w="55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4.1</w:t>
            </w:r>
            <w:r/>
          </w:p>
        </w:tc>
        <w:tc>
          <w:tcPr>
            <w:tcW w:w="1637" w:type="dxa"/>
            <w:vAlign w:val="center"/>
            <w:vMerge w:val="restart"/>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服务方案</w:t>
            </w:r>
            <w:r/>
          </w:p>
        </w:tc>
        <w:tc>
          <w:tcPr>
            <w:tcW w:w="6113" w:type="dxa"/>
            <w:vAlign w:val="center"/>
            <w:textDirection w:val="lrTb"/>
            <w:noWrap w:val="false"/>
          </w:tcPr>
          <w:p>
            <w:pPr>
              <w:spacing w:line="360" w:lineRule="exact"/>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lang w:val="en-US" w:eastAsia="zh-CN" w:bidi="ar-SA"/>
                <w14:textFill>
                  <w14:solidFill>
                    <w14:schemeClr w14:val="tx1"/>
                  </w14:solidFill>
                </w14:textFill>
              </w:rPr>
              <w:t xml:space="preserve">一、</w:t>
            </w:r>
            <w:r>
              <w:rPr>
                <w:rFonts w:hint="default" w:ascii="Times New Roman" w:hAnsi="Times New Roman" w:eastAsia="宋体" w:cs="Times New Roman"/>
                <w:b/>
                <w:bCs/>
                <w:color w:val="000000" w:themeColor="text1"/>
                <w:sz w:val="24"/>
                <w:szCs w:val="24"/>
                <w:highlight w:val="none"/>
                <w14:textFill>
                  <w14:solidFill>
                    <w14:schemeClr w14:val="tx1"/>
                  </w14:solidFill>
                </w14:textFill>
              </w:rPr>
              <w:t xml:space="preserve">售后服务方案 </w:t>
            </w:r>
            <w:r/>
          </w:p>
          <w:p>
            <w:pPr>
              <w:jc w:val="both"/>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评委根据投标文件对招标文件第四章“</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售后服务方案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”要求的响应情况进行评审</w:t>
            </w: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p>
          <w:p>
            <w:pPr>
              <w:jc w:val="both"/>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1）</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投标文件未符合“</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售后服务方案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”中全部条款要求的，视为不符合招标文件，本项得0分。</w:t>
            </w:r>
            <w:r/>
          </w:p>
          <w:p>
            <w:pPr>
              <w:jc w:val="both"/>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2）投标</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文件符合“</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售后服务方案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”中全部条款要求的，视为符合招标文件，本项得</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2</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分。</w:t>
            </w:r>
            <w:r/>
          </w:p>
          <w:p>
            <w:pPr>
              <w:spacing w:line="360" w:lineRule="exac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（3）经评委认定，投标文件对“售后服务方案”中“售后服务范围”、“售后服务点设置”、“售后服务人员配备”、“拟投入的设施设备及车辆配备”、“售后服务响应时间”、“售后服务承诺”六</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项要求的响应内容全部优于招标文件</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要求的（前提</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是投标文件对</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“售后服务方案”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中除</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“售后服务范围”、“售后服务点设置”、“售后服务人员配备”、“拟投入的设施设备及车辆配备”、“售后服务响应时间”、“售后服务承诺”</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外其他要求响应内容符合</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招标文件要求），本项</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得5分。</w:t>
            </w:r>
            <w:r/>
          </w:p>
        </w:tc>
        <w:tc>
          <w:tcPr>
            <w:tcW w:w="616"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p>
        </w:tc>
      </w:tr>
      <w:tr>
        <w:trPr>
          <w:jc w:val="center"/>
          <w:trHeight w:val="577"/>
        </w:trPr>
        <w:tc>
          <w:tcPr>
            <w:tcW w:w="55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4.2</w:t>
            </w:r>
            <w:r/>
          </w:p>
        </w:tc>
        <w:tc>
          <w:tcPr>
            <w:tcW w:w="1637" w:type="dxa"/>
            <w:vAlign w:val="center"/>
            <w:vMerge w:val="continue"/>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r>
            <w:r/>
          </w:p>
        </w:tc>
        <w:tc>
          <w:tcPr>
            <w:tcW w:w="6113" w:type="dxa"/>
            <w:vAlign w:val="center"/>
            <w:textDirection w:val="lrTb"/>
            <w:noWrap w:val="false"/>
          </w:tcPr>
          <w:p>
            <w:pPr>
              <w:ind w:left="63"/>
              <w:pageBreakBefore w:val="0"/>
              <w:spacing w:beforeAutospacing="0" w:afterAutospacing="0" w:line="360" w:lineRule="exact"/>
              <w:rPr>
                <w:rFonts w:hint="default" w:ascii="Times New Roman" w:hAnsi="Times New Roman" w:eastAsia="宋体" w:cs="Times New Roman"/>
                <w:b/>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14:textFill>
                  <w14:solidFill>
                    <w14:schemeClr w14:val="tx1"/>
                  </w14:solidFill>
                </w14:textFill>
              </w:rPr>
              <w:t xml:space="preserve">二、保修方案 </w:t>
            </w:r>
            <w:r/>
          </w:p>
          <w:p>
            <w:pPr>
              <w:ind w:left="63"/>
              <w:jc w:val="left"/>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评委根据投标文件对招标文件第四章“</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保修方案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”要求的响应情况进行评审</w:t>
            </w: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p>
          <w:p>
            <w:pPr>
              <w:ind w:left="63"/>
              <w:jc w:val="left"/>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1）</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投标文件未符合“</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保修方案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”中全部条款要求的，视为不符合招标文件，本项得0分。</w:t>
            </w:r>
            <w:r/>
          </w:p>
          <w:p>
            <w:pPr>
              <w:ind w:left="63"/>
              <w:jc w:val="left"/>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2）投标</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文件符合“</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保修方案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”中全部条款要求的，视为符合招标文件，本项得</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2</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分。</w:t>
            </w:r>
            <w:r/>
          </w:p>
          <w:p>
            <w:pPr>
              <w:ind w:left="63"/>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（3）经评委认定，投标文件对“保修方案”中“保修范围”、“</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所投产品常见故障及保修措施</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w:t>
            </w:r>
            <w:r>
              <w:rPr>
                <w:rFonts w:hint="default" w:ascii="Times New Roman" w:hAnsi="Times New Roman" w:eastAsia="宋体" w:cs="Times New Roman"/>
                <w:b w:val="0"/>
                <w:bCs w:val="0"/>
                <w:i w:val="0"/>
                <w:iCs w:val="0"/>
                <w:caps w:val="0"/>
                <w:color w:val="000000" w:themeColor="text1"/>
                <w:spacing w:val="0"/>
                <w:sz w:val="24"/>
                <w:szCs w:val="24"/>
                <w:highlight w:val="none"/>
                <w:shd w:val="clear" w:color="auto" w:fill="auto"/>
                <w14:textFill>
                  <w14:solidFill>
                    <w14:schemeClr w14:val="tx1"/>
                  </w14:solidFill>
                </w14:textFill>
              </w:rPr>
              <w:t xml:space="preserve">专项保修团队配置</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”、“维修设施与备件储备”、“应急响应时效及保修履约承诺”五</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项要求的响应内容全部优于招标文件</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要求的（前提</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是投标文件对</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保修</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中除</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“保修范围”、“</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所投产品常见故障及保修措施</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w:t>
            </w:r>
            <w:r>
              <w:rPr>
                <w:rFonts w:hint="default" w:ascii="Times New Roman" w:hAnsi="Times New Roman" w:eastAsia="宋体" w:cs="Times New Roman"/>
                <w:b w:val="0"/>
                <w:bCs w:val="0"/>
                <w:i w:val="0"/>
                <w:iCs w:val="0"/>
                <w:caps w:val="0"/>
                <w:color w:val="000000" w:themeColor="text1"/>
                <w:spacing w:val="0"/>
                <w:sz w:val="24"/>
                <w:szCs w:val="24"/>
                <w:highlight w:val="none"/>
                <w:shd w:val="clear" w:color="auto"/>
                <w14:textFill>
                  <w14:solidFill>
                    <w14:schemeClr w14:val="tx1"/>
                  </w14:solidFill>
                </w14:textFill>
              </w:rPr>
              <w:t xml:space="preserve">专项保修团队配置</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”、“维修设施与备件储备”、“应急响应时效及保修履约承诺”</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外其他要求响应内容符合</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招标文件要求），本项</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得5分。</w:t>
            </w:r>
            <w:r/>
          </w:p>
        </w:tc>
        <w:tc>
          <w:tcPr>
            <w:tcW w:w="616"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p>
        </w:tc>
      </w:tr>
      <w:tr>
        <w:trPr>
          <w:jc w:val="center"/>
          <w:trHeight w:val="828"/>
        </w:trPr>
        <w:tc>
          <w:tcPr>
            <w:tcW w:w="55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4.3</w:t>
            </w:r>
            <w:r/>
          </w:p>
        </w:tc>
        <w:tc>
          <w:tcPr>
            <w:tcW w:w="1637" w:type="dxa"/>
            <w:vAlign w:val="center"/>
            <w:vMerge w:val="continue"/>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r>
            <w:r/>
          </w:p>
        </w:tc>
        <w:tc>
          <w:tcPr>
            <w:tcW w:w="6113" w:type="dxa"/>
            <w:vAlign w:val="center"/>
            <w:textDirection w:val="lrTb"/>
            <w:noWrap w:val="false"/>
          </w:tcPr>
          <w:p>
            <w:pPr>
              <w:ind w:left="63"/>
              <w:pageBreakBefore w:val="0"/>
              <w:spacing w:beforeAutospacing="0" w:afterAutospacing="0" w:line="360" w:lineRule="exact"/>
              <w:rPr>
                <w:rFonts w:hint="default" w:ascii="Times New Roman" w:hAnsi="Times New Roman" w:eastAsia="宋体" w:cs="Times New Roman"/>
                <w:b/>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14:textFill>
                  <w14:solidFill>
                    <w14:schemeClr w14:val="tx1"/>
                  </w14:solidFill>
                </w14:textFill>
              </w:rPr>
              <w:t xml:space="preserve">三、保修期外维保</w:t>
            </w:r>
            <w:r>
              <w:rPr>
                <w:rFonts w:hint="default" w:ascii="Times New Roman" w:hAnsi="Times New Roman" w:eastAsia="宋体" w:cs="Times New Roman"/>
                <w:b/>
                <w:bCs/>
                <w:color w:val="000000" w:themeColor="text1"/>
                <w:sz w:val="24"/>
                <w:szCs w:val="24"/>
                <w:highlight w:val="none"/>
                <w14:textFill>
                  <w14:solidFill>
                    <w14:schemeClr w14:val="tx1"/>
                  </w14:solidFill>
                </w14:textFill>
              </w:rPr>
              <w:t xml:space="preserve">方案</w:t>
            </w:r>
            <w:r>
              <w:rPr>
                <w:rFonts w:hint="default" w:ascii="Times New Roman" w:hAnsi="Times New Roman" w:eastAsia="宋体" w:cs="Times New Roman"/>
                <w:b/>
                <w:bCs/>
                <w:color w:val="000000" w:themeColor="text1"/>
                <w:sz w:val="24"/>
                <w:szCs w:val="24"/>
                <w:highlight w:val="none"/>
                <w14:textFill>
                  <w14:solidFill>
                    <w14:schemeClr w14:val="tx1"/>
                  </w14:solidFill>
                </w14:textFill>
              </w:rPr>
              <w:t xml:space="preserve"> </w:t>
            </w:r>
            <w:r/>
          </w:p>
          <w:p>
            <w:pPr>
              <w:ind w:left="63"/>
              <w:jc w:val="left"/>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评委根据投标文件对招标文件第四章“</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保修期外维保</w:t>
            </w: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方案</w:t>
            </w:r>
            <w:r>
              <w:rPr>
                <w:rFonts w:hint="default" w:ascii="Times New Roman" w:hAnsi="Times New Roman" w:cs="Times New Roman"/>
                <w:b w:val="0"/>
                <w:bCs w:val="0"/>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要求的响应情况进行评审</w:t>
            </w: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p>
          <w:p>
            <w:pPr>
              <w:ind w:left="63"/>
              <w:jc w:val="left"/>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1）</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投标文件未符合“</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保修期外维保</w:t>
            </w: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”中全部条款要求的，视为不符合招标文件，本项得0分。</w:t>
            </w:r>
            <w:r/>
          </w:p>
          <w:p>
            <w:pPr>
              <w:ind w:left="63"/>
              <w:jc w:val="left"/>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2）投标</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文件符合“</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保修期外维保</w:t>
            </w: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”中全部条款要求的，视为符合招标文件，本项得</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2</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分。</w:t>
            </w:r>
            <w:r/>
          </w:p>
          <w:p>
            <w:pPr>
              <w:pStyle w:val="720"/>
              <w:ind w:left="0"/>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（3）经评委认定，投标文件对“</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保修期外维保</w:t>
            </w: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方案</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”中“保修期外</w:t>
            </w:r>
            <w:r>
              <w:rPr>
                <w:rFonts w:hint="default" w:ascii="Times New Roman" w:hAnsi="Times New Roman" w:eastAsia="宋体" w:cs="Times New Roman"/>
                <w:b w:val="0"/>
                <w:bCs w:val="0"/>
                <w:i w:val="0"/>
                <w:iCs w:val="0"/>
                <w:caps w:val="0"/>
                <w:color w:val="000000" w:themeColor="text1"/>
                <w:spacing w:val="0"/>
                <w:sz w:val="24"/>
                <w:szCs w:val="24"/>
                <w:highlight w:val="none"/>
                <w:shd w:val="clear" w:color="auto" w:fill="auto"/>
                <w14:textFill>
                  <w14:solidFill>
                    <w14:schemeClr w14:val="tx1"/>
                  </w14:solidFill>
                </w14:textFill>
              </w:rPr>
              <w:t xml:space="preserve">维保服务范围与内容</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故障报修响应时效</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w:t>
            </w:r>
            <w:r>
              <w:rPr>
                <w:rFonts w:hint="default" w:ascii="Times New Roman" w:hAnsi="Times New Roman" w:eastAsia="宋体" w:cs="Times New Roman"/>
                <w:b w:val="0"/>
                <w:bCs w:val="0"/>
                <w:i w:val="0"/>
                <w:iCs w:val="0"/>
                <w:caps w:val="0"/>
                <w:color w:val="000000" w:themeColor="text1"/>
                <w:spacing w:val="0"/>
                <w:sz w:val="24"/>
                <w:szCs w:val="24"/>
                <w:highlight w:val="none"/>
                <w:shd w:val="clear" w:color="auto"/>
                <w14:textFill>
                  <w14:solidFill>
                    <w14:schemeClr w14:val="tx1"/>
                  </w14:solidFill>
                </w14:textFill>
              </w:rPr>
              <w:t xml:space="preserve">年度维保费用报价与计费标准</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”、“易损件、零配件、消耗品的供应价格清单”、“长期维保服务承诺及价格锁定保证”五</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项要求的响应内容全部优于招标文件</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要求的（前提</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是投标文件对</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保修期外维保</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中除</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“保修期外</w:t>
            </w:r>
            <w:r>
              <w:rPr>
                <w:rFonts w:hint="default" w:ascii="Times New Roman" w:hAnsi="Times New Roman" w:eastAsia="宋体" w:cs="Times New Roman"/>
                <w:b w:val="0"/>
                <w:bCs w:val="0"/>
                <w:i w:val="0"/>
                <w:iCs w:val="0"/>
                <w:caps w:val="0"/>
                <w:color w:val="000000" w:themeColor="text1"/>
                <w:spacing w:val="0"/>
                <w:sz w:val="24"/>
                <w:szCs w:val="24"/>
                <w:highlight w:val="none"/>
                <w:shd w:val="clear" w:color="auto"/>
                <w14:textFill>
                  <w14:solidFill>
                    <w14:schemeClr w14:val="tx1"/>
                  </w14:solidFill>
                </w14:textFill>
              </w:rPr>
              <w:t xml:space="preserve">维保服务范围与内容</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故障报修响应时效</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w:t>
            </w:r>
            <w:r>
              <w:rPr>
                <w:rFonts w:hint="default" w:ascii="Times New Roman" w:hAnsi="Times New Roman" w:eastAsia="宋体" w:cs="Times New Roman"/>
                <w:b w:val="0"/>
                <w:bCs w:val="0"/>
                <w:i w:val="0"/>
                <w:iCs w:val="0"/>
                <w:caps w:val="0"/>
                <w:color w:val="000000" w:themeColor="text1"/>
                <w:spacing w:val="0"/>
                <w:sz w:val="24"/>
                <w:szCs w:val="24"/>
                <w:highlight w:val="none"/>
                <w:shd w:val="clear" w:color="auto"/>
                <w14:textFill>
                  <w14:solidFill>
                    <w14:schemeClr w14:val="tx1"/>
                  </w14:solidFill>
                </w14:textFill>
              </w:rPr>
              <w:t xml:space="preserve">年度维保费用报价与计费标准</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”、“易损件、零配件、消耗品的供应价格清单”、“长期维保服务承诺及价格锁定保证”</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外其他要求响应内容符合</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招标文件要求），本项</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得5分。</w:t>
            </w:r>
            <w:r/>
          </w:p>
        </w:tc>
        <w:tc>
          <w:tcPr>
            <w:tcW w:w="616"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p>
        </w:tc>
      </w:tr>
      <w:tr>
        <w:trPr>
          <w:jc w:val="center"/>
          <w:trHeight w:val="1104"/>
        </w:trPr>
        <w:tc>
          <w:tcPr>
            <w:tcW w:w="55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4.4</w:t>
            </w:r>
            <w:r/>
          </w:p>
        </w:tc>
        <w:tc>
          <w:tcPr>
            <w:tcW w:w="1637" w:type="dxa"/>
            <w:vAlign w:val="center"/>
            <w:vMerge w:val="continue"/>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r>
            <w:r/>
          </w:p>
        </w:tc>
        <w:tc>
          <w:tcPr>
            <w:tcW w:w="6113" w:type="dxa"/>
            <w:vAlign w:val="center"/>
            <w:textDirection w:val="lrTb"/>
            <w:noWrap w:val="false"/>
          </w:tcPr>
          <w:p>
            <w:pPr>
              <w:numPr>
                <w:ilvl w:val="0"/>
                <w:numId w:val="0"/>
              </w:numPr>
              <w:ind w:left="63"/>
              <w:pageBreakBefore w:val="0"/>
              <w:spacing w:beforeAutospacing="0" w:afterAutospacing="0" w:line="360" w:lineRule="exact"/>
              <w:rPr>
                <w:rFonts w:hint="default" w:ascii="Times New Roman" w:hAnsi="Times New Roman" w:eastAsia="宋体" w:cs="Times New Roman"/>
                <w:b/>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lang w:val="en-US" w:eastAsia="zh-CN" w:bidi="ar-SA"/>
                <w14:textFill>
                  <w14:solidFill>
                    <w14:schemeClr w14:val="tx1"/>
                  </w14:solidFill>
                </w14:textFill>
              </w:rPr>
              <w:t xml:space="preserve">四、</w:t>
            </w:r>
            <w:r>
              <w:rPr>
                <w:rFonts w:hint="default" w:ascii="Times New Roman" w:hAnsi="Times New Roman" w:eastAsia="宋体" w:cs="Times New Roman"/>
                <w:b/>
                <w:bCs/>
                <w:color w:val="000000" w:themeColor="text1"/>
                <w:sz w:val="24"/>
                <w:szCs w:val="24"/>
                <w:highlight w:val="none"/>
                <w14:textFill>
                  <w14:solidFill>
                    <w14:schemeClr w14:val="tx1"/>
                  </w14:solidFill>
                </w14:textFill>
              </w:rPr>
              <w:t xml:space="preserve">技术培训方案</w:t>
            </w:r>
            <w:r/>
          </w:p>
          <w:p>
            <w:pPr>
              <w:ind w:left="63"/>
              <w:jc w:val="left"/>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评委根据投标文件对招标文件第四章“</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技术培训方案</w:t>
            </w:r>
            <w:r>
              <w:rPr>
                <w:rFonts w:hint="default" w:ascii="Times New Roman" w:hAnsi="Times New Roman" w:cs="Times New Roman"/>
                <w:b w:val="0"/>
                <w:bCs w:val="0"/>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要求的响应情况进行评审</w:t>
            </w: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p>
          <w:p>
            <w:pPr>
              <w:ind w:left="63"/>
              <w:jc w:val="left"/>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1）</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投标文件未符合“</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技术培训方案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”中全部条款要求的，视为不符合招标文件，本项得0分。</w:t>
            </w:r>
            <w:r/>
          </w:p>
          <w:p>
            <w:pPr>
              <w:ind w:left="63"/>
              <w:jc w:val="left"/>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2）投标</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文件符合“</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技术培训方案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”中全部条款要求的，视为符合招标文件，本项得</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1</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分。</w:t>
            </w:r>
            <w:r/>
          </w:p>
          <w:p>
            <w:pPr>
              <w:pStyle w:val="720"/>
              <w:ind w:left="0"/>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（3）经评委认定，投标文件对“</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技术培训方案</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”中“培训内容与课程体系”、“培训方式与方法”、“培训计划时间”、“培训对象”、“培训师资配备与团队”五</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项要求的响应内容全部优于招标文件</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要求的（前提</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是投标文件对</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技术培训</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中除</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“培训内容与课程体系”、“培训方式与方法”、“培训计划时间”、“培训对象”、“培训师资配备与团队”</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外其他要求响应内容符合</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招标文件要求），本项</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得</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3</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分。</w:t>
            </w:r>
            <w:r/>
          </w:p>
        </w:tc>
        <w:tc>
          <w:tcPr>
            <w:tcW w:w="616" w:type="dxa"/>
            <w:vAlign w:val="center"/>
            <w:textDirection w:val="lrTb"/>
            <w:noWrap w:val="false"/>
          </w:tcPr>
          <w:p>
            <w:pPr>
              <w:jc w:val="center"/>
              <w:pageBreakBefore w:val="0"/>
              <w:spacing w:beforeAutospacing="0" w:afterAutospacing="0"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p>
        </w:tc>
      </w:tr>
      <w:tr>
        <w:trPr>
          <w:jc w:val="center"/>
          <w:trHeight w:val="3438"/>
        </w:trPr>
        <w:tc>
          <w:tcPr>
            <w:tcW w:w="55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4.5</w:t>
            </w:r>
            <w:r/>
          </w:p>
        </w:tc>
        <w:tc>
          <w:tcPr>
            <w:tcW w:w="1637" w:type="dxa"/>
            <w:vAlign w:val="center"/>
            <w:vMerge w:val="continue"/>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r>
            <w:r/>
          </w:p>
        </w:tc>
        <w:tc>
          <w:tcPr>
            <w:tcW w:w="6113" w:type="dxa"/>
            <w:vAlign w:val="center"/>
            <w:textDirection w:val="lrTb"/>
            <w:noWrap w:val="false"/>
          </w:tcPr>
          <w:p>
            <w:pPr>
              <w:numPr>
                <w:ilvl w:val="0"/>
                <w:numId w:val="0"/>
              </w:numPr>
              <w:ind w:left="0"/>
              <w:pageBreakBefore w:val="0"/>
              <w:spacing w:beforeAutospacing="0" w:afterAutospacing="0" w:line="360" w:lineRule="exact"/>
              <w:rPr>
                <w:rFonts w:hint="default" w:ascii="Times New Roman" w:hAnsi="Times New Roman" w:eastAsia="宋体" w:cs="Times New Roman"/>
                <w:b/>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14:textFill>
                  <w14:solidFill>
                    <w14:schemeClr w14:val="tx1"/>
                  </w14:solidFill>
                </w14:textFill>
              </w:rPr>
              <w:t xml:space="preserve">五、供货方案</w:t>
            </w:r>
            <w:r/>
          </w:p>
          <w:p>
            <w:pPr>
              <w:ind w:left="63"/>
              <w:jc w:val="left"/>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评委根据投标文件对招标文件第四章“</w:t>
            </w: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供货方案</w:t>
            </w:r>
            <w:r>
              <w:rPr>
                <w:rFonts w:hint="default" w:ascii="Times New Roman" w:hAnsi="Times New Roman" w:cs="Times New Roman"/>
                <w:b w:val="0"/>
                <w:bCs w:val="0"/>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要求的响应情况进行评审</w:t>
            </w: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p>
          <w:p>
            <w:pPr>
              <w:ind w:left="63"/>
              <w:jc w:val="left"/>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1）</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投标文件未符合“</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供货方案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”中全部条款要求的，视为不符合招标文件，本项得0分。</w:t>
            </w:r>
            <w:r/>
          </w:p>
          <w:p>
            <w:pPr>
              <w:ind w:left="63"/>
              <w:jc w:val="left"/>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2）投标</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文件符合“</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供货方案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”中全部条款要求的，视为符合招标文件，本项得</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2</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分。</w:t>
            </w:r>
            <w:r/>
          </w:p>
          <w:p>
            <w:pPr>
              <w:pStyle w:val="720"/>
              <w:ind w:left="0"/>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（3）经评委认定，投标文件对“</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供货方案</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”中“供货计划与生产、备货周期”、“产品配送与物流保障”、“安装调试流程与技术标准”、“进度管控与风险预案”、“验收交付与资料移交”五</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项要求的响应内容全部优于招标文件</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要求的（前提</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是投标文件对</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供货</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中除</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“供货计划与生产、备货周期”、“产品配送与物流保障”、“安装调试流程与技术标准”、“进度管控与风险预案”、“验收交付与资料移交”</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外其他要求响应内容符合</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招标文件要求），本项</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得5分。</w:t>
            </w:r>
            <w:r/>
          </w:p>
        </w:tc>
        <w:tc>
          <w:tcPr>
            <w:tcW w:w="616" w:type="dxa"/>
            <w:vAlign w:val="center"/>
            <w:textDirection w:val="lrTb"/>
            <w:noWrap w:val="false"/>
          </w:tcPr>
          <w:p>
            <w:pPr>
              <w:jc w:val="center"/>
              <w:pageBreakBefore w:val="0"/>
              <w:spacing w:beforeAutospacing="0" w:afterAutospacing="0"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w:t>
            </w:r>
            <w:r/>
          </w:p>
        </w:tc>
      </w:tr>
      <w:tr>
        <w:trPr>
          <w:jc w:val="center"/>
          <w:trHeight w:val="3601"/>
        </w:trPr>
        <w:tc>
          <w:tcPr>
            <w:tcW w:w="557" w:type="dxa"/>
            <w:vAlign w:val="center"/>
            <w:vMerge w:val="restart"/>
            <w:textDirection w:val="lrTb"/>
            <w:noWrap w:val="false"/>
          </w:tcPr>
          <w:p>
            <w:pPr>
              <w:jc w:val="center"/>
              <w:pageBreakBefore w:val="0"/>
              <w:spacing w:beforeAutospacing="0" w:afterAutospacing="0"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4.6</w:t>
            </w:r>
            <w:r/>
          </w:p>
        </w:tc>
        <w:tc>
          <w:tcPr>
            <w:tcW w:w="1637" w:type="dxa"/>
            <w:vAlign w:val="center"/>
            <w:vMerge w:val="continue"/>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r>
            <w:r/>
          </w:p>
        </w:tc>
        <w:tc>
          <w:tcPr>
            <w:tcW w:w="6113" w:type="dxa"/>
            <w:vAlign w:val="center"/>
            <w:vMerge w:val="restart"/>
            <w:textDirection w:val="lrTb"/>
            <w:noWrap w:val="false"/>
          </w:tcPr>
          <w:p>
            <w:pPr>
              <w:ind w:left="0"/>
              <w:pageBreakBefore w:val="0"/>
              <w:spacing w:beforeAutospacing="0" w:afterAutospacing="0" w:line="360" w:lineRule="exact"/>
              <w:rPr>
                <w:color w:val="000000" w:themeColor="text1"/>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六、应急措施</w:t>
            </w:r>
            <w:r/>
          </w:p>
          <w:p>
            <w:pPr>
              <w:ind w:left="63"/>
              <w:jc w:val="left"/>
              <w:pageBreakBefore w:val="0"/>
              <w:spacing w:beforeAutospacing="0" w:afterAutospacing="0" w:line="360" w:lineRule="exact"/>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评委根据投标文件对</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招标文件第四章“</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服务方案</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”中“应急措施</w:t>
            </w: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要求的响应情况进行评审</w:t>
            </w: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w:t>
            </w:r>
            <w:r/>
          </w:p>
          <w:p>
            <w:pPr>
              <w:ind w:left="63"/>
              <w:jc w:val="left"/>
              <w:pageBreakBefore w:val="0"/>
              <w:spacing w:beforeAutospacing="0" w:afterAutospacing="0" w:line="36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投标文件未符合“应急措施”中全部条款要求的，视为不符合招标文件，本项得0分。</w:t>
            </w:r>
            <w:r/>
          </w:p>
          <w:p>
            <w:pPr>
              <w:ind w:left="63"/>
              <w:jc w:val="left"/>
              <w:pageBreakBefore w:val="0"/>
              <w:spacing w:beforeAutospacing="0" w:afterAutospacing="0" w:line="36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2）投标</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文件符合“应急措施”中全部条款要求的，视为符合招标文件，本项得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分。</w:t>
            </w:r>
            <w:r/>
          </w:p>
          <w:p>
            <w:pPr>
              <w:pStyle w:val="720"/>
              <w:ind w:left="0"/>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（3）经评委认定，投标文件对“</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应急措施</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”中“应急组织体系与预防预警机制”、“应急</w:t>
            </w:r>
            <w:r>
              <w:rPr>
                <w:rFonts w:hint="eastAsia" w:ascii="宋体" w:hAnsi="宋体" w:cs="宋体"/>
                <w:color w:val="000000" w:themeColor="text1"/>
                <w:sz w:val="24"/>
                <w:szCs w:val="24"/>
                <w:highlight w:val="none"/>
                <w:lang w:val="en-US" w:eastAsia="zh-CN"/>
                <w14:textFill>
                  <w14:solidFill>
                    <w14:schemeClr w14:val="tx1"/>
                  </w14:solidFill>
                </w14:textFill>
              </w:rPr>
              <w:t xml:space="preserve">响应分级与处置流程”、“应急技术支撑与抢修方案”、“应急物资与备件储备”、“</w:t>
            </w:r>
            <w:r>
              <w:rPr>
                <w:rFonts w:hint="eastAsia" w:ascii="宋体" w:hAnsi="宋体" w:eastAsia="宋体" w:cs="宋体"/>
                <w:b w:val="0"/>
                <w:bCs w:val="0"/>
                <w:i w:val="0"/>
                <w:iCs w:val="0"/>
                <w:caps w:val="0"/>
                <w:color w:val="000000" w:themeColor="text1"/>
                <w:spacing w:val="0"/>
                <w:sz w:val="24"/>
                <w:szCs w:val="24"/>
                <w:highlight w:val="none"/>
                <w:shd w:val="clear" w:color="auto" w:fill="auto"/>
                <w14:textFill>
                  <w14:solidFill>
                    <w14:schemeClr w14:val="tx1"/>
                  </w14:solidFill>
                </w14:textFill>
              </w:rPr>
              <w:t xml:space="preserve">应急保障人员配备与值守制度</w:t>
            </w:r>
            <w:r>
              <w:rPr>
                <w:rFonts w:hint="eastAsia" w:ascii="宋体" w:hAnsi="宋体" w:cs="宋体"/>
                <w:color w:val="000000" w:themeColor="text1"/>
                <w:sz w:val="24"/>
                <w:szCs w:val="24"/>
                <w:highlight w:val="none"/>
                <w:lang w:val="en-US" w:eastAsia="zh-CN"/>
                <w14:textFill>
                  <w14:solidFill>
                    <w14:schemeClr w14:val="tx1"/>
                  </w14:solidFill>
                </w14:textFill>
              </w:rPr>
              <w:t xml:space="preserve">”五</w:t>
            </w:r>
            <w:r>
              <w:rPr>
                <w:rFonts w:hint="eastAsia" w:ascii="宋体" w:hAnsi="宋体" w:eastAsia="宋体" w:cs="宋体"/>
                <w:color w:val="000000" w:themeColor="text1"/>
                <w:sz w:val="24"/>
                <w:szCs w:val="24"/>
                <w:highlight w:val="none"/>
                <w14:textFill>
                  <w14:solidFill>
                    <w14:schemeClr w14:val="tx1"/>
                  </w14:solidFill>
                </w14:textFill>
              </w:rPr>
              <w:t xml:space="preserve">项要求的响应内容全部优于招标文件</w:t>
            </w:r>
            <w:r>
              <w:rPr>
                <w:rFonts w:hint="eastAsia" w:ascii="宋体" w:hAnsi="宋体" w:cs="宋体"/>
                <w:color w:val="000000" w:themeColor="text1"/>
                <w:sz w:val="24"/>
                <w:szCs w:val="24"/>
                <w:highlight w:val="none"/>
                <w:lang w:eastAsia="zh-CN"/>
                <w14:textFill>
                  <w14:solidFill>
                    <w14:schemeClr w14:val="tx1"/>
                  </w14:solidFill>
                </w14:textFill>
              </w:rPr>
              <w:t xml:space="preserve">要求的（前提</w:t>
            </w:r>
            <w:r>
              <w:rPr>
                <w:rFonts w:hint="eastAsia" w:ascii="宋体" w:hAnsi="宋体" w:eastAsia="宋体" w:cs="宋体"/>
                <w:color w:val="000000" w:themeColor="text1"/>
                <w:sz w:val="24"/>
                <w:szCs w:val="24"/>
                <w:highlight w:val="none"/>
                <w14:textFill>
                  <w14:solidFill>
                    <w14:schemeClr w14:val="tx1"/>
                  </w14:solidFill>
                </w14:textFill>
              </w:rPr>
              <w:t xml:space="preserve">是投标文件对</w:t>
            </w:r>
            <w:r>
              <w:rPr>
                <w:rFonts w:hint="eastAsia" w:ascii="宋体" w:hAnsi="宋体" w:cs="宋体"/>
                <w:color w:val="000000" w:themeColor="text1"/>
                <w:sz w:val="24"/>
                <w:szCs w:val="24"/>
                <w:highlight w:val="none"/>
                <w:lang w:val="en-US" w:eastAsia="zh-CN"/>
                <w14:textFill>
                  <w14:solidFill>
                    <w14:schemeClr w14:val="tx1"/>
                  </w14:solidFill>
                </w14:textFill>
              </w:rPr>
              <w:t xml:space="preserve">“应急组织体系与预防预警机制”、“应急响应分级与处置流程”、“应急技术支撑与抢修方案”、“应急物资与备件储备”、“</w:t>
            </w:r>
            <w:r>
              <w:rPr>
                <w:rFonts w:hint="eastAsia" w:ascii="宋体" w:hAnsi="宋体" w:eastAsia="宋体" w:cs="宋体"/>
                <w:b w:val="0"/>
                <w:bCs w:val="0"/>
                <w:i w:val="0"/>
                <w:iCs w:val="0"/>
                <w:caps w:val="0"/>
                <w:color w:val="000000" w:themeColor="text1"/>
                <w:spacing w:val="0"/>
                <w:sz w:val="24"/>
                <w:szCs w:val="24"/>
                <w:highlight w:val="none"/>
                <w:shd w:val="clear" w:color="auto"/>
                <w14:textFill>
                  <w14:solidFill>
                    <w14:schemeClr w14:val="tx1"/>
                  </w14:solidFill>
                </w14:textFill>
              </w:rPr>
              <w:t xml:space="preserve">应急保障人员配备与值守制度</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外其他要求响应内容符合</w:t>
            </w:r>
            <w:r>
              <w:rPr>
                <w:rFonts w:hint="eastAsia" w:ascii="宋体" w:hAnsi="宋体" w:cs="宋体"/>
                <w:color w:val="000000" w:themeColor="text1"/>
                <w:sz w:val="24"/>
                <w:szCs w:val="24"/>
                <w:highlight w:val="none"/>
                <w:lang w:eastAsia="zh-CN"/>
                <w14:textFill>
                  <w14:solidFill>
                    <w14:schemeClr w14:val="tx1"/>
                  </w14:solidFill>
                </w14:textFill>
              </w:rPr>
              <w:t xml:space="preserve">招标文件要求），本项</w:t>
            </w:r>
            <w:r>
              <w:rPr>
                <w:rFonts w:hint="eastAsia" w:ascii="宋体" w:hAnsi="宋体" w:eastAsia="宋体" w:cs="宋体"/>
                <w:color w:val="000000" w:themeColor="text1"/>
                <w:sz w:val="24"/>
                <w:szCs w:val="24"/>
                <w:highlight w:val="none"/>
                <w14:textFill>
                  <w14:solidFill>
                    <w14:schemeClr w14:val="tx1"/>
                  </w14:solidFill>
                </w14:textFill>
              </w:rPr>
              <w:t xml:space="preserve">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W w:w="616" w:type="dxa"/>
            <w:vAlign w:val="center"/>
            <w:vMerge w:val="restart"/>
            <w:textDirection w:val="lrTb"/>
            <w:noWrap w:val="false"/>
          </w:tcPr>
          <w:p>
            <w:pPr>
              <w:jc w:val="center"/>
              <w:pageBreakBefore w:val="0"/>
              <w:spacing w:beforeAutospacing="0" w:afterAutospacing="0"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p>
        </w:tc>
      </w:tr>
      <w:tr>
        <w:trPr>
          <w:jc w:val="center"/>
          <w:trHeight w:val="1517"/>
        </w:trPr>
        <w:tc>
          <w:tcPr>
            <w:tcW w:w="55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7</w:t>
            </w:r>
            <w:r/>
          </w:p>
        </w:tc>
        <w:tc>
          <w:tcPr>
            <w:tcW w:w="1637" w:type="dxa"/>
            <w:vAlign w:val="center"/>
            <w:vMerge w:val="continue"/>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r>
            <w:r/>
          </w:p>
        </w:tc>
        <w:tc>
          <w:tcPr>
            <w:tcW w:w="6113" w:type="dxa"/>
            <w:vAlign w:val="center"/>
            <w:textDirection w:val="lrTb"/>
            <w:noWrap w:val="false"/>
          </w:tcPr>
          <w:p>
            <w:pPr>
              <w:ind w:left="63"/>
              <w:pageBreakBefore w:val="0"/>
              <w:spacing w:beforeAutospacing="0" w:afterAutospacing="0" w:line="360" w:lineRule="exact"/>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rPr>
              <w:t xml:space="preserve">、质保期 </w:t>
            </w:r>
            <w:r/>
          </w:p>
          <w:p>
            <w:pPr>
              <w:ind w:left="63"/>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根据投标人针对本项目供货产品的质保期进行综合比较后评分：</w:t>
            </w:r>
            <w:r/>
          </w:p>
          <w:p>
            <w:pPr>
              <w:ind w:left="63"/>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投标人所投产品质保期响应招标文</w:t>
            </w:r>
            <w:r>
              <w:rPr>
                <w:rFonts w:hint="eastAsia" w:ascii="宋体" w:hAnsi="宋体" w:eastAsia="宋体" w:cs="宋体"/>
                <w:sz w:val="24"/>
                <w:szCs w:val="24"/>
                <w:highlight w:val="none"/>
              </w:rPr>
              <w:t xml:space="preserve">件最低要求基础上（三年），每增加一年加0.5分，最高得1分。未提供者不得分。（投标文件需提供加盖投标人公章的质保期承诺书</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前后不一致以承诺书为准</w:t>
            </w:r>
            <w:r>
              <w:rPr>
                <w:rFonts w:hint="eastAsia" w:ascii="宋体" w:hAnsi="宋体" w:eastAsia="宋体" w:cs="宋体"/>
                <w:sz w:val="24"/>
                <w:szCs w:val="24"/>
                <w:highlight w:val="none"/>
              </w:rPr>
              <w:t xml:space="preserve">）。</w:t>
            </w:r>
            <w:r/>
          </w:p>
        </w:tc>
        <w:tc>
          <w:tcPr>
            <w:tcW w:w="616"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Pr>
        <w:tc>
          <w:tcPr>
            <w:tcW w:w="55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5</w:t>
            </w:r>
            <w:r/>
          </w:p>
        </w:tc>
        <w:tc>
          <w:tcPr>
            <w:tcW w:w="163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业绩</w:t>
            </w:r>
            <w:r/>
          </w:p>
        </w:tc>
        <w:tc>
          <w:tcPr>
            <w:tcW w:w="6113" w:type="dxa"/>
            <w:vAlign w:val="center"/>
            <w:textDirection w:val="lrTb"/>
            <w:noWrap w:val="false"/>
          </w:tcPr>
          <w:p>
            <w:pPr>
              <w:keepLines w:val="0"/>
              <w:keepNext w:val="0"/>
              <w:pageBreakBefore w:val="0"/>
              <w:spacing w:beforeAutospacing="0" w:afterAutospacing="0"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所投产品的投标人或产品制造商（必须与投标文件中产品型号一致）</w:t>
            </w:r>
            <w:r>
              <w:rPr>
                <w:rFonts w:hint="eastAsia" w:ascii="宋体" w:hAnsi="宋体" w:eastAsia="宋体" w:cs="宋体"/>
                <w:sz w:val="24"/>
                <w:szCs w:val="24"/>
                <w:lang w:val="en-US" w:eastAsia="zh-CN"/>
              </w:rPr>
              <w:t xml:space="preserve">2021年</w:t>
            </w: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月1日</w:t>
            </w:r>
            <w:r>
              <w:rPr>
                <w:rFonts w:hint="eastAsia" w:ascii="宋体" w:hAnsi="宋体" w:eastAsia="宋体" w:cs="宋体"/>
                <w:sz w:val="24"/>
                <w:szCs w:val="24"/>
              </w:rPr>
              <w:t xml:space="preserve">以来有销售业绩的（非单一产品包为核心产品）。每提供一份有效业绩证明材料得1分，最多得5分。</w:t>
            </w:r>
            <w:r/>
          </w:p>
          <w:p>
            <w:pPr>
              <w:pageBreakBefore w:val="0"/>
              <w:spacing w:beforeAutospacing="0" w:afterAutospacing="0"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注：</w:t>
            </w:r>
            <w:r/>
          </w:p>
          <w:p>
            <w:pPr>
              <w:ind w:left="63"/>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①业绩证明材料需同时提供合同和验收证明复印件加盖</w:t>
            </w:r>
            <w:r>
              <w:rPr>
                <w:rFonts w:hint="eastAsia" w:ascii="宋体" w:hAnsi="宋体" w:eastAsia="宋体" w:cs="宋体"/>
                <w:sz w:val="24"/>
                <w:szCs w:val="24"/>
                <w:lang w:val="en-US" w:eastAsia="zh-CN"/>
              </w:rPr>
              <w:t xml:space="preserve">投标单位</w:t>
            </w:r>
            <w:r>
              <w:rPr>
                <w:rFonts w:hint="eastAsia" w:ascii="宋体" w:hAnsi="宋体" w:eastAsia="宋体" w:cs="宋体"/>
                <w:sz w:val="24"/>
                <w:szCs w:val="24"/>
              </w:rPr>
              <w:t xml:space="preserve">公章，合同须能体现签订单</w:t>
            </w:r>
            <w:r>
              <w:rPr>
                <w:rFonts w:hint="eastAsia" w:ascii="宋体" w:hAnsi="宋体" w:eastAsia="宋体" w:cs="宋体"/>
                <w:sz w:val="24"/>
                <w:szCs w:val="24"/>
                <w:highlight w:val="none"/>
              </w:rPr>
              <w:t xml:space="preserve">位信息、签订时间、产品名称、型号、价格等相关信息，否则视为无效合同</w:t>
            </w:r>
            <w:r>
              <w:rPr>
                <w:rFonts w:hint="eastAsia" w:ascii="宋体" w:hAnsi="宋体" w:eastAsia="宋体" w:cs="宋体"/>
                <w:sz w:val="24"/>
                <w:szCs w:val="24"/>
                <w:highlight w:val="none"/>
                <w:lang w:eastAsia="zh-CN"/>
              </w:rPr>
              <w:t xml:space="preserve">。</w:t>
            </w:r>
            <w:r/>
          </w:p>
          <w:p>
            <w:pPr>
              <w:ind w:left="63"/>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b/>
                <w:bCs/>
                <w:sz w:val="24"/>
                <w:szCs w:val="24"/>
              </w:rPr>
              <w:t xml:space="preserve">②统招分签的合同按一个合同业绩计。</w:t>
            </w:r>
            <w:r>
              <w:rPr>
                <w:rFonts w:hint="eastAsia" w:ascii="宋体" w:hAnsi="宋体" w:eastAsia="宋体" w:cs="宋体"/>
                <w:sz w:val="24"/>
                <w:szCs w:val="24"/>
              </w:rPr>
              <w:t xml:space="preserve">【多个合同项目名称一致的，均按一个合同计】</w:t>
            </w:r>
            <w:r/>
          </w:p>
          <w:p>
            <w:pPr>
              <w:ind w:left="63"/>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③合同中的产品名称及产品型号请加以明显标记，以方便评审和核对。</w:t>
            </w:r>
            <w:r/>
          </w:p>
          <w:p>
            <w:pPr>
              <w:ind w:left="63"/>
              <w:pageBreakBefore w:val="0"/>
              <w:spacing w:beforeAutospacing="0" w:afterAutospacing="0" w:line="360" w:lineRule="exact"/>
              <w:rPr>
                <w:rFonts w:hint="eastAsia" w:ascii="宋体" w:hAnsi="宋体" w:eastAsia="宋体" w:cs="宋体"/>
                <w:sz w:val="24"/>
                <w:szCs w:val="24"/>
                <w:lang w:bidi="ar"/>
              </w:rPr>
            </w:pPr>
            <w:r>
              <w:rPr>
                <w:rFonts w:hint="eastAsia" w:ascii="宋体" w:hAnsi="宋体" w:eastAsia="宋体" w:cs="宋体"/>
                <w:sz w:val="24"/>
                <w:szCs w:val="24"/>
              </w:rPr>
              <w:t xml:space="preserve">④合同评审中的重要信息因存在内容模糊、无法辨认而产生不利于该项评审的情况，投标人自行承担后果。</w:t>
            </w:r>
            <w:r/>
          </w:p>
        </w:tc>
        <w:tc>
          <w:tcPr>
            <w:tcW w:w="616"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5</w:t>
            </w:r>
            <w:r/>
          </w:p>
        </w:tc>
      </w:tr>
      <w:tr>
        <w:trPr>
          <w:jc w:val="center"/>
        </w:trPr>
        <w:tc>
          <w:tcPr>
            <w:gridSpan w:val="2"/>
            <w:tcW w:w="2194"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合计</w:t>
            </w:r>
            <w:r/>
          </w:p>
        </w:tc>
        <w:tc>
          <w:tcPr>
            <w:tcW w:w="6113"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分值合计</w:t>
            </w:r>
            <w:r/>
          </w:p>
        </w:tc>
        <w:tc>
          <w:tcPr>
            <w:tcW w:w="616"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100</w:t>
            </w:r>
            <w:r/>
          </w:p>
        </w:tc>
      </w:tr>
    </w:tbl>
    <w:p>
      <w:pPr>
        <w:pStyle w:val="959"/>
        <w:ind w:left="0" w:right="0" w:firstLine="0"/>
        <w:keepLines w:val="0"/>
        <w:keepNext w:val="0"/>
        <w:pageBreakBefore w:val="0"/>
        <w:spacing w:before="0" w:beforeAutospacing="0" w:after="0" w:afterAutospacing="0" w:line="0" w:lineRule="atLeast"/>
        <w:widowControl/>
        <w:rPr>
          <w:lang w:val="en-US" w:eastAsia="zh-CN"/>
        </w:rPr>
        <w:suppressLineNumbers w:val="0"/>
      </w:pPr>
      <w:r>
        <w:rPr>
          <w:lang w:val="en-US" w:eastAsia="zh-CN"/>
        </w:rPr>
      </w:r>
      <w:r/>
    </w:p>
    <w:p>
      <w:pPr>
        <w:pStyle w:val="959"/>
        <w:ind w:left="0" w:right="0" w:firstLine="0"/>
        <w:keepLines w:val="0"/>
        <w:keepNext w:val="0"/>
        <w:pageBreakBefore w:val="0"/>
        <w:spacing w:before="0" w:beforeAutospacing="0" w:after="0" w:afterAutospacing="0" w:line="0" w:lineRule="atLeast"/>
        <w:widowControl/>
        <w:rPr>
          <w:rFonts w:hint="eastAsia"/>
          <w:b/>
          <w:bCs/>
          <w:lang w:val="en-US" w:eastAsia="zh-CN"/>
        </w:rPr>
        <w:suppressLineNumbers w:val="0"/>
      </w:pPr>
      <w:r>
        <w:rPr>
          <w:rFonts w:hint="eastAsia"/>
          <w:b/>
          <w:bCs/>
          <w:lang w:val="en-US" w:eastAsia="zh-CN"/>
        </w:rPr>
        <w:t xml:space="preserve">分包号2：</w:t>
      </w:r>
      <w:r/>
    </w:p>
    <w:tbl>
      <w:tblPr>
        <w:tblStyle w:val="719"/>
        <w:tblpPr w:horzAnchor="text" w:tblpXSpec="center" w:vertAnchor="text" w:tblpY="1" w:leftFromText="180" w:topFromText="0" w:rightFromText="180" w:bottomFromText="0"/>
        <w:tblW w:w="8923"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57"/>
        <w:gridCol w:w="1637"/>
        <w:gridCol w:w="6113"/>
        <w:gridCol w:w="616"/>
      </w:tblGrid>
      <w:tr>
        <w:trPr>
          <w:jc w:val="center"/>
          <w:trHeight w:val="464"/>
        </w:trPr>
        <w:tc>
          <w:tcPr>
            <w:tcW w:w="55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63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评分因素</w:t>
            </w:r>
            <w:r/>
          </w:p>
        </w:tc>
        <w:tc>
          <w:tcPr>
            <w:tcW w:w="6113"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评审标准</w:t>
            </w:r>
            <w:r/>
          </w:p>
        </w:tc>
        <w:tc>
          <w:tcPr>
            <w:tcW w:w="616"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分值</w:t>
            </w:r>
            <w:r/>
          </w:p>
        </w:tc>
      </w:tr>
      <w:tr>
        <w:trPr>
          <w:jc w:val="center"/>
        </w:trPr>
        <w:tc>
          <w:tcPr>
            <w:tcW w:w="55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r>
            <w:r/>
          </w:p>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163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价格</w:t>
            </w:r>
            <w:r/>
          </w:p>
        </w:tc>
        <w:tc>
          <w:tcPr>
            <w:tcW w:w="6113" w:type="dxa"/>
            <w:vAlign w:val="center"/>
            <w:textDirection w:val="lrTb"/>
            <w:noWrap w:val="false"/>
          </w:tcPr>
          <w:p>
            <w:pPr>
              <w:ind w:left="63"/>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采用低价优先法计算，即满足招标文件要求且投标价格最低的投标报价为评标基准价，其价格分为满分30分。</w:t>
            </w:r>
            <w:r/>
          </w:p>
          <w:p>
            <w:pPr>
              <w:ind w:left="63"/>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sz w:val="24"/>
                <w:szCs w:val="24"/>
              </w:rPr>
              <w:t xml:space="preserve">其他投标人的价格分统一按照下列公式计算:投标报价得分=(评标基准价/投标报价)×30（小数点保留两位）</w:t>
            </w:r>
            <w:r/>
          </w:p>
        </w:tc>
        <w:tc>
          <w:tcPr>
            <w:tcW w:w="616"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30</w:t>
            </w:r>
            <w:r/>
          </w:p>
        </w:tc>
      </w:tr>
      <w:tr>
        <w:trPr>
          <w:jc w:val="center"/>
        </w:trPr>
        <w:tc>
          <w:tcPr>
            <w:tcW w:w="55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W w:w="163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技术响应</w:t>
            </w:r>
            <w:r/>
          </w:p>
        </w:tc>
        <w:tc>
          <w:tcPr>
            <w:tcW w:w="6113" w:type="dxa"/>
            <w:vAlign w:val="center"/>
            <w:textDirection w:val="lrTb"/>
            <w:noWrap w:val="false"/>
          </w:tcPr>
          <w:p>
            <w:pP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投标人需对第四部分采购需求中的采购清单内所有技术参数要求进行逐条响应，在《技术条款偏离表》中如实详细填列所投产品的参数，且在偏差表中标明是否响应，招标文件要求提供证明材料的提供相应证明材料并标明所在具体页码；否则评标委员会有权做负偏离处理。</w:t>
            </w:r>
            <w:r/>
          </w:p>
          <w:p>
            <w:pP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1）就采购需求中技术参数已明确要求需要通过技术支持资料（包括检测检验报告、白皮书、设备生产厂家证明原件、彩页、手册等）来印证是否响应采购需求的参数内容，投标文件需要提供相应的技术支持资料（如检测报告、白皮书、设备生产厂家证明原件、彩页、手册等，相关材料复印件需加盖投标人公章）。若未提供或所提供技术支持资料不完整、不清晰等问题，即便投标文件中已承诺响应采购需求的，评审时也不予采信。 </w:t>
            </w:r>
            <w:r/>
          </w:p>
          <w:p>
            <w:pP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2）就采购需求中技术参数未明确要求需要通过技术支持资料（包括检测检验报告、白皮书、设备生产厂家证明原件、彩页、手册等）来印证是否响应采购需求的参数内容，以投标文件技术条款偏离表响应的内容为准，其他技术支持资料作为评审参考。</w:t>
            </w:r>
            <w:r/>
          </w:p>
          <w:p>
            <w:pP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（3）非单一产品包及套装组合包评审时，就包内所有产品的参数响应按照上述评分规则累计评审。</w:t>
            </w:r>
            <w:r/>
          </w:p>
          <w:p>
            <w:pP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所投产品所有技术条款完全响应招标文件要求的得28分；本项最低分0分，最高分28分。</w:t>
            </w:r>
            <w:r/>
          </w:p>
          <w:p>
            <w:pP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标记“▲”为重要技术条款，重要技术条款</w:t>
            </w:r>
            <w:r>
              <w:rPr>
                <w:rFonts w:hint="eastAsia" w:ascii="宋体" w:hAnsi="宋体" w:eastAsia="宋体" w:cs="宋体"/>
                <w:sz w:val="24"/>
                <w:szCs w:val="24"/>
                <w:lang w:val="en-US" w:eastAsia="zh-CN"/>
              </w:rPr>
              <w:t xml:space="preserve">不响应的，每条扣</w:t>
            </w: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分</w:t>
            </w:r>
            <w:r>
              <w:rPr>
                <w:rFonts w:hint="eastAsia" w:ascii="宋体" w:hAnsi="宋体" w:eastAsia="宋体" w:cs="宋体"/>
                <w:sz w:val="24"/>
                <w:szCs w:val="24"/>
              </w:rPr>
              <w:t xml:space="preserve">。</w:t>
            </w:r>
            <w:r/>
          </w:p>
          <w:p>
            <w:pP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无标记为一般技术条款，一般技术条款</w:t>
            </w:r>
            <w:r>
              <w:rPr>
                <w:rFonts w:hint="eastAsia" w:ascii="宋体" w:hAnsi="宋体" w:eastAsia="宋体" w:cs="宋体"/>
                <w:sz w:val="24"/>
                <w:szCs w:val="24"/>
                <w:lang w:val="en-US" w:eastAsia="zh-CN"/>
              </w:rPr>
              <w:t xml:space="preserve">不响应的，每条扣0.</w:t>
            </w:r>
            <w:r>
              <w:rPr>
                <w:rFonts w:hint="eastAsia" w:ascii="宋体" w:hAnsi="宋体" w:cs="宋体"/>
                <w:sz w:val="24"/>
                <w:szCs w:val="24"/>
                <w:lang w:val="en-US" w:eastAsia="zh-CN"/>
              </w:rPr>
              <w:t xml:space="preserve">7</w:t>
            </w:r>
            <w:r>
              <w:rPr>
                <w:rFonts w:hint="eastAsia" w:ascii="宋体" w:hAnsi="宋体" w:eastAsia="宋体" w:cs="宋体"/>
                <w:sz w:val="24"/>
                <w:szCs w:val="24"/>
                <w:lang w:val="en-US" w:eastAsia="zh-CN"/>
              </w:rPr>
              <w:t xml:space="preserve">分</w:t>
            </w:r>
            <w:r>
              <w:rPr>
                <w:rFonts w:hint="eastAsia" w:ascii="宋体" w:hAnsi="宋体" w:eastAsia="宋体" w:cs="宋体"/>
                <w:sz w:val="24"/>
                <w:szCs w:val="24"/>
              </w:rPr>
              <w:t xml:space="preserve">。</w:t>
            </w:r>
            <w:r/>
          </w:p>
          <w:p>
            <w:pP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6、注：①凡标有最低一级序号的指标项即为一项技术条款，无论是否隶属于上一级编号；</w:t>
            </w:r>
            <w:r/>
          </w:p>
          <w:p>
            <w:pPr>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sz w:val="24"/>
                <w:szCs w:val="24"/>
              </w:rPr>
              <w:t xml:space="preserve">除特别说明外，采购文件中标注“▲”的条款需要在投标文件内提供技</w:t>
            </w:r>
            <w:r>
              <w:rPr>
                <w:rFonts w:hint="eastAsia" w:ascii="宋体" w:hAnsi="宋体" w:eastAsia="宋体" w:cs="宋体"/>
                <w:sz w:val="24"/>
                <w:szCs w:val="24"/>
              </w:rPr>
              <w:t xml:space="preserve">术支持资料（如检测报告、白皮书、设备生产厂家证明原件、彩页、手册等材料。当出现同一投标人提供的证明材料证明内容不一致的情况，将按照以下顺序认定：检测报告、彩页、设备生产厂家证明、手册、白皮书、其他证明材料。对技术支持资料类型要求见具体的技术条款；未明确要求技术支持资料类型的技术条款提供任意一种技术支持资料即可），并在评审索引表中详细标明所在投标文件中的具体页码和位置。如因未在《技术条款偏离表》中注明支持资料具体页码和位置导致本项不得分的，由此产生的后果由供应商自行承担。未提供技术支持资料的，评审时不予采信。</w:t>
            </w:r>
            <w:r/>
          </w:p>
        </w:tc>
        <w:tc>
          <w:tcPr>
            <w:tcW w:w="616"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28</w:t>
            </w:r>
            <w:r/>
          </w:p>
        </w:tc>
      </w:tr>
      <w:tr>
        <w:trPr>
          <w:jc w:val="center"/>
        </w:trPr>
        <w:tc>
          <w:tcPr>
            <w:tcW w:w="55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p>
        </w:tc>
        <w:tc>
          <w:tcPr>
            <w:tcW w:w="163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样品</w:t>
            </w:r>
            <w:r>
              <w:rPr>
                <w:rFonts w:hint="eastAsia" w:ascii="宋体" w:hAnsi="宋体" w:cs="宋体"/>
                <w:sz w:val="24"/>
                <w:szCs w:val="24"/>
                <w:lang w:val="en-US" w:eastAsia="zh-CN"/>
              </w:rPr>
              <w:t xml:space="preserve">演示视频</w:t>
            </w:r>
            <w:r/>
          </w:p>
        </w:tc>
        <w:tc>
          <w:tcPr>
            <w:tcW w:w="6113" w:type="dxa"/>
            <w:vAlign w:val="center"/>
            <w:textDirection w:val="lrTb"/>
            <w:noWrap w:val="false"/>
          </w:tcPr>
          <w:p>
            <w:pPr>
              <w:ind w:left="63" w:firstLine="0"/>
              <w:pageBreakBefore w:val="0"/>
              <w:spacing w:beforeAutospacing="0" w:afterAutospacing="0" w:line="360" w:lineRule="exac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样品视频演示需包含本包别内所有产品。样品统一采用视频一镜到底演示评审方式（如本包内涉及多个产品，需连续不间断演示），视频演示评审总分10分，无视频、视频无法播放、视频违规、未按要求演示均按规则扣分或计0分。</w:t>
            </w:r>
            <w:r/>
          </w:p>
          <w:p>
            <w:pPr>
              <w:ind w:left="63"/>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一、视频演示通用要求</w:t>
            </w:r>
            <w:r/>
          </w:p>
          <w:p>
            <w:pPr>
              <w:ind w:left="63" w:firstLine="0"/>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为规范评审标准、保障评标公平公正，所有投标人须严格遵守以下视频录制及演示要求，违反任意一条视为演示无效，样品视频演示项得0分：</w:t>
            </w:r>
            <w:r/>
          </w:p>
          <w:p>
            <w:pPr>
              <w:ind w:left="63"/>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录制规范：视频为全程连续、一镜到底、无剪辑、无拼接、无后期特效的真实场景实拍，画面清晰、声音可辨、产品实物完整出镜，严禁人工修改、配音替换、画面删减等违规操作。</w:t>
            </w:r>
            <w:r/>
          </w:p>
          <w:p>
            <w:pPr>
              <w:ind w:left="63"/>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时长要求：视频总时长严格控制在5分钟以内，超时视为无效视频，本项不得分。</w:t>
            </w:r>
            <w:r/>
          </w:p>
          <w:p>
            <w:pPr>
              <w:ind w:left="63"/>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3.演示形式：仅接受实物录制视频演示，不接受动画、PPT轮播、图片合集、线上实时演示等其他任何演示方式。</w:t>
            </w:r>
            <w:r/>
          </w:p>
          <w:p>
            <w:pPr>
              <w:ind w:left="63"/>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4.包别专项要求：多产品组合包须按产品类别依次完整演示包内所有投标产品，不得遗漏任一产品；单一产品包仅需演示对应投标单品，未按本要求完整演示的，视为演示缺项，样品视频演示项得0分。</w:t>
            </w:r>
            <w:r/>
          </w:p>
          <w:p>
            <w:pPr>
              <w:ind w:left="63" w:firstLine="0"/>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5.视频格式与责任归属：视频录制格式</w:t>
            </w:r>
            <w:r>
              <w:rPr>
                <w:rFonts w:hint="eastAsia" w:ascii="宋体" w:hAnsi="宋体" w:cs="宋体"/>
                <w:color w:val="000000"/>
                <w:sz w:val="24"/>
                <w:szCs w:val="24"/>
                <w:highlight w:val="none"/>
                <w:lang w:val="en-US" w:eastAsia="zh-CN"/>
              </w:rPr>
              <w:t xml:space="preserve">可</w:t>
            </w:r>
            <w:r>
              <w:rPr>
                <w:rFonts w:hint="eastAsia" w:ascii="宋体" w:hAnsi="宋体" w:eastAsia="宋体" w:cs="宋体"/>
                <w:color w:val="000000"/>
                <w:sz w:val="24"/>
                <w:szCs w:val="24"/>
                <w:highlight w:val="none"/>
              </w:rPr>
              <w:t xml:space="preserve">采用MP4、AVI、MOV、</w:t>
            </w:r>
            <w:r>
              <w:rPr>
                <w:rFonts w:ascii="宋体" w:hAnsi="宋体" w:eastAsia="宋体" w:cs="宋体"/>
                <w:sz w:val="24"/>
                <w:szCs w:val="24"/>
              </w:rPr>
              <w:t xml:space="preserve">MKV</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WMV或</w:t>
            </w:r>
            <w:r>
              <w:rPr>
                <w:rFonts w:hint="eastAsia" w:ascii="宋体" w:hAnsi="宋体" w:eastAsia="宋体" w:cs="宋体"/>
                <w:color w:val="000000"/>
                <w:sz w:val="24"/>
                <w:szCs w:val="24"/>
                <w:highlight w:val="none"/>
              </w:rPr>
              <w:t xml:space="preserve">AVCHD格式</w:t>
            </w:r>
            <w:r>
              <w:rPr>
                <w:rFonts w:hint="eastAsia" w:ascii="宋体" w:hAnsi="宋体" w:cs="宋体"/>
                <w:color w:val="000000"/>
                <w:sz w:val="24"/>
                <w:szCs w:val="24"/>
                <w:highlight w:val="none"/>
                <w:lang w:val="en-US" w:eastAsia="zh-CN"/>
              </w:rPr>
              <w:t xml:space="preserve">中的任意一种，</w:t>
            </w:r>
            <w:r>
              <w:rPr>
                <w:rFonts w:hint="eastAsia" w:ascii="宋体" w:hAnsi="宋体" w:eastAsia="宋体" w:cs="宋体"/>
                <w:color w:val="000000"/>
                <w:sz w:val="24"/>
                <w:szCs w:val="24"/>
                <w:highlight w:val="none"/>
              </w:rPr>
              <w:t xml:space="preserve">由投标人自行选择，投标人须提前自检视频完整性、兼容性。凡因投标人自身原因（包括但不限于视频格式不兼容、文件损坏、视频加密、缺失播放插件、文件上传错误等）导致视频无法正常播放、无法识别、无法完整查看的，一律视为未提供有效视频，样品视频演示项得0分，相关责任由投标人自行承担。</w:t>
            </w:r>
            <w:r/>
          </w:p>
          <w:p>
            <w:pPr>
              <w:ind w:left="63"/>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二、视频演示评分标准（总分10分）</w:t>
            </w:r>
            <w:r/>
          </w:p>
          <w:p>
            <w:pPr>
              <w:ind w:left="63" w:firstLine="0"/>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评标委员会根据投标人演示视频内容，从产品整体功能介绍、产品操作展示、产品布局设计三个维度进行综合评审。</w:t>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（一）产品整体功能介绍（3分）</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根据视频中产品特征、功能要素、核心特点的讲解完整性、准确性、</w:t>
            </w:r>
            <w:r>
              <w:rPr>
                <w:rFonts w:hint="eastAsia" w:ascii="宋体" w:hAnsi="宋体" w:cs="宋体"/>
                <w:color w:val="000000"/>
                <w:sz w:val="24"/>
                <w:szCs w:val="24"/>
                <w:highlight w:val="none"/>
                <w:lang w:eastAsia="zh-CN"/>
              </w:rPr>
              <w:t xml:space="preserve">翔实</w:t>
            </w:r>
            <w:r>
              <w:rPr>
                <w:rFonts w:hint="eastAsia" w:ascii="宋体" w:hAnsi="宋体" w:eastAsia="宋体" w:cs="宋体"/>
                <w:color w:val="000000"/>
                <w:sz w:val="24"/>
                <w:szCs w:val="24"/>
                <w:highlight w:val="none"/>
              </w:rPr>
              <w:t xml:space="preserve">度综合打分：</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1.产品特征、功能要素介绍表述清晰、准确、</w:t>
            </w:r>
            <w:r>
              <w:rPr>
                <w:rFonts w:hint="eastAsia" w:ascii="宋体" w:hAnsi="宋体" w:cs="宋体"/>
                <w:color w:val="000000"/>
                <w:sz w:val="24"/>
                <w:szCs w:val="24"/>
                <w:highlight w:val="none"/>
                <w:lang w:eastAsia="zh-CN"/>
              </w:rPr>
              <w:t xml:space="preserve">翔实</w:t>
            </w:r>
            <w:r>
              <w:rPr>
                <w:rFonts w:hint="eastAsia" w:ascii="宋体" w:hAnsi="宋体" w:eastAsia="宋体" w:cs="宋体"/>
                <w:color w:val="000000"/>
                <w:sz w:val="24"/>
                <w:szCs w:val="24"/>
                <w:highlight w:val="none"/>
              </w:rPr>
              <w:t xml:space="preserve">，完整覆盖产品核心功能、核心特点及核心优势，可高效、直观传达产品核心价值，无错误、无遗漏。</w:t>
            </w:r>
            <w:r>
              <w:rPr>
                <w:rFonts w:hint="eastAsia" w:ascii="宋体" w:hAnsi="宋体" w:eastAsia="宋体" w:cs="宋体"/>
                <w:color w:val="000000"/>
                <w:sz w:val="24"/>
                <w:szCs w:val="24"/>
                <w:highlight w:val="none"/>
              </w:rPr>
              <w:t xml:space="preserve">得3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2.产品特征、功能要素表述完整，整体可传达产品核心功能与特点，仅存在少量非核心内容表述不足，不影响评委对产品核心性能的判定。</w:t>
            </w:r>
            <w:r>
              <w:rPr>
                <w:rFonts w:hint="eastAsia" w:ascii="宋体" w:hAnsi="宋体" w:eastAsia="宋体" w:cs="宋体"/>
                <w:color w:val="000000"/>
                <w:sz w:val="24"/>
                <w:szCs w:val="24"/>
                <w:highlight w:val="none"/>
              </w:rPr>
              <w:t xml:space="preserve">得2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.产品功能及特征介绍存在明显缺失，核心要素讲解笼统、不完整，无法有效、全面传达产品核心功能和特点</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未进行任何产品功能介绍、介绍内容存在关键错误，或未提供有效演示视频。</w:t>
            </w:r>
            <w:r>
              <w:rPr>
                <w:rFonts w:hint="eastAsia" w:ascii="宋体" w:hAnsi="宋体" w:eastAsia="宋体" w:cs="宋体"/>
                <w:color w:val="000000"/>
                <w:sz w:val="24"/>
                <w:szCs w:val="24"/>
                <w:highlight w:val="none"/>
              </w:rPr>
              <w:t xml:space="preserve">得0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（二）产品操作展示（4分）</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重点评审产品实操完整性、流畅性、直观性，核心演示内容包含但不限于：设备启动打开、核心功能实操展示、设备关闭停机、产品创新功能（如有）、基础操作流程等，组合包需完整演示包内所有产品全套操作流程：</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1.产品全流程功能操作演示流畅、直观、通俗易懂，完整覆盖全部核心操作环节，全面、清晰展示产品完整功能及标准操作流程，无缺项、无失误。</w:t>
            </w:r>
            <w:r>
              <w:rPr>
                <w:rFonts w:hint="eastAsia" w:ascii="宋体" w:hAnsi="宋体" w:eastAsia="宋体" w:cs="宋体"/>
                <w:color w:val="000000"/>
                <w:sz w:val="24"/>
                <w:szCs w:val="24"/>
                <w:highlight w:val="none"/>
              </w:rPr>
              <w:t xml:space="preserve">得4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2.产品整体操作演示流畅规范，仅存在少量非核心操作环节漏项或细节瑕疵，不影响产品整体功能展示与正常使用。</w:t>
            </w:r>
            <w:r>
              <w:rPr>
                <w:rFonts w:hint="eastAsia" w:ascii="宋体" w:hAnsi="宋体" w:eastAsia="宋体" w:cs="宋体"/>
                <w:color w:val="000000"/>
                <w:sz w:val="24"/>
                <w:szCs w:val="24"/>
                <w:highlight w:val="none"/>
              </w:rPr>
              <w:t xml:space="preserve">得2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3.产品操作演示不连贯、不规范，核心操作存在缺项，无法完整、清晰展示产品具体功能及标准操作流程</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未开展产品实操演示、核心功能无法正常操作展示，或未提供有效演示视频。</w:t>
            </w:r>
            <w:r>
              <w:rPr>
                <w:rFonts w:hint="eastAsia" w:ascii="宋体" w:hAnsi="宋体" w:eastAsia="宋体" w:cs="宋体"/>
                <w:color w:val="000000"/>
                <w:sz w:val="24"/>
                <w:szCs w:val="24"/>
                <w:highlight w:val="none"/>
              </w:rPr>
              <w:t xml:space="preserve">得0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（三）产品布局设计（3分）</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结合实战应用场景，根据产品整体结构布局、实操适配性、使用便捷性、作业效率提升效果综合评审：</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1.产品整体布局设计贴合实战应用场景，结构合理、设计人性化，可有效提升实操效率、优化使用体验，无设计缺陷。</w:t>
            </w:r>
            <w:r>
              <w:rPr>
                <w:rFonts w:hint="eastAsia" w:ascii="宋体" w:hAnsi="宋体" w:eastAsia="宋体" w:cs="宋体"/>
                <w:color w:val="000000"/>
                <w:sz w:val="24"/>
                <w:szCs w:val="24"/>
                <w:highlight w:val="none"/>
              </w:rPr>
              <w:t xml:space="preserve">得3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2.产品布局设计基本贴合实战需求，存在少量非关键性设计瑕疵，不影响产品正常操作使用与实战作业效果。</w:t>
            </w:r>
            <w:r>
              <w:rPr>
                <w:rFonts w:hint="eastAsia" w:ascii="宋体" w:hAnsi="宋体" w:eastAsia="宋体" w:cs="宋体"/>
                <w:color w:val="000000"/>
                <w:sz w:val="24"/>
                <w:szCs w:val="24"/>
                <w:highlight w:val="none"/>
              </w:rPr>
              <w:t xml:space="preserve">得2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3.产品布局设计存在明显缺陷，对实操便捷性、作业效率造成负面影响，一定程度影响正常操作使用</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布局设计存在重大缺陷，无法适配实战场景、无法正常使用，或未提供有效演示视频。</w:t>
            </w:r>
            <w:r>
              <w:rPr>
                <w:rFonts w:hint="eastAsia" w:ascii="宋体" w:hAnsi="宋体" w:eastAsia="宋体" w:cs="宋体"/>
                <w:color w:val="000000"/>
                <w:sz w:val="24"/>
                <w:szCs w:val="24"/>
                <w:highlight w:val="none"/>
              </w:rPr>
              <w:t xml:space="preserve">得0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616"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0</w:t>
            </w:r>
            <w:r/>
          </w:p>
        </w:tc>
      </w:tr>
      <w:tr>
        <w:trPr>
          <w:jc w:val="center"/>
        </w:trPr>
        <w:tc>
          <w:tcPr>
            <w:tcW w:w="55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4.1</w:t>
            </w:r>
            <w:r/>
          </w:p>
        </w:tc>
        <w:tc>
          <w:tcPr>
            <w:tcW w:w="1637" w:type="dxa"/>
            <w:vAlign w:val="center"/>
            <w:vMerge w:val="restart"/>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服务方案</w:t>
            </w:r>
            <w:r/>
          </w:p>
        </w:tc>
        <w:tc>
          <w:tcPr>
            <w:tcW w:w="6113" w:type="dxa"/>
            <w:vAlign w:val="center"/>
            <w:textDirection w:val="lrTb"/>
            <w:noWrap w:val="false"/>
          </w:tcPr>
          <w:p>
            <w:pPr>
              <w:spacing w:line="360" w:lineRule="exact"/>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lang w:val="en-US" w:eastAsia="zh-CN" w:bidi="ar-SA"/>
                <w14:textFill>
                  <w14:solidFill>
                    <w14:schemeClr w14:val="tx1"/>
                  </w14:solidFill>
                </w14:textFill>
              </w:rPr>
              <w:t xml:space="preserve">一、</w:t>
            </w:r>
            <w:r>
              <w:rPr>
                <w:rFonts w:hint="default" w:ascii="Times New Roman" w:hAnsi="Times New Roman" w:eastAsia="宋体" w:cs="Times New Roman"/>
                <w:b/>
                <w:bCs/>
                <w:color w:val="000000" w:themeColor="text1"/>
                <w:sz w:val="24"/>
                <w:szCs w:val="24"/>
                <w:highlight w:val="none"/>
                <w14:textFill>
                  <w14:solidFill>
                    <w14:schemeClr w14:val="tx1"/>
                  </w14:solidFill>
                </w14:textFill>
              </w:rPr>
              <w:t xml:space="preserve">售后服务方案 </w:t>
            </w:r>
            <w:r/>
          </w:p>
          <w:p>
            <w:pPr>
              <w:jc w:val="both"/>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评委根据投标文件对招标文件第四章“</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售后服务方案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”要求的响应情况进行评审</w:t>
            </w: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p>
          <w:p>
            <w:pPr>
              <w:jc w:val="both"/>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1）</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投标文件未符合“</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售后服务方案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”中全部条款要求的，视为不符合招标文件，本项得0分。</w:t>
            </w:r>
            <w:r/>
          </w:p>
          <w:p>
            <w:pPr>
              <w:jc w:val="both"/>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2）投标</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文件符合“</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售后服务方案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”中全部条款要求的，视为符合招标文件，本项得</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2</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分。</w:t>
            </w:r>
            <w:r/>
          </w:p>
          <w:p>
            <w:pPr>
              <w:spacing w:line="360" w:lineRule="exact"/>
              <w:rPr>
                <w:rFonts w:hint="default" w:ascii="Times New Roman" w:hAnsi="Times New Roman" w:eastAsia="宋体" w:cs="Times New Roman"/>
                <w:color w:val="000000"/>
                <w:sz w:val="24"/>
                <w:szCs w:val="24"/>
              </w:rPr>
            </w:pP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（3）经评委认定，投标文件对“售后服务方案”中“售后服务范围”、“售后服务点设置”、“售后服务人员配备”、“拟投入的设施设备及车辆配备”、“售后服务响应时间”、“售后服务承诺”六</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项要求的响应内容全部优于招标文件</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要求的（前提</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是投标文件对</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“售后服务方案”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中除</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“售后服务范围”、“售后服务点设置”、“售后服务人员配备”、“拟投入的设施设备及车辆配备”、“售后服务响应时间”、“售后服务承诺”</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外其他要求响应内容符合</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招标文件要求），本项</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得5分。</w:t>
            </w:r>
            <w:r/>
          </w:p>
        </w:tc>
        <w:tc>
          <w:tcPr>
            <w:tcW w:w="616"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p>
        </w:tc>
      </w:tr>
      <w:tr>
        <w:trPr>
          <w:jc w:val="center"/>
          <w:trHeight w:val="577"/>
        </w:trPr>
        <w:tc>
          <w:tcPr>
            <w:tcW w:w="55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4.2</w:t>
            </w:r>
            <w:r/>
          </w:p>
        </w:tc>
        <w:tc>
          <w:tcPr>
            <w:tcW w:w="1637" w:type="dxa"/>
            <w:vAlign w:val="center"/>
            <w:vMerge w:val="continue"/>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r>
            <w:r/>
          </w:p>
        </w:tc>
        <w:tc>
          <w:tcPr>
            <w:tcW w:w="6113" w:type="dxa"/>
            <w:vAlign w:val="center"/>
            <w:textDirection w:val="lrTb"/>
            <w:noWrap w:val="false"/>
          </w:tcPr>
          <w:p>
            <w:pPr>
              <w:ind w:left="63"/>
              <w:pageBreakBefore w:val="0"/>
              <w:spacing w:beforeAutospacing="0" w:afterAutospacing="0" w:line="360" w:lineRule="exact"/>
              <w:rPr>
                <w:rFonts w:hint="default" w:ascii="Times New Roman" w:hAnsi="Times New Roman" w:eastAsia="宋体" w:cs="Times New Roman"/>
                <w:b/>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14:textFill>
                  <w14:solidFill>
                    <w14:schemeClr w14:val="tx1"/>
                  </w14:solidFill>
                </w14:textFill>
              </w:rPr>
              <w:t xml:space="preserve">二、保修方案 </w:t>
            </w:r>
            <w:r/>
          </w:p>
          <w:p>
            <w:pPr>
              <w:ind w:left="63"/>
              <w:jc w:val="left"/>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评委根据投标文件对招标文件第四章“</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保修方案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”要求的响应情况进行评审</w:t>
            </w: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p>
          <w:p>
            <w:pPr>
              <w:ind w:left="63"/>
              <w:jc w:val="left"/>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1）</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投标文件未符合“</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保修方案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”中全部条款要求的，视为不符合招标文件，本项得0分。</w:t>
            </w:r>
            <w:r/>
          </w:p>
          <w:p>
            <w:pPr>
              <w:ind w:left="63"/>
              <w:jc w:val="left"/>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2）投标</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文件符合“</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保修方案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”中全部条款要求的，视为符合招标文件，本项得</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2</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分。</w:t>
            </w:r>
            <w:r/>
          </w:p>
          <w:p>
            <w:pPr>
              <w:ind w:left="63"/>
              <w:pageBreakBefore w:val="0"/>
              <w:spacing w:beforeAutospacing="0" w:afterAutospacing="0" w:line="360" w:lineRule="exact"/>
              <w:rPr>
                <w:rFonts w:hint="default" w:ascii="Times New Roman" w:hAnsi="Times New Roman" w:eastAsia="宋体" w:cs="Times New Roman"/>
                <w:color w:val="000000"/>
                <w:sz w:val="24"/>
                <w:szCs w:val="24"/>
              </w:rPr>
            </w:pP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（3）经评委认定，投标文件对“保修方案”中“保修范围”、“</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所投产品常见故障及保修措施</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w:t>
            </w:r>
            <w:r>
              <w:rPr>
                <w:rFonts w:hint="default" w:ascii="Times New Roman" w:hAnsi="Times New Roman" w:eastAsia="宋体" w:cs="Times New Roman"/>
                <w:b w:val="0"/>
                <w:bCs w:val="0"/>
                <w:i w:val="0"/>
                <w:iCs w:val="0"/>
                <w:caps w:val="0"/>
                <w:color w:val="000000" w:themeColor="text1"/>
                <w:spacing w:val="0"/>
                <w:sz w:val="24"/>
                <w:szCs w:val="24"/>
                <w:highlight w:val="none"/>
                <w:shd w:val="clear" w:color="auto" w:fill="auto"/>
                <w14:textFill>
                  <w14:solidFill>
                    <w14:schemeClr w14:val="tx1"/>
                  </w14:solidFill>
                </w14:textFill>
              </w:rPr>
              <w:t xml:space="preserve">专项保修团队配置</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”、“维修设施与备件储备”、“应急响应时效及保修履约承诺”五</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项要求的响应内容全部优于招标文件</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要求的（前提</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是投标文件对</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保修</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中除</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“保修范围”、“</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所投产品常见故障及保修措施</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w:t>
            </w:r>
            <w:r>
              <w:rPr>
                <w:rFonts w:hint="default" w:ascii="Times New Roman" w:hAnsi="Times New Roman" w:eastAsia="宋体" w:cs="Times New Roman"/>
                <w:b w:val="0"/>
                <w:bCs w:val="0"/>
                <w:i w:val="0"/>
                <w:iCs w:val="0"/>
                <w:caps w:val="0"/>
                <w:color w:val="000000" w:themeColor="text1"/>
                <w:spacing w:val="0"/>
                <w:sz w:val="24"/>
                <w:szCs w:val="24"/>
                <w:highlight w:val="none"/>
                <w:shd w:val="clear" w:color="auto"/>
                <w14:textFill>
                  <w14:solidFill>
                    <w14:schemeClr w14:val="tx1"/>
                  </w14:solidFill>
                </w14:textFill>
              </w:rPr>
              <w:t xml:space="preserve">专项保修团队配置</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”、“维修设施与备件储备”、“应急响应时效及保修履约承诺”</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外其他要求响应内容符合</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招标文件要求），本项</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得5分。</w:t>
            </w:r>
            <w:r/>
          </w:p>
        </w:tc>
        <w:tc>
          <w:tcPr>
            <w:tcW w:w="616"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p>
        </w:tc>
      </w:tr>
      <w:tr>
        <w:trPr>
          <w:jc w:val="center"/>
          <w:trHeight w:val="3438"/>
        </w:trPr>
        <w:tc>
          <w:tcPr>
            <w:tcW w:w="55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4.3</w:t>
            </w:r>
            <w:r/>
          </w:p>
        </w:tc>
        <w:tc>
          <w:tcPr>
            <w:tcW w:w="1637" w:type="dxa"/>
            <w:vAlign w:val="center"/>
            <w:vMerge w:val="continue"/>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r>
            <w:r/>
          </w:p>
        </w:tc>
        <w:tc>
          <w:tcPr>
            <w:tcW w:w="6113" w:type="dxa"/>
            <w:vAlign w:val="center"/>
            <w:textDirection w:val="lrTb"/>
            <w:noWrap w:val="false"/>
          </w:tcPr>
          <w:p>
            <w:pPr>
              <w:ind w:left="63"/>
              <w:pageBreakBefore w:val="0"/>
              <w:spacing w:beforeAutospacing="0" w:afterAutospacing="0" w:line="360" w:lineRule="exact"/>
              <w:rPr>
                <w:rFonts w:hint="default" w:ascii="Times New Roman" w:hAnsi="Times New Roman" w:eastAsia="宋体" w:cs="Times New Roman"/>
                <w:b/>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14:textFill>
                  <w14:solidFill>
                    <w14:schemeClr w14:val="tx1"/>
                  </w14:solidFill>
                </w14:textFill>
              </w:rPr>
              <w:t xml:space="preserve">三、保修期外维保</w:t>
            </w:r>
            <w:r>
              <w:rPr>
                <w:rFonts w:hint="default" w:ascii="Times New Roman" w:hAnsi="Times New Roman" w:eastAsia="宋体" w:cs="Times New Roman"/>
                <w:b/>
                <w:bCs/>
                <w:color w:val="000000" w:themeColor="text1"/>
                <w:sz w:val="24"/>
                <w:szCs w:val="24"/>
                <w:highlight w:val="none"/>
                <w14:textFill>
                  <w14:solidFill>
                    <w14:schemeClr w14:val="tx1"/>
                  </w14:solidFill>
                </w14:textFill>
              </w:rPr>
              <w:t xml:space="preserve">方案</w:t>
            </w:r>
            <w:r>
              <w:rPr>
                <w:rFonts w:hint="default" w:ascii="Times New Roman" w:hAnsi="Times New Roman" w:eastAsia="宋体" w:cs="Times New Roman"/>
                <w:b/>
                <w:bCs/>
                <w:color w:val="000000" w:themeColor="text1"/>
                <w:sz w:val="24"/>
                <w:szCs w:val="24"/>
                <w:highlight w:val="none"/>
                <w14:textFill>
                  <w14:solidFill>
                    <w14:schemeClr w14:val="tx1"/>
                  </w14:solidFill>
                </w14:textFill>
              </w:rPr>
              <w:t xml:space="preserve"> </w:t>
            </w:r>
            <w:r/>
          </w:p>
          <w:p>
            <w:pPr>
              <w:ind w:left="63"/>
              <w:jc w:val="left"/>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评委根据投标文件对招标文件第四章“</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保修期外维保</w:t>
            </w: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方案</w:t>
            </w:r>
            <w:r>
              <w:rPr>
                <w:rFonts w:hint="default" w:ascii="Times New Roman" w:hAnsi="Times New Roman" w:cs="Times New Roman"/>
                <w:b w:val="0"/>
                <w:bCs w:val="0"/>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要求的响应情况进行评审</w:t>
            </w: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p>
          <w:p>
            <w:pPr>
              <w:ind w:left="63"/>
              <w:jc w:val="left"/>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1）</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投标文件未符合“</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保修期外维保</w:t>
            </w: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”中全部条款要求的，视为不符合招标文件，本项得0分。</w:t>
            </w:r>
            <w:r/>
          </w:p>
          <w:p>
            <w:pPr>
              <w:ind w:left="63"/>
              <w:jc w:val="left"/>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2）投标</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文件符合“</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保修期外维保</w:t>
            </w: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”中全部条款要求的，视为符合招标文件，本项得</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2</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分。</w:t>
            </w:r>
            <w:r/>
          </w:p>
          <w:p>
            <w:pPr>
              <w:pStyle w:val="720"/>
              <w:ind w:left="0"/>
              <w:rPr>
                <w:rFonts w:hint="default" w:ascii="Times New Roman" w:hAnsi="Times New Roman" w:eastAsia="宋体" w:cs="Times New Roman"/>
                <w:color w:val="000000"/>
                <w:sz w:val="24"/>
                <w:szCs w:val="24"/>
              </w:rPr>
            </w:pP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（3）经评委认定，投标文件对“</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保修期外维保</w:t>
            </w: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方案</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”中“保修期外</w:t>
            </w:r>
            <w:r>
              <w:rPr>
                <w:rFonts w:hint="default" w:ascii="Times New Roman" w:hAnsi="Times New Roman" w:eastAsia="宋体" w:cs="Times New Roman"/>
                <w:b w:val="0"/>
                <w:bCs w:val="0"/>
                <w:i w:val="0"/>
                <w:iCs w:val="0"/>
                <w:caps w:val="0"/>
                <w:color w:val="000000" w:themeColor="text1"/>
                <w:spacing w:val="0"/>
                <w:sz w:val="24"/>
                <w:szCs w:val="24"/>
                <w:highlight w:val="none"/>
                <w:shd w:val="clear" w:color="auto" w:fill="auto"/>
                <w14:textFill>
                  <w14:solidFill>
                    <w14:schemeClr w14:val="tx1"/>
                  </w14:solidFill>
                </w14:textFill>
              </w:rPr>
              <w:t xml:space="preserve">维保服务范围与内容</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故障报修响应时效</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w:t>
            </w:r>
            <w:r>
              <w:rPr>
                <w:rFonts w:hint="default" w:ascii="Times New Roman" w:hAnsi="Times New Roman" w:eastAsia="宋体" w:cs="Times New Roman"/>
                <w:b w:val="0"/>
                <w:bCs w:val="0"/>
                <w:i w:val="0"/>
                <w:iCs w:val="0"/>
                <w:caps w:val="0"/>
                <w:color w:val="000000" w:themeColor="text1"/>
                <w:spacing w:val="0"/>
                <w:sz w:val="24"/>
                <w:szCs w:val="24"/>
                <w:highlight w:val="none"/>
                <w:shd w:val="clear" w:color="auto"/>
                <w14:textFill>
                  <w14:solidFill>
                    <w14:schemeClr w14:val="tx1"/>
                  </w14:solidFill>
                </w14:textFill>
              </w:rPr>
              <w:t xml:space="preserve">年度维保费用报价与计费标准</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”、“易损件、零配件、消耗品的供应价格清单”、“长期维保服务承诺及价格锁定保证”五</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项要求的响应内容全部优于招标文件</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要求的（前提</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是投标文件对</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保修期外</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维保</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中除</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“保修期外</w:t>
            </w:r>
            <w:r>
              <w:rPr>
                <w:rFonts w:hint="default" w:ascii="Times New Roman" w:hAnsi="Times New Roman" w:eastAsia="宋体" w:cs="Times New Roman"/>
                <w:b w:val="0"/>
                <w:bCs w:val="0"/>
                <w:i w:val="0"/>
                <w:iCs w:val="0"/>
                <w:caps w:val="0"/>
                <w:color w:val="000000" w:themeColor="text1"/>
                <w:spacing w:val="0"/>
                <w:sz w:val="24"/>
                <w:szCs w:val="24"/>
                <w:highlight w:val="none"/>
                <w:shd w:val="clear" w:color="auto"/>
                <w14:textFill>
                  <w14:solidFill>
                    <w14:schemeClr w14:val="tx1"/>
                  </w14:solidFill>
                </w14:textFill>
              </w:rPr>
              <w:t xml:space="preserve">维保服务范围与内容</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故障报修响应时效</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w:t>
            </w:r>
            <w:r>
              <w:rPr>
                <w:rFonts w:hint="default" w:ascii="Times New Roman" w:hAnsi="Times New Roman" w:eastAsia="宋体" w:cs="Times New Roman"/>
                <w:b w:val="0"/>
                <w:bCs w:val="0"/>
                <w:i w:val="0"/>
                <w:iCs w:val="0"/>
                <w:caps w:val="0"/>
                <w:color w:val="000000" w:themeColor="text1"/>
                <w:spacing w:val="0"/>
                <w:sz w:val="24"/>
                <w:szCs w:val="24"/>
                <w:highlight w:val="none"/>
                <w:shd w:val="clear" w:color="auto"/>
                <w14:textFill>
                  <w14:solidFill>
                    <w14:schemeClr w14:val="tx1"/>
                  </w14:solidFill>
                </w14:textFill>
              </w:rPr>
              <w:t xml:space="preserve">年度维保费用报价与计费标准</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”、“易损件、零配件、消耗品的供应价格清单”、“长期维保服务承诺及价格锁定保证”</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外其他要求响应内容符合</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招标文件要求），本项</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得5分。</w:t>
            </w:r>
            <w:r/>
          </w:p>
        </w:tc>
        <w:tc>
          <w:tcPr>
            <w:tcW w:w="616"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p>
        </w:tc>
      </w:tr>
      <w:tr>
        <w:trPr>
          <w:jc w:val="center"/>
          <w:trHeight w:val="1104"/>
        </w:trPr>
        <w:tc>
          <w:tcPr>
            <w:tcW w:w="55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4.4</w:t>
            </w:r>
            <w:r/>
          </w:p>
        </w:tc>
        <w:tc>
          <w:tcPr>
            <w:tcW w:w="1637" w:type="dxa"/>
            <w:vAlign w:val="center"/>
            <w:vMerge w:val="continue"/>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r>
            <w:r/>
          </w:p>
        </w:tc>
        <w:tc>
          <w:tcPr>
            <w:tcW w:w="6113" w:type="dxa"/>
            <w:vAlign w:val="center"/>
            <w:textDirection w:val="lrTb"/>
            <w:noWrap w:val="false"/>
          </w:tcPr>
          <w:p>
            <w:pPr>
              <w:numPr>
                <w:ilvl w:val="0"/>
                <w:numId w:val="0"/>
              </w:numPr>
              <w:ind w:left="63"/>
              <w:pageBreakBefore w:val="0"/>
              <w:spacing w:beforeAutospacing="0" w:afterAutospacing="0" w:line="360" w:lineRule="exact"/>
              <w:rPr>
                <w:rFonts w:hint="default" w:ascii="Times New Roman" w:hAnsi="Times New Roman" w:eastAsia="宋体" w:cs="Times New Roman"/>
                <w:b/>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lang w:val="en-US" w:eastAsia="zh-CN" w:bidi="ar-SA"/>
                <w14:textFill>
                  <w14:solidFill>
                    <w14:schemeClr w14:val="tx1"/>
                  </w14:solidFill>
                </w14:textFill>
              </w:rPr>
              <w:t xml:space="preserve">四、</w:t>
            </w:r>
            <w:r>
              <w:rPr>
                <w:rFonts w:hint="default" w:ascii="Times New Roman" w:hAnsi="Times New Roman" w:eastAsia="宋体" w:cs="Times New Roman"/>
                <w:b/>
                <w:bCs/>
                <w:color w:val="000000" w:themeColor="text1"/>
                <w:sz w:val="24"/>
                <w:szCs w:val="24"/>
                <w:highlight w:val="none"/>
                <w14:textFill>
                  <w14:solidFill>
                    <w14:schemeClr w14:val="tx1"/>
                  </w14:solidFill>
                </w14:textFill>
              </w:rPr>
              <w:t xml:space="preserve">技术培训方案</w:t>
            </w:r>
            <w:r/>
          </w:p>
          <w:p>
            <w:pPr>
              <w:ind w:left="63"/>
              <w:jc w:val="left"/>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评委根据投标文件对招标文件第四章“</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技术培训方案</w:t>
            </w:r>
            <w:r>
              <w:rPr>
                <w:rFonts w:hint="default" w:ascii="Times New Roman" w:hAnsi="Times New Roman" w:cs="Times New Roman"/>
                <w:b w:val="0"/>
                <w:bCs w:val="0"/>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要求的响应情况进行评审</w:t>
            </w: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p>
          <w:p>
            <w:pPr>
              <w:ind w:left="63"/>
              <w:jc w:val="left"/>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1）</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投标文件未符合“</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技术培训方案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”中全部条款要求的，视为不符合招标文件，本项得0分。</w:t>
            </w:r>
            <w:r/>
          </w:p>
          <w:p>
            <w:pPr>
              <w:ind w:left="63"/>
              <w:jc w:val="left"/>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2）投标</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文件符合“</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技术培训方案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”中全部条款要求的，视为符合招标文件，本项得</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1</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分。</w:t>
            </w:r>
            <w:r/>
          </w:p>
          <w:p>
            <w:pPr>
              <w:pStyle w:val="720"/>
              <w:ind w:left="0"/>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（3）经评委认定，投标文件对“</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技术培训方案</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”中“培训内容与课程体系”、“培训方式与方法”、“培训计划时间”、“培训对象”、“培训师资配备与团队”五</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项要求的响应内容全部优于招标文件</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要求的（前提</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是投标文件对</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技术培训</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中除</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“培训内容与课程体系”、“培训方式与方法”、“培训计划时间”、“培训对象”、“培训师资配备与团队”</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外其他要求响应内容符合</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招标文件要求），本项</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得</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3</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分。</w:t>
            </w:r>
            <w:r/>
          </w:p>
        </w:tc>
        <w:tc>
          <w:tcPr>
            <w:tcW w:w="616" w:type="dxa"/>
            <w:vAlign w:val="center"/>
            <w:textDirection w:val="lrTb"/>
            <w:noWrap w:val="false"/>
          </w:tcPr>
          <w:p>
            <w:pPr>
              <w:jc w:val="center"/>
              <w:pageBreakBefore w:val="0"/>
              <w:spacing w:beforeAutospacing="0" w:afterAutospacing="0"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p>
        </w:tc>
      </w:tr>
      <w:tr>
        <w:trPr>
          <w:jc w:val="center"/>
          <w:trHeight w:val="3438"/>
        </w:trPr>
        <w:tc>
          <w:tcPr>
            <w:tcW w:w="55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4.5</w:t>
            </w:r>
            <w:r/>
          </w:p>
        </w:tc>
        <w:tc>
          <w:tcPr>
            <w:tcW w:w="1637" w:type="dxa"/>
            <w:vAlign w:val="center"/>
            <w:vMerge w:val="continue"/>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r>
            <w:r/>
          </w:p>
        </w:tc>
        <w:tc>
          <w:tcPr>
            <w:tcW w:w="6113" w:type="dxa"/>
            <w:vAlign w:val="center"/>
            <w:textDirection w:val="lrTb"/>
            <w:noWrap w:val="false"/>
          </w:tcPr>
          <w:p>
            <w:pPr>
              <w:numPr>
                <w:ilvl w:val="0"/>
                <w:numId w:val="0"/>
              </w:numPr>
              <w:ind w:left="0"/>
              <w:pageBreakBefore w:val="0"/>
              <w:spacing w:beforeAutospacing="0" w:afterAutospacing="0" w:line="360" w:lineRule="exact"/>
              <w:rPr>
                <w:rFonts w:hint="default" w:ascii="Times New Roman" w:hAnsi="Times New Roman" w:eastAsia="宋体" w:cs="Times New Roman"/>
                <w:b/>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14:textFill>
                  <w14:solidFill>
                    <w14:schemeClr w14:val="tx1"/>
                  </w14:solidFill>
                </w14:textFill>
              </w:rPr>
              <w:t xml:space="preserve">五、供货方案</w:t>
            </w:r>
            <w:r/>
          </w:p>
          <w:p>
            <w:pPr>
              <w:ind w:left="63"/>
              <w:jc w:val="left"/>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评委根据投标文件对招标文件第四章“</w:t>
            </w: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供货方案</w:t>
            </w:r>
            <w:r>
              <w:rPr>
                <w:rFonts w:hint="default" w:ascii="Times New Roman" w:hAnsi="Times New Roman" w:cs="Times New Roman"/>
                <w:b w:val="0"/>
                <w:bCs w:val="0"/>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要求的响应情况进行评审</w:t>
            </w: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p>
          <w:p>
            <w:pPr>
              <w:ind w:left="63"/>
              <w:jc w:val="left"/>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1）</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投标文件未符合“</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供货方案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”中全部条款要求的，视为不符合招标文件，本项得0分。</w:t>
            </w:r>
            <w:r/>
          </w:p>
          <w:p>
            <w:pPr>
              <w:ind w:left="63"/>
              <w:jc w:val="left"/>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2）投标</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文件符合“</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供货方案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”中全部条款要求的，视为符合招标文件，本项得</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2</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分。</w:t>
            </w:r>
            <w:r/>
          </w:p>
          <w:p>
            <w:pPr>
              <w:pStyle w:val="720"/>
              <w:ind w:left="0"/>
              <w:rPr>
                <w:rFonts w:hint="default" w:ascii="Times New Roman" w:hAnsi="Times New Roman" w:eastAsia="宋体" w:cs="Times New Roman"/>
                <w:color w:val="000000"/>
                <w:sz w:val="24"/>
                <w:szCs w:val="24"/>
                <w:highlight w:val="none"/>
              </w:rPr>
            </w:pP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（3）经评委认定，投标文件对“</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供货方案</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”中“供货计划与生产、备货周期”、“产品配送与物流保障”、“安装调试流程与技术标准”、“进度管控与风险预案”、“验收交付与资料移交”五</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项要求的响应内容全部优于招标文件</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要求的（前提</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是投标文件对</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供货</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中除</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“供货计划与生产、备货周期”、“产品配送与物流保障”、“安装调试流程与技术标准”、“进度管控与风险预案”、“验收交付与资料移交”</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外其他要求响应内容符合</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招标文件要求），本项</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得5分。</w:t>
            </w:r>
            <w:r/>
          </w:p>
        </w:tc>
        <w:tc>
          <w:tcPr>
            <w:tcW w:w="616" w:type="dxa"/>
            <w:vAlign w:val="center"/>
            <w:textDirection w:val="lrTb"/>
            <w:noWrap w:val="false"/>
          </w:tcPr>
          <w:p>
            <w:pPr>
              <w:jc w:val="center"/>
              <w:pageBreakBefore w:val="0"/>
              <w:spacing w:beforeAutospacing="0" w:afterAutospacing="0"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w:t>
            </w:r>
            <w:r/>
          </w:p>
        </w:tc>
      </w:tr>
      <w:tr>
        <w:trPr>
          <w:jc w:val="center"/>
          <w:trHeight w:val="1517"/>
        </w:trPr>
        <w:tc>
          <w:tcPr>
            <w:tcW w:w="557" w:type="dxa"/>
            <w:vAlign w:val="center"/>
            <w:textDirection w:val="lrTb"/>
            <w:noWrap w:val="false"/>
          </w:tcPr>
          <w:p>
            <w:pPr>
              <w:jc w:val="center"/>
              <w:pageBreakBefore w:val="0"/>
              <w:spacing w:beforeAutospacing="0" w:afterAutospacing="0" w:line="36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4.6</w:t>
            </w:r>
            <w:r/>
          </w:p>
        </w:tc>
        <w:tc>
          <w:tcPr>
            <w:tcW w:w="1637" w:type="dxa"/>
            <w:vAlign w:val="center"/>
            <w:vMerge w:val="continue"/>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r>
            <w:r/>
          </w:p>
        </w:tc>
        <w:tc>
          <w:tcPr>
            <w:tcW w:w="6113" w:type="dxa"/>
            <w:vAlign w:val="center"/>
            <w:textDirection w:val="lrTb"/>
            <w:noWrap w:val="false"/>
          </w:tcPr>
          <w:p>
            <w:pPr>
              <w:ind w:left="0"/>
              <w:pageBreakBefore w:val="0"/>
              <w:spacing w:beforeAutospacing="0" w:afterAutospacing="0" w:line="360" w:lineRule="exact"/>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14:textFill>
                  <w14:solidFill>
                    <w14:schemeClr w14:val="tx1"/>
                  </w14:solidFill>
                </w14:textFill>
              </w:rPr>
              <w:t xml:space="preserve">六、应急措施</w:t>
            </w:r>
            <w:r/>
          </w:p>
          <w:p>
            <w:pPr>
              <w:ind w:left="63"/>
              <w:jc w:val="left"/>
              <w:pageBreakBefore w:val="0"/>
              <w:spacing w:beforeAutospacing="0" w:afterAutospacing="0" w:line="360" w:lineRule="exact"/>
              <w:rPr>
                <w:rFonts w:hint="default" w:ascii="Times New Roman" w:hAnsi="Times New Roman" w:eastAsia="宋体" w:cs="Times New Roman"/>
                <w:b w:val="0"/>
                <w:bCs w:val="0"/>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评委根据投标文件对</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招标文件第四章“</w:t>
            </w: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服务方案</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”中“应急措施</w:t>
            </w:r>
            <w:r>
              <w:rPr>
                <w:rFonts w:hint="default" w:ascii="Times New Roman" w:hAnsi="Times New Roman" w:cs="Times New Roman"/>
                <w:b w:val="0"/>
                <w:bCs w:val="0"/>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要求的响应情况进行评审</w:t>
            </w:r>
            <w:r>
              <w:rPr>
                <w:rFonts w:hint="default" w:ascii="Times New Roman" w:hAnsi="Times New Roman" w:cs="Times New Roman"/>
                <w:b w:val="0"/>
                <w:bCs w:val="0"/>
                <w:color w:val="000000" w:themeColor="text1"/>
                <w:sz w:val="24"/>
                <w:szCs w:val="24"/>
                <w:highlight w:val="none"/>
                <w:lang w:eastAsia="zh-CN"/>
                <w14:textFill>
                  <w14:solidFill>
                    <w14:schemeClr w14:val="tx1"/>
                  </w14:solidFill>
                </w14:textFill>
              </w:rPr>
              <w:t xml:space="preserve">。</w:t>
            </w:r>
            <w:r/>
          </w:p>
          <w:p>
            <w:pPr>
              <w:ind w:left="63"/>
              <w:jc w:val="left"/>
              <w:pageBreakBefore w:val="0"/>
              <w:spacing w:beforeAutospacing="0" w:afterAutospacing="0" w:line="360" w:lineRule="exact"/>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pPr>
            <w:r>
              <w:rPr>
                <w:rFonts w:hint="default" w:ascii="Times New Roman" w:hAnsi="Times New Roman" w:cs="Times New Roman"/>
                <w:b w:val="0"/>
                <w:bCs w:val="0"/>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1）</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投标文件未符合“应急措施”中全部条款要求的，视为不符合招标文件，本项得0分。</w:t>
            </w:r>
            <w:r/>
          </w:p>
          <w:p>
            <w:pPr>
              <w:ind w:left="63"/>
              <w:jc w:val="left"/>
              <w:pageBreakBefore w:val="0"/>
              <w:spacing w:beforeAutospacing="0" w:afterAutospacing="0" w:line="360" w:lineRule="exact"/>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pPr>
            <w:r>
              <w:rPr>
                <w:rFonts w:hint="default" w:ascii="Times New Roman" w:hAnsi="Times New Roman" w:cs="Times New Roman"/>
                <w:b w:val="0"/>
                <w:bCs w:val="0"/>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2）投标</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文件符合“应急措施”中全部条款要求的，视为符合招标文件，本项得</w:t>
            </w: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1</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分。</w:t>
            </w:r>
            <w:r/>
          </w:p>
          <w:p>
            <w:pPr>
              <w:pStyle w:val="720"/>
              <w:ind w:left="0"/>
              <w:rPr>
                <w:rFonts w:hint="default" w:ascii="Times New Roman" w:hAnsi="Times New Roman" w:eastAsia="宋体" w:cs="Times New Roman"/>
                <w:sz w:val="24"/>
                <w:szCs w:val="24"/>
              </w:rPr>
            </w:pP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（3）经评委认定，投标文件对“</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应急措施</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”中“应急组织体系与预防预警机制”、“应急</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响应分级与处置流程”、“应急技术支撑与抢修方案”、“应急物资与备件储备”、“</w:t>
            </w:r>
            <w:r>
              <w:rPr>
                <w:rFonts w:hint="default" w:ascii="Times New Roman" w:hAnsi="Times New Roman" w:eastAsia="宋体" w:cs="Times New Roman"/>
                <w:b w:val="0"/>
                <w:bCs w:val="0"/>
                <w:i w:val="0"/>
                <w:iCs w:val="0"/>
                <w:caps w:val="0"/>
                <w:color w:val="000000" w:themeColor="text1"/>
                <w:spacing w:val="0"/>
                <w:sz w:val="24"/>
                <w:szCs w:val="24"/>
                <w:highlight w:val="none"/>
                <w:shd w:val="clear" w:color="auto" w:fill="auto"/>
                <w14:textFill>
                  <w14:solidFill>
                    <w14:schemeClr w14:val="tx1"/>
                  </w14:solidFill>
                </w14:textFill>
              </w:rPr>
              <w:t xml:space="preserve">应急保障人员配备与值守制度</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”五</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项要求的响应内容全部优于招标文件</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要求的（前提</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是投标文件对</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“应急组织体系与预防预警机制”、“应急响应分级与处置流程”、“应急技术支撑与抢修方案”、“应急物资与备件储备”、“</w:t>
            </w:r>
            <w:r>
              <w:rPr>
                <w:rFonts w:hint="default" w:ascii="Times New Roman" w:hAnsi="Times New Roman" w:eastAsia="宋体" w:cs="Times New Roman"/>
                <w:b w:val="0"/>
                <w:bCs w:val="0"/>
                <w:i w:val="0"/>
                <w:iCs w:val="0"/>
                <w:caps w:val="0"/>
                <w:color w:val="000000" w:themeColor="text1"/>
                <w:spacing w:val="0"/>
                <w:sz w:val="24"/>
                <w:szCs w:val="24"/>
                <w:highlight w:val="none"/>
                <w:shd w:val="clear" w:color="auto"/>
                <w14:textFill>
                  <w14:solidFill>
                    <w14:schemeClr w14:val="tx1"/>
                  </w14:solidFill>
                </w14:textFill>
              </w:rPr>
              <w:t xml:space="preserve">应急保障人员配备与值守制度</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外其他要求响应内容符合</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招标文件要求），本项</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得</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3</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分。</w:t>
            </w:r>
            <w:r/>
          </w:p>
        </w:tc>
        <w:tc>
          <w:tcPr>
            <w:tcW w:w="616"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3</w:t>
            </w:r>
            <w:r/>
          </w:p>
        </w:tc>
      </w:tr>
      <w:tr>
        <w:trPr>
          <w:jc w:val="center"/>
          <w:trHeight w:val="1517"/>
        </w:trPr>
        <w:tc>
          <w:tcPr>
            <w:tcW w:w="55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4.</w:t>
            </w:r>
            <w:r>
              <w:rPr>
                <w:rFonts w:hint="eastAsia" w:ascii="宋体" w:hAnsi="宋体" w:cs="宋体"/>
                <w:sz w:val="24"/>
                <w:szCs w:val="24"/>
                <w:lang w:val="en-US" w:eastAsia="zh-CN"/>
              </w:rPr>
              <w:t xml:space="preserve">7</w:t>
            </w:r>
            <w:r/>
          </w:p>
        </w:tc>
        <w:tc>
          <w:tcPr>
            <w:tcW w:w="1637" w:type="dxa"/>
            <w:vAlign w:val="center"/>
            <w:vMerge w:val="continue"/>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r>
            <w:r/>
          </w:p>
        </w:tc>
        <w:tc>
          <w:tcPr>
            <w:tcW w:w="6113" w:type="dxa"/>
            <w:vAlign w:val="center"/>
            <w:textDirection w:val="lrTb"/>
            <w:noWrap w:val="false"/>
          </w:tcPr>
          <w:p>
            <w:pPr>
              <w:ind w:left="63"/>
              <w:pageBreakBefore w:val="0"/>
              <w:spacing w:beforeAutospacing="0" w:afterAutospacing="0" w:line="360" w:lineRule="exact"/>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rPr>
              <w:t xml:space="preserve">、质保期 </w:t>
            </w:r>
            <w:r/>
          </w:p>
          <w:p>
            <w:pPr>
              <w:ind w:left="63"/>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根据投标人针对本项目供货产品的质保期进行综合比较后评分：</w:t>
            </w:r>
            <w:r/>
          </w:p>
          <w:p>
            <w:pPr>
              <w:ind w:left="63"/>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投标人所投产品质保期响应招标文</w:t>
            </w:r>
            <w:r>
              <w:rPr>
                <w:rFonts w:hint="eastAsia" w:ascii="宋体" w:hAnsi="宋体" w:eastAsia="宋体" w:cs="宋体"/>
                <w:sz w:val="24"/>
                <w:szCs w:val="24"/>
                <w:highlight w:val="none"/>
              </w:rPr>
              <w:t xml:space="preserve">件最低要求基础上（三年），每增加一年加0.5分，最高得1分。未提供者不得分。（投标文件需提供加盖投标人公章的质保期承诺书</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前后不一致以承诺书为准</w:t>
            </w:r>
            <w:r>
              <w:rPr>
                <w:rFonts w:hint="eastAsia" w:ascii="宋体" w:hAnsi="宋体" w:eastAsia="宋体" w:cs="宋体"/>
                <w:sz w:val="24"/>
                <w:szCs w:val="24"/>
                <w:highlight w:val="none"/>
              </w:rPr>
              <w:t xml:space="preserve">）。</w:t>
            </w:r>
            <w:r/>
          </w:p>
        </w:tc>
        <w:tc>
          <w:tcPr>
            <w:tcW w:w="616"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Pr>
        <w:tc>
          <w:tcPr>
            <w:tcW w:w="55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5</w:t>
            </w:r>
            <w:r/>
          </w:p>
        </w:tc>
        <w:tc>
          <w:tcPr>
            <w:tcW w:w="163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业绩</w:t>
            </w:r>
            <w:r/>
          </w:p>
        </w:tc>
        <w:tc>
          <w:tcPr>
            <w:tcW w:w="6113" w:type="dxa"/>
            <w:vAlign w:val="center"/>
            <w:textDirection w:val="lrTb"/>
            <w:noWrap w:val="false"/>
          </w:tcPr>
          <w:p>
            <w:pPr>
              <w:keepLines w:val="0"/>
              <w:keepNext w:val="0"/>
              <w:pageBreakBefore w:val="0"/>
              <w:spacing w:beforeAutospacing="0" w:afterAutospacing="0"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所投产品的投标人或产品制造商（必须与投标文件中产品型号一致）</w:t>
            </w:r>
            <w:r>
              <w:rPr>
                <w:rFonts w:hint="eastAsia" w:ascii="宋体" w:hAnsi="宋体" w:eastAsia="宋体" w:cs="宋体"/>
                <w:sz w:val="24"/>
                <w:szCs w:val="24"/>
                <w:lang w:val="en-US" w:eastAsia="zh-CN"/>
              </w:rPr>
              <w:t xml:space="preserve">2021年</w:t>
            </w: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月1日</w:t>
            </w:r>
            <w:r>
              <w:rPr>
                <w:rFonts w:hint="eastAsia" w:ascii="宋体" w:hAnsi="宋体" w:eastAsia="宋体" w:cs="宋体"/>
                <w:sz w:val="24"/>
                <w:szCs w:val="24"/>
              </w:rPr>
              <w:t xml:space="preserve">以来有销售业绩的（非单一产品包为核心产品）。每提供一份有效业绩证明材料得1分，最多得5分。</w:t>
            </w:r>
            <w:r/>
          </w:p>
          <w:p>
            <w:pPr>
              <w:pageBreakBefore w:val="0"/>
              <w:spacing w:beforeAutospacing="0" w:afterAutospacing="0"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注：</w:t>
            </w:r>
            <w:r/>
          </w:p>
          <w:p>
            <w:pPr>
              <w:ind w:left="63"/>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①业绩证明材料需同时提供合同和验收证明复印件加盖</w:t>
            </w:r>
            <w:r>
              <w:rPr>
                <w:rFonts w:hint="eastAsia" w:ascii="宋体" w:hAnsi="宋体" w:eastAsia="宋体" w:cs="宋体"/>
                <w:sz w:val="24"/>
                <w:szCs w:val="24"/>
                <w:lang w:val="en-US" w:eastAsia="zh-CN"/>
              </w:rPr>
              <w:t xml:space="preserve">投标单位</w:t>
            </w:r>
            <w:r>
              <w:rPr>
                <w:rFonts w:hint="eastAsia" w:ascii="宋体" w:hAnsi="宋体" w:eastAsia="宋体" w:cs="宋体"/>
                <w:sz w:val="24"/>
                <w:szCs w:val="24"/>
              </w:rPr>
              <w:t xml:space="preserve">公章，合同须能体现签订单</w:t>
            </w:r>
            <w:r>
              <w:rPr>
                <w:rFonts w:hint="eastAsia" w:ascii="宋体" w:hAnsi="宋体" w:eastAsia="宋体" w:cs="宋体"/>
                <w:sz w:val="24"/>
                <w:szCs w:val="24"/>
                <w:highlight w:val="none"/>
              </w:rPr>
              <w:t xml:space="preserve">位信息、签订时间、产品名称、型号、价格等相关信息，否则视为无效合同</w:t>
            </w:r>
            <w:r>
              <w:rPr>
                <w:rFonts w:hint="eastAsia" w:ascii="宋体" w:hAnsi="宋体" w:eastAsia="宋体" w:cs="宋体"/>
                <w:sz w:val="24"/>
                <w:szCs w:val="24"/>
                <w:highlight w:val="none"/>
                <w:lang w:eastAsia="zh-CN"/>
              </w:rPr>
              <w:t xml:space="preserve">。</w:t>
            </w:r>
            <w:r/>
          </w:p>
          <w:p>
            <w:pPr>
              <w:ind w:left="63"/>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b/>
                <w:bCs/>
                <w:sz w:val="24"/>
                <w:szCs w:val="24"/>
              </w:rPr>
              <w:t xml:space="preserve">②统招分签的合同按一个合同业绩计。</w:t>
            </w:r>
            <w:r>
              <w:rPr>
                <w:rFonts w:hint="eastAsia" w:ascii="宋体" w:hAnsi="宋体" w:eastAsia="宋体" w:cs="宋体"/>
                <w:sz w:val="24"/>
                <w:szCs w:val="24"/>
              </w:rPr>
              <w:t xml:space="preserve">【多个合同项目名称一致的，均按一个合同计】</w:t>
            </w:r>
            <w:r/>
          </w:p>
          <w:p>
            <w:pPr>
              <w:ind w:left="63"/>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③合同中的产品名称及产品型号请加以明显标记，以方便评审和核对。</w:t>
            </w:r>
            <w:r/>
          </w:p>
          <w:p>
            <w:pPr>
              <w:ind w:left="63"/>
              <w:pageBreakBefore w:val="0"/>
              <w:spacing w:beforeAutospacing="0" w:afterAutospacing="0" w:line="360" w:lineRule="exact"/>
              <w:rPr>
                <w:rFonts w:hint="eastAsia" w:ascii="宋体" w:hAnsi="宋体" w:eastAsia="宋体" w:cs="宋体"/>
                <w:sz w:val="24"/>
                <w:szCs w:val="24"/>
                <w:lang w:bidi="ar"/>
              </w:rPr>
            </w:pPr>
            <w:r>
              <w:rPr>
                <w:rFonts w:hint="eastAsia" w:ascii="宋体" w:hAnsi="宋体" w:eastAsia="宋体" w:cs="宋体"/>
                <w:sz w:val="24"/>
                <w:szCs w:val="24"/>
              </w:rPr>
              <w:t xml:space="preserve">④合同评审中的重要信息因存在内容模糊、无法辨认而产生不利于该项评审的情况，投标人自行承担后果。</w:t>
            </w:r>
            <w:r/>
          </w:p>
        </w:tc>
        <w:tc>
          <w:tcPr>
            <w:tcW w:w="616"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5</w:t>
            </w:r>
            <w:r/>
          </w:p>
        </w:tc>
      </w:tr>
      <w:tr>
        <w:trPr>
          <w:jc w:val="center"/>
        </w:trPr>
        <w:tc>
          <w:tcPr>
            <w:gridSpan w:val="2"/>
            <w:tcW w:w="2194"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合计</w:t>
            </w:r>
            <w:r/>
          </w:p>
        </w:tc>
        <w:tc>
          <w:tcPr>
            <w:tcW w:w="6113"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分值合计</w:t>
            </w:r>
            <w:r/>
          </w:p>
        </w:tc>
        <w:tc>
          <w:tcPr>
            <w:tcW w:w="616"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100</w:t>
            </w:r>
            <w:r/>
          </w:p>
        </w:tc>
      </w:tr>
    </w:tbl>
    <w:p>
      <w:pPr>
        <w:pageBreakBefore w:val="0"/>
        <w:spacing w:beforeAutospacing="0" w:afterAutospacing="0"/>
        <w:rPr>
          <w:rFonts w:hint="eastAsia"/>
        </w:rPr>
      </w:pPr>
      <w:r>
        <w:rPr>
          <w:rFonts w:hint="eastAsia"/>
        </w:rPr>
      </w:r>
      <w:r/>
    </w:p>
    <w:p>
      <w:pPr>
        <w:pStyle w:val="959"/>
        <w:ind w:left="0" w:right="0" w:firstLine="0"/>
        <w:keepLines w:val="0"/>
        <w:keepNext w:val="0"/>
        <w:pageBreakBefore w:val="0"/>
        <w:spacing w:before="0" w:beforeAutospacing="0" w:after="0" w:afterAutospacing="0" w:line="0" w:lineRule="atLeast"/>
        <w:widowControl/>
        <w:rPr>
          <w:rFonts w:hint="eastAsia"/>
          <w:lang w:val="en-US" w:eastAsia="zh-CN"/>
        </w:rPr>
        <w:suppressLineNumbers w:val="0"/>
      </w:pPr>
      <w:r>
        <w:rPr>
          <w:rFonts w:hint="eastAsia"/>
          <w:lang w:val="en-US" w:eastAsia="zh-CN"/>
        </w:rPr>
        <w:t xml:space="preserve">分包号3：</w:t>
      </w:r>
      <w:r/>
    </w:p>
    <w:tbl>
      <w:tblPr>
        <w:tblStyle w:val="719"/>
        <w:tblpPr w:horzAnchor="text" w:tblpXSpec="center" w:vertAnchor="text" w:tblpY="1" w:leftFromText="180" w:topFromText="0" w:rightFromText="180" w:bottomFromText="0"/>
        <w:tblW w:w="8923"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57"/>
        <w:gridCol w:w="1637"/>
        <w:gridCol w:w="6113"/>
        <w:gridCol w:w="616"/>
      </w:tblGrid>
      <w:tr>
        <w:trPr>
          <w:jc w:val="center"/>
          <w:trHeight w:val="464"/>
        </w:trPr>
        <w:tc>
          <w:tcPr>
            <w:tcW w:w="55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63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评分因素</w:t>
            </w:r>
            <w:r/>
          </w:p>
        </w:tc>
        <w:tc>
          <w:tcPr>
            <w:tcW w:w="6113"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评审标准</w:t>
            </w:r>
            <w:r/>
          </w:p>
        </w:tc>
        <w:tc>
          <w:tcPr>
            <w:tcW w:w="616"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分值</w:t>
            </w:r>
            <w:r/>
          </w:p>
        </w:tc>
      </w:tr>
      <w:tr>
        <w:trPr>
          <w:jc w:val="center"/>
          <w:trHeight w:val="464"/>
        </w:trPr>
        <w:tc>
          <w:tcPr>
            <w:tcW w:w="55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r>
            <w:r/>
          </w:p>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163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价格</w:t>
            </w:r>
            <w:r/>
          </w:p>
        </w:tc>
        <w:tc>
          <w:tcPr>
            <w:tcW w:w="6113" w:type="dxa"/>
            <w:vAlign w:val="center"/>
            <w:textDirection w:val="lrTb"/>
            <w:noWrap w:val="false"/>
          </w:tcPr>
          <w:p>
            <w:pPr>
              <w:ind w:left="63"/>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采用低价优先法计算，即满足招标文件要求且投标价格最低的投标报价为评标基准价，其价格分为满分30分。</w:t>
            </w:r>
            <w:r/>
          </w:p>
          <w:p>
            <w:pPr>
              <w:ind w:left="63"/>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其他投标人的价格分统一按照下列公式计算:投标报价得分=(评标基准价/投标报价)×30（小数点保留两位）</w:t>
            </w:r>
            <w:r/>
          </w:p>
        </w:tc>
        <w:tc>
          <w:tcPr>
            <w:tcW w:w="616"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30</w:t>
            </w:r>
            <w:r/>
          </w:p>
        </w:tc>
      </w:tr>
      <w:tr>
        <w:trPr>
          <w:jc w:val="center"/>
          <w:trHeight w:val="464"/>
        </w:trPr>
        <w:tc>
          <w:tcPr>
            <w:tcW w:w="55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W w:w="163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技术响应</w:t>
            </w:r>
            <w:r/>
          </w:p>
        </w:tc>
        <w:tc>
          <w:tcPr>
            <w:tcW w:w="6113" w:type="dxa"/>
            <w:vAlign w:val="center"/>
            <w:textDirection w:val="lrTb"/>
            <w:noWrap w:val="false"/>
          </w:tcPr>
          <w:p>
            <w:pP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投标人需对第四部分采购需求中的采购清单内所有技术参数要求进行逐条响应，在《技术条款偏离表》中如实详细填列所投产品的参数，且在偏差表中标明是否响应，招标文件要求提供证明材料的提供相应证明材料并标明所在具体页码；否则评标委员会有权做负偏离处理。</w:t>
            </w:r>
            <w:r/>
          </w:p>
          <w:p>
            <w:pP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1）就采购需求中技术参数已明确要求需要通过技术支持资料（包括检测检验报告、白皮书、设备生产厂家证明原件、彩页、手册等）来印证是否响应采购需求的参数内容，投标文件需要提供相应的技术支持资料（如检测报告、白皮书、设备生产厂家证明原件、彩页、手册等，相关材料复印件需加盖投标人公章）。若未提供或所提供技术支持资料不完整、不清晰等问题，即便投标文件中已承诺响应采购需求的，评审时也不予采信。 </w:t>
            </w:r>
            <w:r/>
          </w:p>
          <w:p>
            <w:pP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2）就采购需求中技术参数未明确要求需要通过技术支持资料（包括检测检验报告、白皮书、设备生产厂家证明原件、彩页、手册等）来印证是否响应采购需求的参数内容，以投标文件技术条款偏离表响应的内容为准，其他技术支持资料作为评审参考。</w:t>
            </w:r>
            <w:r/>
          </w:p>
          <w:p>
            <w:pP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（3）非单一产品包及套装组合包评审时，就包内所有产品的参数响应按照上述评分规则累计评审。</w:t>
            </w:r>
            <w:r/>
          </w:p>
          <w:p>
            <w:pP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所投产品所有技术条款完全响应招标文件要求的得28分；本项最低分0分，最高分28分。</w:t>
            </w:r>
            <w:r/>
          </w:p>
          <w:p>
            <w:pP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标记“▲”为重要技术条款，重要技术条款</w:t>
            </w:r>
            <w:r>
              <w:rPr>
                <w:rFonts w:hint="eastAsia" w:ascii="宋体" w:hAnsi="宋体" w:eastAsia="宋体" w:cs="宋体"/>
                <w:sz w:val="24"/>
                <w:szCs w:val="24"/>
                <w:lang w:val="en-US" w:eastAsia="zh-CN"/>
              </w:rPr>
              <w:t xml:space="preserve">不响应的，每条扣</w:t>
            </w: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分</w:t>
            </w:r>
            <w:r>
              <w:rPr>
                <w:rFonts w:hint="eastAsia" w:ascii="宋体" w:hAnsi="宋体" w:eastAsia="宋体" w:cs="宋体"/>
                <w:sz w:val="24"/>
                <w:szCs w:val="24"/>
              </w:rPr>
              <w:t xml:space="preserve">。</w:t>
            </w:r>
            <w:r/>
          </w:p>
          <w:p>
            <w:pP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无标记为一般技术条款，一般技术条款</w:t>
            </w:r>
            <w:r>
              <w:rPr>
                <w:rFonts w:hint="eastAsia" w:ascii="宋体" w:hAnsi="宋体" w:eastAsia="宋体" w:cs="宋体"/>
                <w:sz w:val="24"/>
                <w:szCs w:val="24"/>
                <w:lang w:val="en-US" w:eastAsia="zh-CN"/>
              </w:rPr>
              <w:t xml:space="preserve">不响应的，每条扣0.</w:t>
            </w:r>
            <w:r>
              <w:rPr>
                <w:rFonts w:hint="eastAsia" w:ascii="宋体" w:hAnsi="宋体" w:cs="宋体"/>
                <w:sz w:val="24"/>
                <w:szCs w:val="24"/>
                <w:lang w:val="en-US" w:eastAsia="zh-CN"/>
              </w:rPr>
              <w:t xml:space="preserve">15</w:t>
            </w:r>
            <w:r>
              <w:rPr>
                <w:rFonts w:hint="eastAsia" w:ascii="宋体" w:hAnsi="宋体" w:eastAsia="宋体" w:cs="宋体"/>
                <w:sz w:val="24"/>
                <w:szCs w:val="24"/>
                <w:lang w:val="en-US" w:eastAsia="zh-CN"/>
              </w:rPr>
              <w:t xml:space="preserve">分</w:t>
            </w:r>
            <w:r>
              <w:rPr>
                <w:rFonts w:hint="eastAsia" w:ascii="宋体" w:hAnsi="宋体" w:eastAsia="宋体" w:cs="宋体"/>
                <w:sz w:val="24"/>
                <w:szCs w:val="24"/>
              </w:rPr>
              <w:t xml:space="preserve">。</w:t>
            </w:r>
            <w:r/>
          </w:p>
          <w:p>
            <w:pP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6、注：①凡标有最低一级序号的指标项即为一项技术条款，无论是否隶属于上一级编号；</w:t>
            </w:r>
            <w:r/>
          </w:p>
          <w:p>
            <w:pP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除特别说明外，采购文件中标注“▲”的条款需要在投标文件内提供技</w:t>
            </w:r>
            <w:r>
              <w:rPr>
                <w:rFonts w:hint="eastAsia" w:ascii="宋体" w:hAnsi="宋体" w:eastAsia="宋体" w:cs="宋体"/>
                <w:sz w:val="24"/>
                <w:szCs w:val="24"/>
              </w:rPr>
              <w:t xml:space="preserve">术支持资料（如检测报告、白皮书、设备生产厂家证明原件、彩页、手册等材料。当出现同一投标人提供的证明材料证明内容不一致的情况，将按照以下顺序认定：检测报告、彩页、设备生产厂家证明、手册、白皮书、其他证明材料。对技术支持资料类型要求见具体的技术条款；未明确要求技术支持资料类型的技术条款提供任意一种技术支持资料即可），并在评审索引表中详细标明所在投标文件中的具体页码和位置。如因未在《技术条款偏离表》中注明支持资料具体页码和位置导致本项不得分的，由此产生的后果由供应商自行承担。未提供技术支持资料的，评审时不予采信。</w:t>
            </w:r>
            <w:r/>
          </w:p>
        </w:tc>
        <w:tc>
          <w:tcPr>
            <w:tcW w:w="616"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28</w:t>
            </w:r>
            <w:r/>
          </w:p>
        </w:tc>
      </w:tr>
      <w:tr>
        <w:trPr>
          <w:jc w:val="center"/>
          <w:trHeight w:val="5659"/>
        </w:trPr>
        <w:tc>
          <w:tcPr>
            <w:tcW w:w="55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p>
        </w:tc>
        <w:tc>
          <w:tcPr>
            <w:tcW w:w="163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样品</w:t>
            </w:r>
            <w:r>
              <w:rPr>
                <w:rFonts w:hint="eastAsia" w:ascii="宋体" w:hAnsi="宋体" w:cs="宋体"/>
                <w:sz w:val="24"/>
                <w:szCs w:val="24"/>
                <w:lang w:val="en-US" w:eastAsia="zh-CN"/>
              </w:rPr>
              <w:t xml:space="preserve">演示视频</w:t>
            </w:r>
            <w:r/>
          </w:p>
        </w:tc>
        <w:tc>
          <w:tcPr>
            <w:tcW w:w="6113" w:type="dxa"/>
            <w:vAlign w:val="center"/>
            <w:textDirection w:val="lrTb"/>
            <w:noWrap w:val="false"/>
          </w:tcPr>
          <w:p>
            <w:pPr>
              <w:ind w:left="63" w:firstLine="0"/>
              <w:pageBreakBefore w:val="0"/>
              <w:spacing w:beforeAutospacing="0" w:afterAutospacing="0" w:line="360" w:lineRule="exac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样品视频演示需包含本包别内所有产品。样品统一采用视频一镜到底演示评审方式（如本包内涉及多个产品，需连续不间断演示），视频演示评审总分10分，无视频、视频无法播放、视频违规、未按要求演示均按规则扣分或计0分。</w:t>
            </w:r>
            <w:r/>
          </w:p>
          <w:p>
            <w:pPr>
              <w:ind w:left="63"/>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一、视频演示通用要求</w:t>
            </w:r>
            <w:r/>
          </w:p>
          <w:p>
            <w:pPr>
              <w:ind w:left="63" w:firstLine="0"/>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为规范评审标准、保障评标公平公正，所有投标人须严格遵守以下视频录制及演示要求，违反任意一条视为演示无效，样品视频演示项得0分：</w:t>
            </w:r>
            <w:r/>
          </w:p>
          <w:p>
            <w:pPr>
              <w:ind w:left="63"/>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录制规范：视频为全程连续、一镜到底、无剪辑、无拼接、无后期特效的真实场景实拍，画面清晰、声音可辨、产品实物完整出镜，严禁人工修改、配音替换、画面删减等违规操作。</w:t>
            </w:r>
            <w:r/>
          </w:p>
          <w:p>
            <w:pPr>
              <w:ind w:left="63"/>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时长要求：视频总时长严格控制在5分钟以内，超时视为无效视频，本项不得分。</w:t>
            </w:r>
            <w:r/>
          </w:p>
          <w:p>
            <w:pPr>
              <w:ind w:left="63"/>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3.演示形式：仅接受实物录制视频演示，不接受动画、PPT轮播、图片合集、线上实时演示等其他任何演示方式。</w:t>
            </w:r>
            <w:r/>
          </w:p>
          <w:p>
            <w:pPr>
              <w:ind w:left="63"/>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4.包别专项要求：多产品组合包须按产品类别依次完整演示包内所有投标产品，不得遗漏任一产品；单一产品包仅需演示对应投标单品，未按本要求完整演示的，视为演示缺项，样品视频演示项得0分。</w:t>
            </w:r>
            <w:r/>
          </w:p>
          <w:p>
            <w:pPr>
              <w:ind w:left="63" w:firstLine="0"/>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5.视频格式与责任归属：视频录制格式</w:t>
            </w:r>
            <w:r>
              <w:rPr>
                <w:rFonts w:hint="eastAsia" w:ascii="宋体" w:hAnsi="宋体" w:cs="宋体"/>
                <w:color w:val="000000"/>
                <w:sz w:val="24"/>
                <w:szCs w:val="24"/>
                <w:highlight w:val="none"/>
                <w:lang w:val="en-US" w:eastAsia="zh-CN"/>
              </w:rPr>
              <w:t xml:space="preserve">可</w:t>
            </w:r>
            <w:r>
              <w:rPr>
                <w:rFonts w:hint="eastAsia" w:ascii="宋体" w:hAnsi="宋体" w:eastAsia="宋体" w:cs="宋体"/>
                <w:color w:val="000000"/>
                <w:sz w:val="24"/>
                <w:szCs w:val="24"/>
                <w:highlight w:val="none"/>
              </w:rPr>
              <w:t xml:space="preserve">采用MP4、AVI、MOV、</w:t>
            </w:r>
            <w:r>
              <w:rPr>
                <w:rFonts w:ascii="宋体" w:hAnsi="宋体" w:eastAsia="宋体" w:cs="宋体"/>
                <w:sz w:val="24"/>
                <w:szCs w:val="24"/>
              </w:rPr>
              <w:t xml:space="preserve">MKV</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WMV或</w:t>
            </w:r>
            <w:r>
              <w:rPr>
                <w:rFonts w:hint="eastAsia" w:ascii="宋体" w:hAnsi="宋体" w:eastAsia="宋体" w:cs="宋体"/>
                <w:color w:val="000000"/>
                <w:sz w:val="24"/>
                <w:szCs w:val="24"/>
                <w:highlight w:val="none"/>
              </w:rPr>
              <w:t xml:space="preserve">AVCHD格式</w:t>
            </w:r>
            <w:r>
              <w:rPr>
                <w:rFonts w:hint="eastAsia" w:ascii="宋体" w:hAnsi="宋体" w:cs="宋体"/>
                <w:color w:val="000000"/>
                <w:sz w:val="24"/>
                <w:szCs w:val="24"/>
                <w:highlight w:val="none"/>
                <w:lang w:val="en-US" w:eastAsia="zh-CN"/>
              </w:rPr>
              <w:t xml:space="preserve">中的任意一种，</w:t>
            </w:r>
            <w:r>
              <w:rPr>
                <w:rFonts w:hint="eastAsia" w:ascii="宋体" w:hAnsi="宋体" w:eastAsia="宋体" w:cs="宋体"/>
                <w:color w:val="000000"/>
                <w:sz w:val="24"/>
                <w:szCs w:val="24"/>
                <w:highlight w:val="none"/>
              </w:rPr>
              <w:t xml:space="preserve">由投标人自行选择，投标人须提前自检视频完整性、兼容性。凡因投标人自身原因（包括但不限于视频格式不兼容、文件损坏、视频加密、缺失播放插件、文件上传错误等）导致视频无法正常播放、无法识别、无法完整查看的，一律视为未提供有效视频，样品视频演示项得0分，相关责任由投标人自行承担。</w:t>
            </w:r>
            <w:r/>
          </w:p>
          <w:p>
            <w:pPr>
              <w:ind w:left="63"/>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二、视频演示评分标准（总分10分）</w:t>
            </w:r>
            <w:r/>
          </w:p>
          <w:p>
            <w:pPr>
              <w:ind w:left="63" w:firstLine="0"/>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评标委员会根据投标人演示视频内容，从产品整体功能介绍、产品操作展示、产品布局设计三个维度进行综合评审。</w:t>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（一）产品整体功能介绍（3分）</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根据视频中产品特征、功能要素、核心特点的讲解完整性、准确性、</w:t>
            </w:r>
            <w:r>
              <w:rPr>
                <w:rFonts w:hint="eastAsia" w:ascii="宋体" w:hAnsi="宋体" w:cs="宋体"/>
                <w:color w:val="000000"/>
                <w:sz w:val="24"/>
                <w:szCs w:val="24"/>
                <w:highlight w:val="none"/>
                <w:lang w:eastAsia="zh-CN"/>
              </w:rPr>
              <w:t xml:space="preserve">翔实</w:t>
            </w:r>
            <w:r>
              <w:rPr>
                <w:rFonts w:hint="eastAsia" w:ascii="宋体" w:hAnsi="宋体" w:eastAsia="宋体" w:cs="宋体"/>
                <w:color w:val="000000"/>
                <w:sz w:val="24"/>
                <w:szCs w:val="24"/>
                <w:highlight w:val="none"/>
              </w:rPr>
              <w:t xml:space="preserve">度综合打分：</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1.产品特征、功能要素介绍表述清晰、准确、</w:t>
            </w:r>
            <w:r>
              <w:rPr>
                <w:rFonts w:hint="eastAsia" w:ascii="宋体" w:hAnsi="宋体" w:cs="宋体"/>
                <w:color w:val="000000"/>
                <w:sz w:val="24"/>
                <w:szCs w:val="24"/>
                <w:highlight w:val="none"/>
                <w:lang w:eastAsia="zh-CN"/>
              </w:rPr>
              <w:t xml:space="preserve">翔实</w:t>
            </w:r>
            <w:r>
              <w:rPr>
                <w:rFonts w:hint="eastAsia" w:ascii="宋体" w:hAnsi="宋体" w:eastAsia="宋体" w:cs="宋体"/>
                <w:color w:val="000000"/>
                <w:sz w:val="24"/>
                <w:szCs w:val="24"/>
                <w:highlight w:val="none"/>
              </w:rPr>
              <w:t xml:space="preserve">，完整覆盖产品核心功能、核心特点及核心优势，可高效、直观传达产品核心价值，无错误、无遗漏。</w:t>
            </w:r>
            <w:r>
              <w:rPr>
                <w:rFonts w:hint="eastAsia" w:ascii="宋体" w:hAnsi="宋体" w:eastAsia="宋体" w:cs="宋体"/>
                <w:color w:val="000000"/>
                <w:sz w:val="24"/>
                <w:szCs w:val="24"/>
                <w:highlight w:val="none"/>
              </w:rPr>
              <w:t xml:space="preserve">得3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2.产品特征、功能要素表述完整，整体可传达产品核心功能与特点，仅存在少量非核心内容表述不足，不影响评委对产品核心性能的判定。</w:t>
            </w:r>
            <w:r>
              <w:rPr>
                <w:rFonts w:hint="eastAsia" w:ascii="宋体" w:hAnsi="宋体" w:eastAsia="宋体" w:cs="宋体"/>
                <w:color w:val="000000"/>
                <w:sz w:val="24"/>
                <w:szCs w:val="24"/>
                <w:highlight w:val="none"/>
              </w:rPr>
              <w:t xml:space="preserve">得2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.产品功能及特征介绍存在明显缺失，核心要素讲解笼统、不完整，无法有效、全面传达产品核心功能和特点</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未进行任何产品功能介绍、介绍内容存在关键错误，或未提供有效演示视频。</w:t>
            </w:r>
            <w:r>
              <w:rPr>
                <w:rFonts w:hint="eastAsia" w:ascii="宋体" w:hAnsi="宋体" w:eastAsia="宋体" w:cs="宋体"/>
                <w:color w:val="000000"/>
                <w:sz w:val="24"/>
                <w:szCs w:val="24"/>
                <w:highlight w:val="none"/>
              </w:rPr>
              <w:t xml:space="preserve">得0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（二）产品操作展示（4分）</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重点评审产品实操完整性、流畅性、直观性，核心演示内容包含但不限于：设备启动打开、核心功能实操展示、设备关闭停机、产品创新功能（如有）、基础操作流程等，组合包需完整演示包内所有产品全套操作流程：</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1.产品全流程功能操作演示流畅、直观、通俗易懂，完整覆盖全部核心操作环节，全面、清晰展示产品完整功能及标准操作流程，无缺项、无失误。</w:t>
            </w:r>
            <w:r>
              <w:rPr>
                <w:rFonts w:hint="eastAsia" w:ascii="宋体" w:hAnsi="宋体" w:eastAsia="宋体" w:cs="宋体"/>
                <w:color w:val="000000"/>
                <w:sz w:val="24"/>
                <w:szCs w:val="24"/>
                <w:highlight w:val="none"/>
              </w:rPr>
              <w:t xml:space="preserve">得4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2.产品整体操作演示流畅规范，仅存在少量非核心操作环节漏项或细节瑕疵，不影响产品整体功能展示与正常使用。</w:t>
            </w:r>
            <w:r>
              <w:rPr>
                <w:rFonts w:hint="eastAsia" w:ascii="宋体" w:hAnsi="宋体" w:eastAsia="宋体" w:cs="宋体"/>
                <w:color w:val="000000"/>
                <w:sz w:val="24"/>
                <w:szCs w:val="24"/>
                <w:highlight w:val="none"/>
              </w:rPr>
              <w:t xml:space="preserve">得2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3.产品操作演示不连贯、不规范，核心操作存在缺项，无法完整、清晰展示产品具体功能及标准操作流程</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未开展产品实操演示、核心功能无法正常操作展示，或未提供有效演示视频。</w:t>
            </w:r>
            <w:r>
              <w:rPr>
                <w:rFonts w:hint="eastAsia" w:ascii="宋体" w:hAnsi="宋体" w:eastAsia="宋体" w:cs="宋体"/>
                <w:color w:val="000000"/>
                <w:sz w:val="24"/>
                <w:szCs w:val="24"/>
                <w:highlight w:val="none"/>
              </w:rPr>
              <w:t xml:space="preserve">得0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（三）产品布局设计（3分）</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结合实战应用场景，根据产品整体结构布局、实操适配性、使用便捷性、作业效率提升效果综合评审：</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1.产品整体布局设计贴合实战应用场景，结构合理、设计人性化，可有效提升实操效率、优化使用体验，无设计缺陷。</w:t>
            </w:r>
            <w:r>
              <w:rPr>
                <w:rFonts w:hint="eastAsia" w:ascii="宋体" w:hAnsi="宋体" w:eastAsia="宋体" w:cs="宋体"/>
                <w:color w:val="000000"/>
                <w:sz w:val="24"/>
                <w:szCs w:val="24"/>
                <w:highlight w:val="none"/>
              </w:rPr>
              <w:t xml:space="preserve">得3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2.产品布局设计基本贴合实战需求，存在少量非关键性设计瑕疵，不影响产品正常操作使用与实战作业效果。</w:t>
            </w:r>
            <w:r>
              <w:rPr>
                <w:rFonts w:hint="eastAsia" w:ascii="宋体" w:hAnsi="宋体" w:eastAsia="宋体" w:cs="宋体"/>
                <w:color w:val="000000"/>
                <w:sz w:val="24"/>
                <w:szCs w:val="24"/>
                <w:highlight w:val="none"/>
              </w:rPr>
              <w:t xml:space="preserve">得2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color w:val="000000"/>
                <w:sz w:val="24"/>
                <w:szCs w:val="24"/>
                <w:highlight w:val="none"/>
              </w:rPr>
              <w:t xml:space="preserve">3.产品布局设计存在明显缺陷，对实操便捷性、作业效率造成负面影响，一定程度影响正常操作使用</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布局设计存在重大缺陷，无法适配实战场景、无法正常使用，或未提供有效演示视频。</w:t>
            </w:r>
            <w:r>
              <w:rPr>
                <w:rFonts w:hint="eastAsia" w:ascii="宋体" w:hAnsi="宋体" w:eastAsia="宋体" w:cs="宋体"/>
                <w:color w:val="000000"/>
                <w:sz w:val="24"/>
                <w:szCs w:val="24"/>
                <w:highlight w:val="none"/>
              </w:rPr>
              <w:t xml:space="preserve">得0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616"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0</w:t>
            </w:r>
            <w:r/>
          </w:p>
        </w:tc>
      </w:tr>
      <w:tr>
        <w:trPr>
          <w:jc w:val="center"/>
        </w:trPr>
        <w:tc>
          <w:tcPr>
            <w:tcW w:w="55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4.1</w:t>
            </w:r>
            <w:r/>
          </w:p>
        </w:tc>
        <w:tc>
          <w:tcPr>
            <w:tcW w:w="1637" w:type="dxa"/>
            <w:vAlign w:val="center"/>
            <w:vMerge w:val="restart"/>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服务方案</w:t>
            </w:r>
            <w:r/>
          </w:p>
        </w:tc>
        <w:tc>
          <w:tcPr>
            <w:tcW w:w="6113" w:type="dxa"/>
            <w:vAlign w:val="center"/>
            <w:textDirection w:val="lrTb"/>
            <w:noWrap w:val="false"/>
          </w:tcPr>
          <w:p>
            <w:pPr>
              <w:spacing w:line="360" w:lineRule="exact"/>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lang w:val="en-US" w:eastAsia="zh-CN" w:bidi="ar-SA"/>
                <w14:textFill>
                  <w14:solidFill>
                    <w14:schemeClr w14:val="tx1"/>
                  </w14:solidFill>
                </w14:textFill>
              </w:rPr>
              <w:t xml:space="preserve">一、</w:t>
            </w:r>
            <w:r>
              <w:rPr>
                <w:rFonts w:hint="default" w:ascii="Times New Roman" w:hAnsi="Times New Roman" w:eastAsia="宋体" w:cs="Times New Roman"/>
                <w:b/>
                <w:bCs/>
                <w:color w:val="000000" w:themeColor="text1"/>
                <w:sz w:val="24"/>
                <w:szCs w:val="24"/>
                <w:highlight w:val="none"/>
                <w14:textFill>
                  <w14:solidFill>
                    <w14:schemeClr w14:val="tx1"/>
                  </w14:solidFill>
                </w14:textFill>
              </w:rPr>
              <w:t xml:space="preserve">售后服务方案 </w:t>
            </w:r>
            <w:r/>
          </w:p>
          <w:p>
            <w:pPr>
              <w:jc w:val="both"/>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评委根据投标文件对招标文件第四章“</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售后服务方案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”要求的响应情况进行评审</w:t>
            </w: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p>
          <w:p>
            <w:pPr>
              <w:jc w:val="both"/>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1）</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投标文件未符合“</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售后服务方案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”中全部条款要求的，视为不符合招标文件，本项得0分。</w:t>
            </w:r>
            <w:r/>
          </w:p>
          <w:p>
            <w:pPr>
              <w:jc w:val="both"/>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2）投标</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文件符合“</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售后服务方案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”中全部条款要求的，视为符合招标文件，本项得</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2</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分。</w:t>
            </w:r>
            <w:r/>
          </w:p>
          <w:p>
            <w:pPr>
              <w:spacing w:line="360" w:lineRule="exact"/>
              <w:rPr>
                <w:rFonts w:hint="default" w:ascii="Times New Roman" w:hAnsi="Times New Roman" w:eastAsia="宋体" w:cs="Times New Roman"/>
                <w:color w:val="000000"/>
                <w:sz w:val="24"/>
                <w:szCs w:val="24"/>
              </w:rPr>
            </w:pP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（3）经评委认定，投标文件对“售后服务方案”中“售后服务范围”、“售后服务点设置”、“售后服务人员配备”、“拟投入的设施设备及车辆配备”、“售后服务响应时间”、“售后服务承诺”六</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项要求的响应内容全部优于招标文件</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要求的（前提</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是投标文件对</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“售后服务方案”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中除</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“售后服务范围”、“售后服务点设置”、“售后服务人员配备”、“拟投入的设施设备及车辆配备”、“售后服务响应时间”、“售后服务承诺”</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外其他要求响应内容符合</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招标文件要求），本项</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得5分。</w:t>
            </w:r>
            <w:r/>
          </w:p>
        </w:tc>
        <w:tc>
          <w:tcPr>
            <w:tcW w:w="616"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p>
        </w:tc>
      </w:tr>
      <w:tr>
        <w:trPr>
          <w:jc w:val="center"/>
          <w:trHeight w:val="577"/>
        </w:trPr>
        <w:tc>
          <w:tcPr>
            <w:tcW w:w="55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4.2</w:t>
            </w:r>
            <w:r/>
          </w:p>
        </w:tc>
        <w:tc>
          <w:tcPr>
            <w:tcW w:w="1637" w:type="dxa"/>
            <w:vAlign w:val="center"/>
            <w:vMerge w:val="continue"/>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r>
            <w:r/>
          </w:p>
        </w:tc>
        <w:tc>
          <w:tcPr>
            <w:tcW w:w="6113" w:type="dxa"/>
            <w:vAlign w:val="center"/>
            <w:textDirection w:val="lrTb"/>
            <w:noWrap w:val="false"/>
          </w:tcPr>
          <w:p>
            <w:pPr>
              <w:ind w:left="63"/>
              <w:pageBreakBefore w:val="0"/>
              <w:spacing w:beforeAutospacing="0" w:afterAutospacing="0" w:line="360" w:lineRule="exact"/>
              <w:rPr>
                <w:rFonts w:hint="default" w:ascii="Times New Roman" w:hAnsi="Times New Roman" w:eastAsia="宋体" w:cs="Times New Roman"/>
                <w:b/>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14:textFill>
                  <w14:solidFill>
                    <w14:schemeClr w14:val="tx1"/>
                  </w14:solidFill>
                </w14:textFill>
              </w:rPr>
              <w:t xml:space="preserve">二、保修方案 </w:t>
            </w:r>
            <w:r/>
          </w:p>
          <w:p>
            <w:pPr>
              <w:ind w:left="63"/>
              <w:jc w:val="left"/>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评委根据投标文件对招标文件第四章“</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保修方案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”要求的响应情况进行评审</w:t>
            </w: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p>
          <w:p>
            <w:pPr>
              <w:ind w:left="63"/>
              <w:jc w:val="left"/>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1）</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投标文件未符合“</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保修方案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”中全部条款要求的，视为不符合招标文件，本项得0分。</w:t>
            </w:r>
            <w:r/>
          </w:p>
          <w:p>
            <w:pPr>
              <w:ind w:left="63"/>
              <w:jc w:val="left"/>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2）投标</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文件符合“</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保修方案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”中全部条款要求的，视为符合招标文件，本项得</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2</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分。</w:t>
            </w:r>
            <w:r/>
          </w:p>
          <w:p>
            <w:pPr>
              <w:ind w:left="63"/>
              <w:pageBreakBefore w:val="0"/>
              <w:spacing w:beforeAutospacing="0" w:afterAutospacing="0" w:line="360" w:lineRule="exact"/>
              <w:rPr>
                <w:rFonts w:hint="default" w:ascii="Times New Roman" w:hAnsi="Times New Roman" w:eastAsia="宋体" w:cs="Times New Roman"/>
                <w:color w:val="000000"/>
                <w:sz w:val="24"/>
                <w:szCs w:val="24"/>
              </w:rPr>
            </w:pP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（3）经评委认定，投标文件对“保修方案”中“保修范围”、“</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所投产品常见故障及保修措施</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w:t>
            </w:r>
            <w:r>
              <w:rPr>
                <w:rFonts w:hint="default" w:ascii="Times New Roman" w:hAnsi="Times New Roman" w:eastAsia="宋体" w:cs="Times New Roman"/>
                <w:b w:val="0"/>
                <w:bCs w:val="0"/>
                <w:i w:val="0"/>
                <w:iCs w:val="0"/>
                <w:caps w:val="0"/>
                <w:color w:val="000000" w:themeColor="text1"/>
                <w:spacing w:val="0"/>
                <w:sz w:val="24"/>
                <w:szCs w:val="24"/>
                <w:highlight w:val="none"/>
                <w:shd w:val="clear" w:color="auto" w:fill="auto"/>
                <w14:textFill>
                  <w14:solidFill>
                    <w14:schemeClr w14:val="tx1"/>
                  </w14:solidFill>
                </w14:textFill>
              </w:rPr>
              <w:t xml:space="preserve">专项保修团队配置</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”、“维修设施与备件储备”、“应急响应时效及保修履约承诺”五</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项要求的响应内容全部优于招标文件</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要求的（前提</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是投标文件对</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保修</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中除</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“保修范围”、“</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所投产品常见故障及保修措施</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w:t>
            </w:r>
            <w:r>
              <w:rPr>
                <w:rFonts w:hint="default" w:ascii="Times New Roman" w:hAnsi="Times New Roman" w:eastAsia="宋体" w:cs="Times New Roman"/>
                <w:b w:val="0"/>
                <w:bCs w:val="0"/>
                <w:i w:val="0"/>
                <w:iCs w:val="0"/>
                <w:caps w:val="0"/>
                <w:color w:val="000000" w:themeColor="text1"/>
                <w:spacing w:val="0"/>
                <w:sz w:val="24"/>
                <w:szCs w:val="24"/>
                <w:highlight w:val="none"/>
                <w:shd w:val="clear" w:color="auto"/>
                <w14:textFill>
                  <w14:solidFill>
                    <w14:schemeClr w14:val="tx1"/>
                  </w14:solidFill>
                </w14:textFill>
              </w:rPr>
              <w:t xml:space="preserve">专项保修团队配置</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”、“维修设施与备件储备”、“应急响应时效及保修履约承诺”</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外其他要求响应内容符合</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招标文件要求），本项</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得5分。</w:t>
            </w:r>
            <w:r/>
          </w:p>
        </w:tc>
        <w:tc>
          <w:tcPr>
            <w:tcW w:w="616"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p>
        </w:tc>
      </w:tr>
      <w:tr>
        <w:trPr>
          <w:jc w:val="center"/>
          <w:trHeight w:val="996"/>
        </w:trPr>
        <w:tc>
          <w:tcPr>
            <w:tcW w:w="55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4.3</w:t>
            </w:r>
            <w:r/>
          </w:p>
        </w:tc>
        <w:tc>
          <w:tcPr>
            <w:tcW w:w="1637" w:type="dxa"/>
            <w:vAlign w:val="center"/>
            <w:vMerge w:val="continue"/>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r>
            <w:r/>
          </w:p>
        </w:tc>
        <w:tc>
          <w:tcPr>
            <w:tcW w:w="6113" w:type="dxa"/>
            <w:vAlign w:val="center"/>
            <w:textDirection w:val="lrTb"/>
            <w:noWrap w:val="false"/>
          </w:tcPr>
          <w:p>
            <w:pPr>
              <w:ind w:left="63"/>
              <w:pageBreakBefore w:val="0"/>
              <w:spacing w:beforeAutospacing="0" w:afterAutospacing="0" w:line="360" w:lineRule="exact"/>
              <w:rPr>
                <w:rFonts w:hint="default" w:ascii="Times New Roman" w:hAnsi="Times New Roman" w:eastAsia="宋体" w:cs="Times New Roman"/>
                <w:b/>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14:textFill>
                  <w14:solidFill>
                    <w14:schemeClr w14:val="tx1"/>
                  </w14:solidFill>
                </w14:textFill>
              </w:rPr>
              <w:t xml:space="preserve">三、保修期外维保 </w:t>
            </w:r>
            <w:r/>
          </w:p>
          <w:p>
            <w:pPr>
              <w:ind w:left="63"/>
              <w:jc w:val="left"/>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评委根据投标文件对招标文件第四章“</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保修期外维保</w:t>
            </w: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方案</w:t>
            </w:r>
            <w:r>
              <w:rPr>
                <w:rFonts w:hint="default" w:ascii="Times New Roman" w:hAnsi="Times New Roman" w:cs="Times New Roman"/>
                <w:b w:val="0"/>
                <w:bCs w:val="0"/>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要求的响应情况进行评审</w:t>
            </w: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p>
          <w:p>
            <w:pPr>
              <w:ind w:left="63"/>
              <w:jc w:val="left"/>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1）</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投标文件未符合“</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保修期外维保</w:t>
            </w: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”中全部条款要求的，视为不符合招标文件，本项得0分。</w:t>
            </w:r>
            <w:r/>
          </w:p>
          <w:p>
            <w:pPr>
              <w:ind w:left="63"/>
              <w:jc w:val="left"/>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2）投标</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文件符合“</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保修期外维保</w:t>
            </w: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”中全部条款要求的，视为符合招标文件，本项得</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2</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分。</w:t>
            </w:r>
            <w:r/>
          </w:p>
          <w:p>
            <w:pPr>
              <w:pStyle w:val="720"/>
              <w:ind w:left="0"/>
              <w:rPr>
                <w:rFonts w:hint="default" w:ascii="Times New Roman" w:hAnsi="Times New Roman" w:eastAsia="宋体" w:cs="Times New Roman"/>
                <w:color w:val="000000"/>
                <w:sz w:val="24"/>
                <w:szCs w:val="24"/>
              </w:rPr>
            </w:pP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（3）经评委认定，投标文件对“</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保修期外维保</w:t>
            </w: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方案</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”中“保修期外</w:t>
            </w:r>
            <w:r>
              <w:rPr>
                <w:rFonts w:hint="default" w:ascii="Times New Roman" w:hAnsi="Times New Roman" w:eastAsia="宋体" w:cs="Times New Roman"/>
                <w:b w:val="0"/>
                <w:bCs w:val="0"/>
                <w:i w:val="0"/>
                <w:iCs w:val="0"/>
                <w:caps w:val="0"/>
                <w:color w:val="000000" w:themeColor="text1"/>
                <w:spacing w:val="0"/>
                <w:sz w:val="24"/>
                <w:szCs w:val="24"/>
                <w:highlight w:val="none"/>
                <w:shd w:val="clear" w:color="auto" w:fill="auto"/>
                <w14:textFill>
                  <w14:solidFill>
                    <w14:schemeClr w14:val="tx1"/>
                  </w14:solidFill>
                </w14:textFill>
              </w:rPr>
              <w:t xml:space="preserve">维保服务范围与内容</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故障报修响应时效</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w:t>
            </w:r>
            <w:r>
              <w:rPr>
                <w:rFonts w:hint="default" w:ascii="Times New Roman" w:hAnsi="Times New Roman" w:eastAsia="宋体" w:cs="Times New Roman"/>
                <w:b w:val="0"/>
                <w:bCs w:val="0"/>
                <w:i w:val="0"/>
                <w:iCs w:val="0"/>
                <w:caps w:val="0"/>
                <w:color w:val="000000" w:themeColor="text1"/>
                <w:spacing w:val="0"/>
                <w:sz w:val="24"/>
                <w:szCs w:val="24"/>
                <w:highlight w:val="none"/>
                <w:shd w:val="clear" w:color="auto"/>
                <w14:textFill>
                  <w14:solidFill>
                    <w14:schemeClr w14:val="tx1"/>
                  </w14:solidFill>
                </w14:textFill>
              </w:rPr>
              <w:t xml:space="preserve">年度维保费用报价与计费标准</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”、“易损件、零配件、消耗品的供应价格清单”、“长期维保服务承诺及价格锁定保证”五</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项要求的响应内容全部优于招标文件</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要求的（前提</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是投标文件对</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保修期外维保</w:t>
            </w:r>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中除</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“保修期外</w:t>
            </w:r>
            <w:r>
              <w:rPr>
                <w:rFonts w:hint="default" w:ascii="Times New Roman" w:hAnsi="Times New Roman" w:eastAsia="宋体" w:cs="Times New Roman"/>
                <w:b w:val="0"/>
                <w:bCs w:val="0"/>
                <w:i w:val="0"/>
                <w:iCs w:val="0"/>
                <w:caps w:val="0"/>
                <w:color w:val="000000" w:themeColor="text1"/>
                <w:spacing w:val="0"/>
                <w:sz w:val="24"/>
                <w:szCs w:val="24"/>
                <w:highlight w:val="none"/>
                <w:shd w:val="clear" w:color="auto"/>
                <w14:textFill>
                  <w14:solidFill>
                    <w14:schemeClr w14:val="tx1"/>
                  </w14:solidFill>
                </w14:textFill>
              </w:rPr>
              <w:t xml:space="preserve">维保服务范围与内容</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故障报修响应时效</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w:t>
            </w:r>
            <w:r>
              <w:rPr>
                <w:rFonts w:hint="default" w:ascii="Times New Roman" w:hAnsi="Times New Roman" w:eastAsia="宋体" w:cs="Times New Roman"/>
                <w:b w:val="0"/>
                <w:bCs w:val="0"/>
                <w:i w:val="0"/>
                <w:iCs w:val="0"/>
                <w:caps w:val="0"/>
                <w:color w:val="000000" w:themeColor="text1"/>
                <w:spacing w:val="0"/>
                <w:sz w:val="24"/>
                <w:szCs w:val="24"/>
                <w:highlight w:val="none"/>
                <w:shd w:val="clear" w:color="auto"/>
                <w14:textFill>
                  <w14:solidFill>
                    <w14:schemeClr w14:val="tx1"/>
                  </w14:solidFill>
                </w14:textFill>
              </w:rPr>
              <w:t xml:space="preserve">年度维保费用报价与计费标准</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”、“易损件、零配件、消耗品的供应价格清单”、“长期维保服务承诺及价格锁定保证”</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外其他要求响应内容符合</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招标文件要求），本项</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得5分。</w:t>
            </w:r>
            <w:r/>
          </w:p>
        </w:tc>
        <w:tc>
          <w:tcPr>
            <w:tcW w:w="616"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p>
        </w:tc>
      </w:tr>
      <w:tr>
        <w:trPr>
          <w:jc w:val="center"/>
          <w:trHeight w:val="1104"/>
        </w:trPr>
        <w:tc>
          <w:tcPr>
            <w:tcW w:w="55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4.4</w:t>
            </w:r>
            <w:r/>
          </w:p>
        </w:tc>
        <w:tc>
          <w:tcPr>
            <w:tcW w:w="1637" w:type="dxa"/>
            <w:vAlign w:val="center"/>
            <w:vMerge w:val="continue"/>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r>
            <w:r/>
          </w:p>
        </w:tc>
        <w:tc>
          <w:tcPr>
            <w:tcW w:w="6113" w:type="dxa"/>
            <w:vAlign w:val="center"/>
            <w:textDirection w:val="lrTb"/>
            <w:noWrap w:val="false"/>
          </w:tcPr>
          <w:p>
            <w:pPr>
              <w:numPr>
                <w:ilvl w:val="0"/>
                <w:numId w:val="0"/>
              </w:numPr>
              <w:ind w:left="63"/>
              <w:pageBreakBefore w:val="0"/>
              <w:spacing w:beforeAutospacing="0" w:afterAutospacing="0" w:line="360" w:lineRule="exact"/>
              <w:rPr>
                <w:rFonts w:hint="default" w:ascii="Times New Roman" w:hAnsi="Times New Roman" w:eastAsia="宋体" w:cs="Times New Roman"/>
                <w:b/>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lang w:val="en-US" w:eastAsia="zh-CN" w:bidi="ar-SA"/>
                <w14:textFill>
                  <w14:solidFill>
                    <w14:schemeClr w14:val="tx1"/>
                  </w14:solidFill>
                </w14:textFill>
              </w:rPr>
              <w:t xml:space="preserve">四、</w:t>
            </w:r>
            <w:r>
              <w:rPr>
                <w:rFonts w:hint="default" w:ascii="Times New Roman" w:hAnsi="Times New Roman" w:eastAsia="宋体" w:cs="Times New Roman"/>
                <w:b/>
                <w:bCs/>
                <w:color w:val="000000" w:themeColor="text1"/>
                <w:sz w:val="24"/>
                <w:szCs w:val="24"/>
                <w:highlight w:val="none"/>
                <w14:textFill>
                  <w14:solidFill>
                    <w14:schemeClr w14:val="tx1"/>
                  </w14:solidFill>
                </w14:textFill>
              </w:rPr>
              <w:t xml:space="preserve">技术培训方案</w:t>
            </w:r>
            <w:r/>
          </w:p>
          <w:p>
            <w:pPr>
              <w:ind w:left="63"/>
              <w:jc w:val="left"/>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评委根据投标文件对招标文件第四章“</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技术培训方案</w:t>
            </w:r>
            <w:r>
              <w:rPr>
                <w:rFonts w:hint="default" w:ascii="Times New Roman" w:hAnsi="Times New Roman" w:cs="Times New Roman"/>
                <w:b w:val="0"/>
                <w:bCs w:val="0"/>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要求的响应情况进行评审</w:t>
            </w: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p>
          <w:p>
            <w:pPr>
              <w:ind w:left="63"/>
              <w:jc w:val="left"/>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1）</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投标文件未符合“</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技术培训方案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”中全部条款要求的，视为不符合招标文件，本项得0分。</w:t>
            </w:r>
            <w:r/>
          </w:p>
          <w:p>
            <w:pPr>
              <w:ind w:left="63"/>
              <w:jc w:val="left"/>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2）投标</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文件符合“</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技术培训方案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”中全部条款要求的，视为符合招标文件，本项得</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1</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分。</w:t>
            </w:r>
            <w:r/>
          </w:p>
          <w:p>
            <w:pPr>
              <w:pStyle w:val="720"/>
              <w:ind w:left="0"/>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（3）经评委认定，投标文件对“</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技术培训方案</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”中“培训内容与课程体系”、“培训方式与方法”、“培训计划时间”、“培训对象”、“培训师资配备与团队”五</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项要求的响应内容全部优于招标文件</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要求的（前提</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是投标文件对</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技术培训</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中除</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“培训内容与课程体系”、“培训方式与方法”、“培训计划时间”、“培训对象”、“培训师资配备与团队”</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外其他要求响应内容符合</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招标文件要求），本项</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得</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3</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分。</w:t>
            </w:r>
            <w:r/>
          </w:p>
        </w:tc>
        <w:tc>
          <w:tcPr>
            <w:tcW w:w="616" w:type="dxa"/>
            <w:vAlign w:val="center"/>
            <w:textDirection w:val="lrTb"/>
            <w:noWrap w:val="false"/>
          </w:tcPr>
          <w:p>
            <w:pPr>
              <w:jc w:val="center"/>
              <w:pageBreakBefore w:val="0"/>
              <w:spacing w:beforeAutospacing="0" w:afterAutospacing="0"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p>
        </w:tc>
      </w:tr>
      <w:tr>
        <w:trPr>
          <w:jc w:val="center"/>
          <w:trHeight w:val="3438"/>
        </w:trPr>
        <w:tc>
          <w:tcPr>
            <w:tcW w:w="55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4.5</w:t>
            </w:r>
            <w:r/>
          </w:p>
        </w:tc>
        <w:tc>
          <w:tcPr>
            <w:tcW w:w="1637" w:type="dxa"/>
            <w:vAlign w:val="center"/>
            <w:vMerge w:val="continue"/>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r>
            <w:r/>
          </w:p>
        </w:tc>
        <w:tc>
          <w:tcPr>
            <w:tcW w:w="6113" w:type="dxa"/>
            <w:vAlign w:val="center"/>
            <w:textDirection w:val="lrTb"/>
            <w:noWrap w:val="false"/>
          </w:tcPr>
          <w:p>
            <w:pPr>
              <w:numPr>
                <w:ilvl w:val="0"/>
                <w:numId w:val="0"/>
              </w:numPr>
              <w:ind w:left="0"/>
              <w:pageBreakBefore w:val="0"/>
              <w:spacing w:beforeAutospacing="0" w:afterAutospacing="0" w:line="360" w:lineRule="exact"/>
              <w:rPr>
                <w:rFonts w:hint="default" w:ascii="Times New Roman" w:hAnsi="Times New Roman" w:eastAsia="宋体" w:cs="Times New Roman"/>
                <w:b/>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14:textFill>
                  <w14:solidFill>
                    <w14:schemeClr w14:val="tx1"/>
                  </w14:solidFill>
                </w14:textFill>
              </w:rPr>
              <w:t xml:space="preserve">五、供货方案</w:t>
            </w:r>
            <w:r/>
          </w:p>
          <w:p>
            <w:pPr>
              <w:ind w:left="63"/>
              <w:jc w:val="left"/>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评委根据投标文件对招标文件第四章“</w:t>
            </w: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供货方案</w:t>
            </w:r>
            <w:r>
              <w:rPr>
                <w:rFonts w:hint="default" w:ascii="Times New Roman" w:hAnsi="Times New Roman" w:cs="Times New Roman"/>
                <w:b w:val="0"/>
                <w:bCs w:val="0"/>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要求的响应情况进行评审</w:t>
            </w: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p>
          <w:p>
            <w:pPr>
              <w:ind w:left="63"/>
              <w:jc w:val="left"/>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1）</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投标文件未符合“</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供货方案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”中全部条款要求的，视为不符合招标文件，本项得0分。</w:t>
            </w:r>
            <w:r/>
          </w:p>
          <w:p>
            <w:pPr>
              <w:ind w:left="63"/>
              <w:jc w:val="left"/>
              <w:pageBreakBefore w:val="0"/>
              <w:spacing w:beforeAutospacing="0" w:afterAutospacing="0" w:line="360" w:lineRule="exac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2）投标</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文件符合“</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供货方案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”中全部条款要求的，视为符合招标文件，本项得</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2</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分。</w:t>
            </w:r>
            <w:r/>
          </w:p>
          <w:p>
            <w:pPr>
              <w:pStyle w:val="720"/>
              <w:ind w:left="0"/>
              <w:rPr>
                <w:rFonts w:hint="default" w:ascii="Times New Roman" w:hAnsi="Times New Roman" w:eastAsia="宋体" w:cs="Times New Roman"/>
                <w:color w:val="000000"/>
                <w:sz w:val="24"/>
                <w:szCs w:val="24"/>
                <w:highlight w:val="none"/>
              </w:rPr>
            </w:pP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（3）经评委认定，投标文件对“</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供货方案</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”中“供货计划与生产、备货周期”、“产品配送与物流保障”、“安装调试流程与技术标准”、“进度管控与风险预案”、“验收交付与资料移交”五</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项要求的响应内容全部优于招标文件</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要求的（前提</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是投标文件对</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供货</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中除</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“供货计划与生产、备货周期”、“产品配送与物流保障”、“安装调试流程与技术标准”、“进度管控与风险预案”、“验收交付与资料移交”</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外其他要求响应内容符合</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招标文件要求），本项</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得5分。</w:t>
            </w:r>
            <w:r/>
          </w:p>
        </w:tc>
        <w:tc>
          <w:tcPr>
            <w:tcW w:w="616" w:type="dxa"/>
            <w:vAlign w:val="center"/>
            <w:textDirection w:val="lrTb"/>
            <w:noWrap w:val="false"/>
          </w:tcPr>
          <w:p>
            <w:pPr>
              <w:jc w:val="center"/>
              <w:pageBreakBefore w:val="0"/>
              <w:spacing w:beforeAutospacing="0" w:afterAutospacing="0"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w:t>
            </w:r>
            <w:r/>
          </w:p>
        </w:tc>
      </w:tr>
      <w:tr>
        <w:trPr>
          <w:jc w:val="center"/>
          <w:trHeight w:val="1517"/>
        </w:trPr>
        <w:tc>
          <w:tcPr>
            <w:tcW w:w="557" w:type="dxa"/>
            <w:vAlign w:val="center"/>
            <w:textDirection w:val="lrTb"/>
            <w:noWrap w:val="false"/>
          </w:tcPr>
          <w:p>
            <w:pPr>
              <w:jc w:val="center"/>
              <w:pageBreakBefore w:val="0"/>
              <w:spacing w:beforeAutospacing="0" w:afterAutospacing="0" w:line="36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4.6</w:t>
            </w:r>
            <w:r/>
          </w:p>
        </w:tc>
        <w:tc>
          <w:tcPr>
            <w:tcW w:w="1637" w:type="dxa"/>
            <w:vAlign w:val="center"/>
            <w:vMerge w:val="continue"/>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r>
            <w:r/>
          </w:p>
        </w:tc>
        <w:tc>
          <w:tcPr>
            <w:tcW w:w="6113" w:type="dxa"/>
            <w:vAlign w:val="center"/>
            <w:textDirection w:val="lrTb"/>
            <w:noWrap w:val="false"/>
          </w:tcPr>
          <w:p>
            <w:pPr>
              <w:ind w:left="0"/>
              <w:pageBreakBefore w:val="0"/>
              <w:spacing w:beforeAutospacing="0" w:afterAutospacing="0" w:line="360" w:lineRule="exact"/>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14:textFill>
                  <w14:solidFill>
                    <w14:schemeClr w14:val="tx1"/>
                  </w14:solidFill>
                </w14:textFill>
              </w:rPr>
              <w:t xml:space="preserve">六、应急措施</w:t>
            </w:r>
            <w:r/>
          </w:p>
          <w:p>
            <w:pPr>
              <w:ind w:left="63"/>
              <w:jc w:val="left"/>
              <w:pageBreakBefore w:val="0"/>
              <w:spacing w:beforeAutospacing="0" w:afterAutospacing="0" w:line="360" w:lineRule="exact"/>
              <w:rPr>
                <w:rFonts w:hint="default" w:ascii="Times New Roman" w:hAnsi="Times New Roman" w:eastAsia="宋体" w:cs="Times New Roman"/>
                <w:b w:val="0"/>
                <w:bCs w:val="0"/>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评委根据投标文件对</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招标文件第四章“</w:t>
            </w: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服务方案</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”中“应急措施</w:t>
            </w:r>
            <w:r>
              <w:rPr>
                <w:rFonts w:hint="default" w:ascii="Times New Roman" w:hAnsi="Times New Roman" w:cs="Times New Roman"/>
                <w:b w:val="0"/>
                <w:bCs w:val="0"/>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要求的响应情况进行评审</w:t>
            </w:r>
            <w:r>
              <w:rPr>
                <w:rFonts w:hint="default" w:ascii="Times New Roman" w:hAnsi="Times New Roman" w:cs="Times New Roman"/>
                <w:b w:val="0"/>
                <w:bCs w:val="0"/>
                <w:color w:val="000000" w:themeColor="text1"/>
                <w:sz w:val="24"/>
                <w:szCs w:val="24"/>
                <w:highlight w:val="none"/>
                <w:lang w:eastAsia="zh-CN"/>
                <w14:textFill>
                  <w14:solidFill>
                    <w14:schemeClr w14:val="tx1"/>
                  </w14:solidFill>
                </w14:textFill>
              </w:rPr>
              <w:t xml:space="preserve">。</w:t>
            </w:r>
            <w:r/>
          </w:p>
          <w:p>
            <w:pPr>
              <w:ind w:left="63"/>
              <w:jc w:val="left"/>
              <w:pageBreakBefore w:val="0"/>
              <w:spacing w:beforeAutospacing="0" w:afterAutospacing="0" w:line="360" w:lineRule="exact"/>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pPr>
            <w:r>
              <w:rPr>
                <w:rFonts w:hint="default" w:ascii="Times New Roman" w:hAnsi="Times New Roman" w:cs="Times New Roman"/>
                <w:b w:val="0"/>
                <w:bCs w:val="0"/>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1）</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投标文件未符合“应急措施”中全部条款要求的，视为不符合招标文件，本项得0分。</w:t>
            </w:r>
            <w:r/>
          </w:p>
          <w:p>
            <w:pPr>
              <w:ind w:left="63"/>
              <w:jc w:val="left"/>
              <w:pageBreakBefore w:val="0"/>
              <w:spacing w:beforeAutospacing="0" w:afterAutospacing="0" w:line="360" w:lineRule="exact"/>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pPr>
            <w:r>
              <w:rPr>
                <w:rFonts w:hint="default" w:ascii="Times New Roman" w:hAnsi="Times New Roman" w:cs="Times New Roman"/>
                <w:b w:val="0"/>
                <w:bCs w:val="0"/>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2）投标</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文件符合“应急措施”中全部条款要求的，视为符合招标文件，本项得</w:t>
            </w: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1</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分。</w:t>
            </w:r>
            <w:r/>
          </w:p>
          <w:p>
            <w:pPr>
              <w:pStyle w:val="720"/>
              <w:ind w:left="0"/>
              <w:rPr>
                <w:rFonts w:hint="default" w:ascii="Times New Roman" w:hAnsi="Times New Roman" w:eastAsia="宋体" w:cs="Times New Roman"/>
                <w:sz w:val="24"/>
                <w:szCs w:val="24"/>
              </w:rPr>
            </w:pP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（3）经评委认定，投标文件对“</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应急措施</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”中“应急组织体系与预防预警机制”、“应急</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响应分级与处置流程”、“应急技术支撑与抢修方案”、“应急物资与备件储备”、“</w:t>
            </w:r>
            <w:r>
              <w:rPr>
                <w:rFonts w:hint="default" w:ascii="Times New Roman" w:hAnsi="Times New Roman" w:eastAsia="宋体" w:cs="Times New Roman"/>
                <w:b w:val="0"/>
                <w:bCs w:val="0"/>
                <w:i w:val="0"/>
                <w:iCs w:val="0"/>
                <w:caps w:val="0"/>
                <w:color w:val="000000" w:themeColor="text1"/>
                <w:spacing w:val="0"/>
                <w:sz w:val="24"/>
                <w:szCs w:val="24"/>
                <w:highlight w:val="none"/>
                <w:shd w:val="clear" w:color="auto" w:fill="auto"/>
                <w14:textFill>
                  <w14:solidFill>
                    <w14:schemeClr w14:val="tx1"/>
                  </w14:solidFill>
                </w14:textFill>
              </w:rPr>
              <w:t xml:space="preserve">应急保障人员配备与值守制度</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”五</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项要求的响应内容全部优于招标文件</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要求的（前提</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是投标文件对</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“应急组织体系与预防预警机制”、“应急响应分级与处置流程”、“应急技术支撑与抢修方案”、“应急物资与备件储备”、“</w:t>
            </w:r>
            <w:r>
              <w:rPr>
                <w:rFonts w:hint="default" w:ascii="Times New Roman" w:hAnsi="Times New Roman" w:eastAsia="宋体" w:cs="Times New Roman"/>
                <w:b w:val="0"/>
                <w:bCs w:val="0"/>
                <w:i w:val="0"/>
                <w:iCs w:val="0"/>
                <w:caps w:val="0"/>
                <w:color w:val="000000" w:themeColor="text1"/>
                <w:spacing w:val="0"/>
                <w:sz w:val="24"/>
                <w:szCs w:val="24"/>
                <w:highlight w:val="none"/>
                <w:shd w:val="clear" w:color="auto"/>
                <w14:textFill>
                  <w14:solidFill>
                    <w14:schemeClr w14:val="tx1"/>
                  </w14:solidFill>
                </w14:textFill>
              </w:rPr>
              <w:t xml:space="preserve">应急保障人员配备与值守制度</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外其他要求响应内容符合</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招标文件要求），本项</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得</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3</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分。</w:t>
            </w:r>
            <w:r/>
          </w:p>
        </w:tc>
        <w:tc>
          <w:tcPr>
            <w:tcW w:w="616"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3</w:t>
            </w:r>
            <w:r/>
          </w:p>
        </w:tc>
      </w:tr>
      <w:tr>
        <w:trPr>
          <w:jc w:val="center"/>
          <w:trHeight w:val="1517"/>
        </w:trPr>
        <w:tc>
          <w:tcPr>
            <w:tcW w:w="55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4.</w:t>
            </w:r>
            <w:r>
              <w:rPr>
                <w:rFonts w:hint="eastAsia" w:ascii="宋体" w:hAnsi="宋体" w:cs="宋体"/>
                <w:sz w:val="24"/>
                <w:szCs w:val="24"/>
                <w:lang w:val="en-US" w:eastAsia="zh-CN"/>
              </w:rPr>
              <w:t xml:space="preserve">7</w:t>
            </w:r>
            <w:r/>
          </w:p>
        </w:tc>
        <w:tc>
          <w:tcPr>
            <w:tcW w:w="1637" w:type="dxa"/>
            <w:vAlign w:val="center"/>
            <w:vMerge w:val="continue"/>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r>
            <w:r/>
          </w:p>
        </w:tc>
        <w:tc>
          <w:tcPr>
            <w:tcW w:w="6113" w:type="dxa"/>
            <w:vAlign w:val="center"/>
            <w:textDirection w:val="lrTb"/>
            <w:noWrap w:val="false"/>
          </w:tcPr>
          <w:p>
            <w:pPr>
              <w:ind w:left="63"/>
              <w:pageBreakBefore w:val="0"/>
              <w:spacing w:beforeAutospacing="0" w:afterAutospacing="0" w:line="360" w:lineRule="exact"/>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lang w:val="en-US" w:eastAsia="zh-CN"/>
              </w:rPr>
              <w:t xml:space="preserve">七</w:t>
            </w:r>
            <w:r>
              <w:rPr>
                <w:rFonts w:hint="default" w:ascii="Times New Roman" w:hAnsi="Times New Roman" w:eastAsia="宋体" w:cs="Times New Roman"/>
                <w:b/>
                <w:bCs/>
                <w:sz w:val="24"/>
                <w:szCs w:val="24"/>
              </w:rPr>
              <w:t xml:space="preserve">、质保期 </w:t>
            </w:r>
            <w:r/>
          </w:p>
          <w:p>
            <w:pPr>
              <w:ind w:left="63"/>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根据投标人针对本项目供货产品的质保期进行综合比较后评分：</w:t>
            </w:r>
            <w:r/>
          </w:p>
          <w:p>
            <w:pPr>
              <w:ind w:left="63"/>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投标人所投产品质保期响应招标文</w:t>
            </w:r>
            <w:r>
              <w:rPr>
                <w:rFonts w:hint="default" w:ascii="Times New Roman" w:hAnsi="Times New Roman" w:eastAsia="宋体" w:cs="Times New Roman"/>
                <w:sz w:val="24"/>
                <w:szCs w:val="24"/>
                <w:highlight w:val="none"/>
              </w:rPr>
              <w:t xml:space="preserve">件最低要求基础上（三年），每增加一年加0.5分，最高得1分。未提供者不得分。（投标文件需提供加盖投标人公章的质保期承诺书</w:t>
            </w:r>
            <w:r>
              <w:rPr>
                <w:rFonts w:hint="default" w:ascii="Times New Roman" w:hAnsi="Times New Roman" w:eastAsia="宋体" w:cs="Times New Roman"/>
                <w:sz w:val="24"/>
                <w:szCs w:val="24"/>
                <w:highlight w:val="none"/>
                <w:lang w:eastAsia="zh-CN"/>
              </w:rPr>
              <w:t xml:space="preserve">，</w:t>
            </w:r>
            <w:r>
              <w:rPr>
                <w:rFonts w:hint="default" w:ascii="Times New Roman" w:hAnsi="Times New Roman" w:eastAsia="宋体" w:cs="Times New Roman"/>
                <w:sz w:val="24"/>
                <w:szCs w:val="24"/>
                <w:highlight w:val="none"/>
                <w:lang w:val="en-US" w:eastAsia="zh-CN"/>
              </w:rPr>
              <w:t xml:space="preserve">前后不一致以承诺书为准</w:t>
            </w:r>
            <w:r>
              <w:rPr>
                <w:rFonts w:hint="default" w:ascii="Times New Roman" w:hAnsi="Times New Roman" w:eastAsia="宋体" w:cs="Times New Roman"/>
                <w:sz w:val="24"/>
                <w:szCs w:val="24"/>
                <w:highlight w:val="none"/>
              </w:rPr>
              <w:t xml:space="preserve">）。</w:t>
            </w:r>
            <w:r/>
          </w:p>
        </w:tc>
        <w:tc>
          <w:tcPr>
            <w:tcW w:w="616"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Pr>
        <w:tc>
          <w:tcPr>
            <w:tcW w:w="55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5</w:t>
            </w:r>
            <w:r/>
          </w:p>
        </w:tc>
        <w:tc>
          <w:tcPr>
            <w:tcW w:w="1637"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业绩</w:t>
            </w:r>
            <w:r/>
          </w:p>
        </w:tc>
        <w:tc>
          <w:tcPr>
            <w:tcW w:w="6113" w:type="dxa"/>
            <w:vAlign w:val="center"/>
            <w:textDirection w:val="lrTb"/>
            <w:noWrap w:val="false"/>
          </w:tcPr>
          <w:p>
            <w:pPr>
              <w:keepLines w:val="0"/>
              <w:keepNext w:val="0"/>
              <w:pageBreakBefore w:val="0"/>
              <w:spacing w:beforeAutospacing="0" w:afterAutospacing="0"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所投产品的投标人或产品制造商（必须与投标文件中产品型号一致）</w:t>
            </w:r>
            <w:r>
              <w:rPr>
                <w:rFonts w:hint="default" w:ascii="Times New Roman" w:hAnsi="Times New Roman" w:eastAsia="宋体" w:cs="Times New Roman"/>
                <w:sz w:val="24"/>
                <w:szCs w:val="24"/>
                <w:lang w:val="en-US" w:eastAsia="zh-CN"/>
              </w:rPr>
              <w:t xml:space="preserve">2021年</w:t>
            </w:r>
            <w:r>
              <w:rPr>
                <w:rFonts w:hint="default" w:ascii="Times New Roman" w:hAnsi="Times New Roman" w:cs="Times New Roman"/>
                <w:sz w:val="24"/>
                <w:szCs w:val="24"/>
                <w:lang w:val="en-US" w:eastAsia="zh-CN"/>
              </w:rPr>
              <w:t xml:space="preserve">6</w:t>
            </w:r>
            <w:r>
              <w:rPr>
                <w:rFonts w:hint="default" w:ascii="Times New Roman" w:hAnsi="Times New Roman" w:eastAsia="宋体" w:cs="Times New Roman"/>
                <w:sz w:val="24"/>
                <w:szCs w:val="24"/>
                <w:lang w:val="en-US" w:eastAsia="zh-CN"/>
              </w:rPr>
              <w:t xml:space="preserve">月1日</w:t>
            </w:r>
            <w:r>
              <w:rPr>
                <w:rFonts w:hint="default" w:ascii="Times New Roman" w:hAnsi="Times New Roman" w:eastAsia="宋体" w:cs="Times New Roman"/>
                <w:sz w:val="24"/>
                <w:szCs w:val="24"/>
              </w:rPr>
              <w:t xml:space="preserve">以来有销售业绩的（非单一产品包为核心产品）。每提供一份有效业绩证明材料得1分，最多得5分。</w:t>
            </w:r>
            <w:r/>
          </w:p>
          <w:p>
            <w:pPr>
              <w:pageBreakBefore w:val="0"/>
              <w:spacing w:beforeAutospacing="0" w:afterAutospacing="0"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注：</w:t>
            </w:r>
            <w:r/>
          </w:p>
          <w:p>
            <w:pPr>
              <w:ind w:left="63"/>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①业绩证明材料需同时提供合同和验收证明复印件加盖</w:t>
            </w:r>
            <w:r>
              <w:rPr>
                <w:rFonts w:hint="default" w:ascii="Times New Roman" w:hAnsi="Times New Roman" w:eastAsia="宋体" w:cs="Times New Roman"/>
                <w:sz w:val="24"/>
                <w:szCs w:val="24"/>
                <w:lang w:val="en-US" w:eastAsia="zh-CN"/>
              </w:rPr>
              <w:t xml:space="preserve">投标单位</w:t>
            </w:r>
            <w:r>
              <w:rPr>
                <w:rFonts w:hint="default" w:ascii="Times New Roman" w:hAnsi="Times New Roman" w:eastAsia="宋体" w:cs="Times New Roman"/>
                <w:sz w:val="24"/>
                <w:szCs w:val="24"/>
              </w:rPr>
              <w:t xml:space="preserve">公章，合同须能体现签订单</w:t>
            </w:r>
            <w:r>
              <w:rPr>
                <w:rFonts w:hint="default" w:ascii="Times New Roman" w:hAnsi="Times New Roman" w:eastAsia="宋体" w:cs="Times New Roman"/>
                <w:sz w:val="24"/>
                <w:szCs w:val="24"/>
                <w:highlight w:val="none"/>
              </w:rPr>
              <w:t xml:space="preserve">位信息、签订时间、产品名称、型号、价格等相关信息，否则视为无效合同</w:t>
            </w:r>
            <w:r>
              <w:rPr>
                <w:rFonts w:hint="default" w:ascii="Times New Roman" w:hAnsi="Times New Roman" w:eastAsia="宋体" w:cs="Times New Roman"/>
                <w:sz w:val="24"/>
                <w:szCs w:val="24"/>
                <w:highlight w:val="none"/>
                <w:lang w:eastAsia="zh-CN"/>
              </w:rPr>
              <w:t xml:space="preserve">。</w:t>
            </w:r>
            <w:r/>
          </w:p>
          <w:p>
            <w:pPr>
              <w:ind w:left="63"/>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b/>
                <w:bCs/>
                <w:sz w:val="24"/>
                <w:szCs w:val="24"/>
              </w:rPr>
              <w:t xml:space="preserve">②统招分签的合同按一个合同业绩计。</w:t>
            </w:r>
            <w:r>
              <w:rPr>
                <w:rFonts w:hint="default" w:ascii="Times New Roman" w:hAnsi="Times New Roman" w:eastAsia="宋体" w:cs="Times New Roman"/>
                <w:sz w:val="24"/>
                <w:szCs w:val="24"/>
              </w:rPr>
              <w:t xml:space="preserve">【多个合同项目名称一致的，均按一个合同计】</w:t>
            </w:r>
            <w:r/>
          </w:p>
          <w:p>
            <w:pPr>
              <w:ind w:left="63"/>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③合同中的产品名称及产品型号请加以明显标记，以方便评审和核对。</w:t>
            </w:r>
            <w:r/>
          </w:p>
          <w:p>
            <w:pPr>
              <w:ind w:left="63"/>
              <w:pageBreakBefore w:val="0"/>
              <w:spacing w:beforeAutospacing="0" w:afterAutospacing="0" w:line="360" w:lineRule="exact"/>
              <w:rPr>
                <w:rFonts w:hint="default" w:ascii="Times New Roman" w:hAnsi="Times New Roman" w:eastAsia="宋体" w:cs="Times New Roman"/>
                <w:sz w:val="24"/>
                <w:szCs w:val="24"/>
                <w:lang w:bidi="ar"/>
              </w:rPr>
            </w:pPr>
            <w:r>
              <w:rPr>
                <w:rFonts w:hint="default" w:ascii="Times New Roman" w:hAnsi="Times New Roman" w:eastAsia="宋体" w:cs="Times New Roman"/>
                <w:sz w:val="24"/>
                <w:szCs w:val="24"/>
              </w:rPr>
              <w:t xml:space="preserve">④合同评审中的重要信息因存在内容模糊、无法辨认而产生不利于该项评审的情况，投标人自行承担后果。</w:t>
            </w:r>
            <w:r/>
          </w:p>
        </w:tc>
        <w:tc>
          <w:tcPr>
            <w:tcW w:w="616"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5</w:t>
            </w:r>
            <w:r/>
          </w:p>
        </w:tc>
      </w:tr>
      <w:tr>
        <w:trPr>
          <w:jc w:val="center"/>
        </w:trPr>
        <w:tc>
          <w:tcPr>
            <w:gridSpan w:val="2"/>
            <w:tcW w:w="2194"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合计</w:t>
            </w:r>
            <w:r/>
          </w:p>
        </w:tc>
        <w:tc>
          <w:tcPr>
            <w:tcW w:w="6113"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分值合计</w:t>
            </w:r>
            <w:r/>
          </w:p>
        </w:tc>
        <w:tc>
          <w:tcPr>
            <w:tcW w:w="616" w:type="dxa"/>
            <w:vAlign w:val="center"/>
            <w:textDirection w:val="lrTb"/>
            <w:noWrap w:val="false"/>
          </w:tcPr>
          <w:p>
            <w:pPr>
              <w:jc w:val="center"/>
              <w:pageBreakBefore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100</w:t>
            </w:r>
            <w:r/>
          </w:p>
        </w:tc>
      </w:tr>
    </w:tbl>
    <w:p>
      <w:pPr>
        <w:pageBreakBefore w:val="0"/>
        <w:spacing w:beforeAutospacing="0" w:afterAutospacing="0"/>
        <w:rPr>
          <w:rFonts w:hint="eastAsia"/>
        </w:rPr>
      </w:pPr>
      <w:r>
        <w:rPr>
          <w:rFonts w:hint="eastAsia"/>
        </w:rPr>
      </w:r>
      <w:r/>
    </w:p>
    <w:p>
      <w:pPr>
        <w:pStyle w:val="959"/>
        <w:ind w:left="0" w:right="0" w:firstLine="0"/>
        <w:keepLines w:val="0"/>
        <w:keepNext w:val="0"/>
        <w:pageBreakBefore w:val="0"/>
        <w:spacing w:before="0" w:beforeAutospacing="0" w:after="0" w:afterAutospacing="0" w:line="0" w:lineRule="atLeast"/>
        <w:widowControl/>
        <w:rPr>
          <w:rFonts w:hint="eastAsia"/>
          <w:lang w:val="en-US" w:eastAsia="zh-CN"/>
        </w:rPr>
        <w:suppressLineNumbers w:val="0"/>
      </w:pPr>
      <w:r>
        <w:rPr>
          <w:rFonts w:hint="eastAsia"/>
          <w:lang w:val="en-US" w:eastAsia="zh-CN"/>
        </w:rPr>
        <w:t xml:space="preserve">分包号4：</w:t>
      </w:r>
      <w:r/>
    </w:p>
    <w:tbl>
      <w:tblPr>
        <w:tblStyle w:val="719"/>
        <w:tblpPr w:horzAnchor="text" w:tblpXSpec="center" w:vertAnchor="text" w:tblpY="1" w:leftFromText="180" w:topFromText="0" w:rightFromText="180" w:bottomFromText="0"/>
        <w:tblW w:w="8923"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57"/>
        <w:gridCol w:w="1637"/>
        <w:gridCol w:w="6113"/>
        <w:gridCol w:w="616"/>
      </w:tblGrid>
      <w:tr>
        <w:trPr>
          <w:jc w:val="center"/>
          <w:trHeight w:val="464"/>
        </w:trPr>
        <w:tc>
          <w:tcPr>
            <w:tcW w:w="557" w:type="dxa"/>
            <w:vAlign w:val="center"/>
            <w:textDirection w:val="lrTb"/>
            <w:noWrap w:val="false"/>
          </w:tcPr>
          <w:p>
            <w:pPr>
              <w:jc w:val="center"/>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序号</w:t>
            </w:r>
            <w:r/>
          </w:p>
        </w:tc>
        <w:tc>
          <w:tcPr>
            <w:tcW w:w="1637" w:type="dxa"/>
            <w:vAlign w:val="center"/>
            <w:textDirection w:val="lrTb"/>
            <w:noWrap w:val="false"/>
          </w:tcPr>
          <w:p>
            <w:pPr>
              <w:jc w:val="center"/>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评分因素</w:t>
            </w:r>
            <w:r/>
          </w:p>
        </w:tc>
        <w:tc>
          <w:tcPr>
            <w:tcW w:w="6113" w:type="dxa"/>
            <w:vAlign w:val="center"/>
            <w:textDirection w:val="lrTb"/>
            <w:noWrap w:val="false"/>
          </w:tcPr>
          <w:p>
            <w:pPr>
              <w:jc w:val="center"/>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评审标准</w:t>
            </w:r>
            <w:r/>
          </w:p>
        </w:tc>
        <w:tc>
          <w:tcPr>
            <w:tcW w:w="616" w:type="dxa"/>
            <w:vAlign w:val="center"/>
            <w:textDirection w:val="lrTb"/>
            <w:noWrap w:val="false"/>
          </w:tcPr>
          <w:p>
            <w:pPr>
              <w:jc w:val="center"/>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分值</w:t>
            </w:r>
            <w:r/>
          </w:p>
        </w:tc>
      </w:tr>
      <w:tr>
        <w:trPr>
          <w:jc w:val="center"/>
          <w:trHeight w:val="464"/>
        </w:trPr>
        <w:tc>
          <w:tcPr>
            <w:tcW w:w="557" w:type="dxa"/>
            <w:vAlign w:val="center"/>
            <w:textDirection w:val="lrTb"/>
            <w:noWrap w:val="false"/>
          </w:tcPr>
          <w:p>
            <w:pPr>
              <w:jc w:val="center"/>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jc w:val="center"/>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w:t>
            </w:r>
            <w:r/>
          </w:p>
        </w:tc>
        <w:tc>
          <w:tcPr>
            <w:tcW w:w="1637" w:type="dxa"/>
            <w:vAlign w:val="center"/>
            <w:textDirection w:val="lrTb"/>
            <w:noWrap w:val="false"/>
          </w:tcPr>
          <w:p>
            <w:pPr>
              <w:jc w:val="center"/>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价格</w:t>
            </w:r>
            <w:r/>
          </w:p>
        </w:tc>
        <w:tc>
          <w:tcPr>
            <w:tcW w:w="6113" w:type="dxa"/>
            <w:vAlign w:val="center"/>
            <w:textDirection w:val="lrTb"/>
            <w:noWrap w:val="false"/>
          </w:tcPr>
          <w:p>
            <w:pPr>
              <w:ind w:left="63"/>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采用低价优先法计算，即满足招标文件要求且投标价格最低的投标报价为评标基准价，其价格分为满分30分。</w:t>
            </w:r>
            <w:r/>
          </w:p>
          <w:p>
            <w:pPr>
              <w:ind w:left="63"/>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其他投标人的价格分统一按照下列公式计算:投标报价得分=(评标基准价/投标报价)×30（小数点保留两位）</w:t>
            </w:r>
            <w:r/>
          </w:p>
        </w:tc>
        <w:tc>
          <w:tcPr>
            <w:tcW w:w="616" w:type="dxa"/>
            <w:vAlign w:val="center"/>
            <w:textDirection w:val="lrTb"/>
            <w:noWrap w:val="false"/>
          </w:tcPr>
          <w:p>
            <w:pPr>
              <w:jc w:val="center"/>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w:t>
            </w:r>
            <w:r/>
          </w:p>
        </w:tc>
      </w:tr>
      <w:tr>
        <w:trPr>
          <w:jc w:val="center"/>
          <w:trHeight w:val="464"/>
        </w:trPr>
        <w:tc>
          <w:tcPr>
            <w:tcW w:w="557" w:type="dxa"/>
            <w:vAlign w:val="center"/>
            <w:textDirection w:val="lrTb"/>
            <w:noWrap w:val="false"/>
          </w:tcPr>
          <w:p>
            <w:pPr>
              <w:jc w:val="center"/>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w:t>
            </w:r>
            <w:r/>
          </w:p>
        </w:tc>
        <w:tc>
          <w:tcPr>
            <w:tcW w:w="1637" w:type="dxa"/>
            <w:vAlign w:val="center"/>
            <w:textDirection w:val="lrTb"/>
            <w:noWrap w:val="false"/>
          </w:tcPr>
          <w:p>
            <w:pPr>
              <w:jc w:val="center"/>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技术响应</w:t>
            </w:r>
            <w:r/>
          </w:p>
        </w:tc>
        <w:tc>
          <w:tcPr>
            <w:tcW w:w="6113" w:type="dxa"/>
            <w:vAlign w:val="center"/>
            <w:textDirection w:val="lrTb"/>
            <w:noWrap w:val="false"/>
          </w:tcPr>
          <w:p>
            <w:pPr>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投标人需对第四部分采购需求中的采购清单内所有技术参数要求进行逐条响应，在《技术条款偏离表》中如实详细填列所投产品的参数，且在偏差表中标明是否响应，招标文件要求提供证明材料的提供相应证明材料并标明所在具体页码；否则评标委员会有权做负偏离处理。</w:t>
            </w:r>
            <w:r/>
          </w:p>
          <w:p>
            <w:pPr>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就采购需求中技术参数已明确要求需要通过技术支持资料（包括检测检验报告、白皮书、设备生产厂家证明原件、彩页、手册等）来印证是否响应采购需求的参数内容，投标文件需要提供相应的技术支持资料（如检测报告、白皮书、设备生产厂家证明原件、彩页、手册等，相关材料复印件需加盖投标人公章）。若未提供或所提供技术支持资料不完整、不清晰等问题，即便投标文件中已承诺响应采购需求的，评审时也不予采信。 </w:t>
            </w:r>
            <w:r/>
          </w:p>
          <w:p>
            <w:pPr>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就采购需求中技术参数未明确要求需要通过技术支持资料（包括检测检验报告、白皮书、设备生产厂家证明原件、彩页、手册等）来印证是否响应采购需求的参数内容，以投标文件技术条款偏离表响应的内容为准，其他技术支持资料作为评审参考。</w:t>
            </w:r>
            <w:r/>
          </w:p>
          <w:p>
            <w:pPr>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（3）非单一产品包及套装组合包评审时，就包内所有产品的参数响应按照上述评分规则累计评审。</w:t>
            </w:r>
            <w:r/>
          </w:p>
          <w:p>
            <w:pPr>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所投产品所有技术条款完全响应招标文件要求的得28分；本项最低分0分，最高分28分。</w:t>
            </w:r>
            <w:r/>
          </w:p>
          <w:p>
            <w:pPr>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标记“▲”为重要技术条款，重要技术条款</w:t>
            </w:r>
            <w:r>
              <w:rPr>
                <w:rFonts w:hint="default" w:ascii="Times New Roman" w:hAnsi="Times New Roman" w:eastAsia="宋体" w:cs="Times New Roman"/>
                <w:sz w:val="24"/>
                <w:szCs w:val="24"/>
                <w:lang w:val="en-US" w:eastAsia="zh-CN"/>
              </w:rPr>
              <w:t xml:space="preserve">不响应的，每条扣</w:t>
            </w:r>
            <w:r>
              <w:rPr>
                <w:rFonts w:hint="default" w:ascii="Times New Roman" w:hAnsi="Times New Roman" w:cs="Times New Roman"/>
                <w:sz w:val="24"/>
                <w:szCs w:val="24"/>
                <w:lang w:val="en-US" w:eastAsia="zh-CN"/>
              </w:rPr>
              <w:t xml:space="preserve">2</w:t>
            </w:r>
            <w:r>
              <w:rPr>
                <w:rFonts w:hint="default" w:ascii="Times New Roman" w:hAnsi="Times New Roman" w:eastAsia="宋体" w:cs="Times New Roman"/>
                <w:sz w:val="24"/>
                <w:szCs w:val="24"/>
                <w:lang w:val="en-US" w:eastAsia="zh-CN"/>
              </w:rPr>
              <w:t xml:space="preserve">分</w:t>
            </w:r>
            <w:r>
              <w:rPr>
                <w:rFonts w:hint="default" w:ascii="Times New Roman" w:hAnsi="Times New Roman" w:eastAsia="宋体" w:cs="Times New Roman"/>
                <w:sz w:val="24"/>
                <w:szCs w:val="24"/>
              </w:rPr>
              <w:t xml:space="preserve">。</w:t>
            </w:r>
            <w:r/>
          </w:p>
          <w:p>
            <w:pPr>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无标记为一般技术条款，一般技术条款</w:t>
            </w:r>
            <w:r>
              <w:rPr>
                <w:rFonts w:hint="default" w:ascii="Times New Roman" w:hAnsi="Times New Roman" w:eastAsia="宋体" w:cs="Times New Roman"/>
                <w:sz w:val="24"/>
                <w:szCs w:val="24"/>
                <w:lang w:val="en-US" w:eastAsia="zh-CN"/>
              </w:rPr>
              <w:t xml:space="preserve">不响应的，每条扣</w:t>
            </w:r>
            <w:r>
              <w:rPr>
                <w:rFonts w:hint="default" w:ascii="Times New Roman" w:hAnsi="Times New Roman" w:cs="Times New Roman"/>
                <w:sz w:val="24"/>
                <w:szCs w:val="24"/>
                <w:lang w:val="en-US" w:eastAsia="zh-CN"/>
              </w:rPr>
              <w:t xml:space="preserve">0.8</w:t>
            </w:r>
            <w:r>
              <w:rPr>
                <w:rFonts w:hint="default" w:ascii="Times New Roman" w:hAnsi="Times New Roman" w:eastAsia="宋体" w:cs="Times New Roman"/>
                <w:sz w:val="24"/>
                <w:szCs w:val="24"/>
                <w:lang w:val="en-US" w:eastAsia="zh-CN"/>
              </w:rPr>
              <w:t xml:space="preserve">分</w:t>
            </w:r>
            <w:r>
              <w:rPr>
                <w:rFonts w:hint="default" w:ascii="Times New Roman" w:hAnsi="Times New Roman" w:eastAsia="宋体" w:cs="Times New Roman"/>
                <w:sz w:val="24"/>
                <w:szCs w:val="24"/>
              </w:rPr>
              <w:t xml:space="preserve">。</w:t>
            </w:r>
            <w:r/>
          </w:p>
          <w:p>
            <w:pPr>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6、注：①凡标有最低一级序号的指标项即为一项技术条款，无论是否隶属于上一级编号；</w:t>
            </w:r>
            <w:r/>
          </w:p>
          <w:p>
            <w:pPr>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除特别说明外，采购文件中标注“▲”的条款需要在投标文件内提供技</w:t>
            </w:r>
            <w:r>
              <w:rPr>
                <w:rFonts w:hint="default" w:ascii="Times New Roman" w:hAnsi="Times New Roman" w:eastAsia="宋体" w:cs="Times New Roman"/>
                <w:sz w:val="24"/>
                <w:szCs w:val="24"/>
              </w:rPr>
              <w:t xml:space="preserve">术支持资料（如检测报告、白皮书、设备生产厂家证明原件、彩页、手册等材料。当出现同一投标人提供的证明材料证明内容不一致的情况，将按照以下顺序认定：检测报告、彩页、设备生产厂家证明、手册、白皮书、其他证明材料。对技术支持资料类型要求见具体的技术条款；未明确要求技术支持资料类型的技术条款提供任意一种技术支持资料即可），并在评审索引表中详细标明所在投标文件中的具体页码和位置。如因未在《技术条款偏离表》中注明支持资料具体页码和位置导致本项不得分的，由此产生的后果由供应商自行承担。未提供技术支持资料的，评审时不予采信。</w:t>
            </w:r>
            <w:r/>
          </w:p>
        </w:tc>
        <w:tc>
          <w:tcPr>
            <w:tcW w:w="616" w:type="dxa"/>
            <w:vAlign w:val="center"/>
            <w:textDirection w:val="lrTb"/>
            <w:noWrap w:val="false"/>
          </w:tcPr>
          <w:p>
            <w:pPr>
              <w:jc w:val="center"/>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28</w:t>
            </w:r>
            <w:r/>
          </w:p>
        </w:tc>
      </w:tr>
      <w:tr>
        <w:trPr>
          <w:jc w:val="center"/>
          <w:trHeight w:val="464"/>
        </w:trPr>
        <w:tc>
          <w:tcPr>
            <w:tcW w:w="557" w:type="dxa"/>
            <w:vAlign w:val="center"/>
            <w:textDirection w:val="lrTb"/>
            <w:noWrap w:val="false"/>
          </w:tcPr>
          <w:p>
            <w:pPr>
              <w:jc w:val="center"/>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3</w:t>
            </w:r>
            <w:r/>
          </w:p>
        </w:tc>
        <w:tc>
          <w:tcPr>
            <w:tcW w:w="1637" w:type="dxa"/>
            <w:vAlign w:val="center"/>
            <w:textDirection w:val="lrTb"/>
            <w:noWrap w:val="false"/>
          </w:tcPr>
          <w:p>
            <w:pPr>
              <w:jc w:val="center"/>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样品</w:t>
            </w:r>
            <w:r>
              <w:rPr>
                <w:rFonts w:hint="default" w:ascii="Times New Roman" w:hAnsi="Times New Roman" w:cs="Times New Roman"/>
                <w:sz w:val="24"/>
                <w:szCs w:val="24"/>
                <w:lang w:val="en-US" w:eastAsia="zh-CN"/>
              </w:rPr>
              <w:t xml:space="preserve">演示视频</w:t>
            </w:r>
            <w:r/>
          </w:p>
        </w:tc>
        <w:tc>
          <w:tcPr>
            <w:tcW w:w="6113" w:type="dxa"/>
            <w:vAlign w:val="center"/>
            <w:textDirection w:val="lrTb"/>
            <w:noWrap w:val="false"/>
          </w:tcPr>
          <w:p>
            <w:pPr>
              <w:ind w:left="63" w:firstLine="0"/>
              <w:keepLines w:val="0"/>
              <w:keepNext w:val="0"/>
              <w:pageBreakBefore w:val="0"/>
              <w:spacing w:beforeAutospacing="0" w:afterAutospacing="0" w:line="360" w:lineRule="exact"/>
              <w:widowControl w:val="off"/>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rPr>
              <w:t xml:space="preserve">样品视频演示需包含本包别内所有产品。样品统一采用视频一镜到底演示评审方式（如本包内涉及多个产品，需连续不间断演示），视频演示评审总分10分，无视频、视频无法播放、视频违规、未按要求演示均按规则扣分或计0分。</w:t>
            </w:r>
            <w:r/>
          </w:p>
          <w:p>
            <w:pPr>
              <w:ind w:left="63"/>
              <w:keepLines w:val="0"/>
              <w:keepNext w:val="0"/>
              <w:pageBreakBefore w:val="0"/>
              <w:spacing w:beforeAutospacing="0" w:afterAutospacing="0" w:line="360" w:lineRule="exact"/>
              <w:widowControl w:val="off"/>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一、视频演示通用要求</w:t>
            </w:r>
            <w:r/>
          </w:p>
          <w:p>
            <w:pPr>
              <w:ind w:left="63" w:firstLine="0"/>
              <w:keepLines w:val="0"/>
              <w:keepNext w:val="0"/>
              <w:pageBreakBefore w:val="0"/>
              <w:spacing w:beforeAutospacing="0" w:afterAutospacing="0" w:line="360" w:lineRule="exact"/>
              <w:widowControl w:val="off"/>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为规范评审标准、保障评标公平公正，所有投标人须严格遵守以下视频录制及演示要求，违反任意一条视为演示无效，样品视频演示项得0分：</w:t>
            </w:r>
            <w:r/>
          </w:p>
          <w:p>
            <w:pPr>
              <w:ind w:left="63"/>
              <w:keepLines w:val="0"/>
              <w:keepNext w:val="0"/>
              <w:pageBreakBefore w:val="0"/>
              <w:spacing w:beforeAutospacing="0" w:afterAutospacing="0" w:line="360" w:lineRule="exact"/>
              <w:widowControl w:val="off"/>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1. 录制规范：视频为全程连续、一镜到底、无剪辑、无拼接、无后期特效的真实场景实拍，画面清晰、声音可辨、产品实物完整出镜，严禁人工修改、配音替换、画面删减等违规操作。</w:t>
            </w:r>
            <w:r/>
          </w:p>
          <w:p>
            <w:pPr>
              <w:ind w:left="63"/>
              <w:keepLines w:val="0"/>
              <w:keepNext w:val="0"/>
              <w:pageBreakBefore w:val="0"/>
              <w:spacing w:beforeAutospacing="0" w:afterAutospacing="0" w:line="360" w:lineRule="exact"/>
              <w:widowControl w:val="off"/>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2. 时长要求：视频总时长严格控制在5分钟以内，超时视为无效视频，本项不得分。</w:t>
            </w:r>
            <w:r/>
          </w:p>
          <w:p>
            <w:pPr>
              <w:ind w:left="63"/>
              <w:keepLines w:val="0"/>
              <w:keepNext w:val="0"/>
              <w:pageBreakBefore w:val="0"/>
              <w:spacing w:beforeAutospacing="0" w:afterAutospacing="0" w:line="360" w:lineRule="exact"/>
              <w:widowControl w:val="off"/>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3.演示形式：仅接受实物录制视频演示，不接受动画、PPT轮播、图片合集、线上实时演示等其他任何演示方式。</w:t>
            </w:r>
            <w:r/>
          </w:p>
          <w:p>
            <w:pPr>
              <w:ind w:left="63"/>
              <w:keepLines w:val="0"/>
              <w:keepNext w:val="0"/>
              <w:pageBreakBefore w:val="0"/>
              <w:spacing w:beforeAutospacing="0" w:afterAutospacing="0" w:line="360" w:lineRule="exact"/>
              <w:widowControl w:val="off"/>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4.包别专项要求：多产品组合包须按产品类别依次完整演示包内所有投标产品，不得遗漏任一产品；单一产品包仅需演示对应投标单品，未按本要求完整演示的，视为演示缺项，样品视频演示项得0分。</w:t>
            </w:r>
            <w:r/>
          </w:p>
          <w:p>
            <w:pPr>
              <w:ind w:left="63" w:firstLine="0"/>
              <w:keepLines w:val="0"/>
              <w:keepNext w:val="0"/>
              <w:pageBreakBefore w:val="0"/>
              <w:spacing w:beforeAutospacing="0" w:afterAutospacing="0" w:line="360" w:lineRule="exact"/>
              <w:widowControl w:val="off"/>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5.视频格式与责任归属：视频录制格式</w:t>
            </w:r>
            <w:r>
              <w:rPr>
                <w:rFonts w:hint="default" w:ascii="Times New Roman" w:hAnsi="Times New Roman" w:cs="Times New Roman"/>
                <w:color w:val="000000"/>
                <w:sz w:val="24"/>
                <w:szCs w:val="24"/>
                <w:highlight w:val="none"/>
                <w:lang w:val="en-US" w:eastAsia="zh-CN"/>
              </w:rPr>
              <w:t xml:space="preserve">可</w:t>
            </w:r>
            <w:r>
              <w:rPr>
                <w:rFonts w:hint="default" w:ascii="Times New Roman" w:hAnsi="Times New Roman" w:eastAsia="宋体" w:cs="Times New Roman"/>
                <w:color w:val="000000"/>
                <w:sz w:val="24"/>
                <w:szCs w:val="24"/>
                <w:highlight w:val="none"/>
              </w:rPr>
              <w:t xml:space="preserve">采用MP4、AVI、MOV、</w:t>
            </w:r>
            <w:r>
              <w:rPr>
                <w:rFonts w:hint="default" w:ascii="Times New Roman" w:hAnsi="Times New Roman" w:eastAsia="宋体" w:cs="Times New Roman"/>
                <w:sz w:val="24"/>
                <w:szCs w:val="24"/>
              </w:rPr>
              <w:t xml:space="preserve">MKV</w:t>
            </w: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lang w:val="en-US" w:eastAsia="zh-CN"/>
              </w:rPr>
              <w:t xml:space="preserve">WMV或</w:t>
            </w:r>
            <w:r>
              <w:rPr>
                <w:rFonts w:hint="default" w:ascii="Times New Roman" w:hAnsi="Times New Roman" w:eastAsia="宋体" w:cs="Times New Roman"/>
                <w:color w:val="000000"/>
                <w:sz w:val="24"/>
                <w:szCs w:val="24"/>
                <w:highlight w:val="none"/>
              </w:rPr>
              <w:t xml:space="preserve">AVCHD格式</w:t>
            </w:r>
            <w:r>
              <w:rPr>
                <w:rFonts w:hint="default" w:ascii="Times New Roman" w:hAnsi="Times New Roman" w:cs="Times New Roman"/>
                <w:color w:val="000000"/>
                <w:sz w:val="24"/>
                <w:szCs w:val="24"/>
                <w:highlight w:val="none"/>
                <w:lang w:val="en-US" w:eastAsia="zh-CN"/>
              </w:rPr>
              <w:t xml:space="preserve">中的任意一种，</w:t>
            </w:r>
            <w:r>
              <w:rPr>
                <w:rFonts w:hint="default" w:ascii="Times New Roman" w:hAnsi="Times New Roman" w:eastAsia="宋体" w:cs="Times New Roman"/>
                <w:color w:val="000000"/>
                <w:sz w:val="24"/>
                <w:szCs w:val="24"/>
                <w:highlight w:val="none"/>
              </w:rPr>
              <w:t xml:space="preserve">由投标人自行选择，投标人须提前自检视频完整性、兼容性。凡因投标人自身原因（包括但不限于视频格式不兼容、文件损坏、视频加密、缺失播放插件、文件上传错误等）导致视频无法正常播放、无法识别、无法完整查看的，一律视为未提供有效视频，样品视频演示项得0分，相关责任由投标人自行承担。</w:t>
            </w:r>
            <w:r/>
          </w:p>
          <w:p>
            <w:pPr>
              <w:ind w:left="63"/>
              <w:keepLines w:val="0"/>
              <w:keepNext w:val="0"/>
              <w:pageBreakBefore w:val="0"/>
              <w:spacing w:beforeAutospacing="0" w:afterAutospacing="0" w:line="360" w:lineRule="exact"/>
              <w:widowControl w:val="off"/>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二、视频演示评分标准（总分10分）</w:t>
            </w:r>
            <w:r/>
          </w:p>
          <w:p>
            <w:pPr>
              <w:ind w:left="63" w:firstLine="0"/>
              <w:keepLines w:val="0"/>
              <w:keepNext w:val="0"/>
              <w:pageBreakBefore w:val="0"/>
              <w:spacing w:beforeAutospacing="0" w:afterAutospacing="0" w:line="360" w:lineRule="exact"/>
              <w:widowControl w:val="off"/>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评标委员会根据投标人演示视频内容，从产品整体功能介绍、产品操作展示、产品布局设计三个维度进行综合评审。</w:t>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（一）产品整体功能介绍（3分）</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根据视频中产品特征、功能要素、核心特点的讲解完整性、准确性、</w:t>
            </w:r>
            <w:r>
              <w:rPr>
                <w:rFonts w:hint="eastAsia" w:ascii="宋体" w:hAnsi="宋体" w:cs="宋体"/>
                <w:color w:val="000000"/>
                <w:sz w:val="24"/>
                <w:szCs w:val="24"/>
                <w:highlight w:val="none"/>
                <w:lang w:eastAsia="zh-CN"/>
              </w:rPr>
              <w:t xml:space="preserve">翔实</w:t>
            </w:r>
            <w:r>
              <w:rPr>
                <w:rFonts w:hint="eastAsia" w:ascii="宋体" w:hAnsi="宋体" w:eastAsia="宋体" w:cs="宋体"/>
                <w:color w:val="000000"/>
                <w:sz w:val="24"/>
                <w:szCs w:val="24"/>
                <w:highlight w:val="none"/>
              </w:rPr>
              <w:t xml:space="preserve">度综合打分：</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1.产品特征、功能要素介绍表述清晰、准确、</w:t>
            </w:r>
            <w:r>
              <w:rPr>
                <w:rFonts w:hint="eastAsia" w:ascii="宋体" w:hAnsi="宋体" w:cs="宋体"/>
                <w:color w:val="000000"/>
                <w:sz w:val="24"/>
                <w:szCs w:val="24"/>
                <w:highlight w:val="none"/>
                <w:lang w:eastAsia="zh-CN"/>
              </w:rPr>
              <w:t xml:space="preserve">翔实</w:t>
            </w:r>
            <w:r>
              <w:rPr>
                <w:rFonts w:hint="eastAsia" w:ascii="宋体" w:hAnsi="宋体" w:eastAsia="宋体" w:cs="宋体"/>
                <w:color w:val="000000"/>
                <w:sz w:val="24"/>
                <w:szCs w:val="24"/>
                <w:highlight w:val="none"/>
              </w:rPr>
              <w:t xml:space="preserve">，完整覆盖产品核心功能、核心特点及核心优势，可高效、直观传达产品核心价值，无错误、无遗漏。</w:t>
            </w:r>
            <w:r>
              <w:rPr>
                <w:rFonts w:hint="eastAsia" w:ascii="宋体" w:hAnsi="宋体" w:eastAsia="宋体" w:cs="宋体"/>
                <w:color w:val="000000"/>
                <w:sz w:val="24"/>
                <w:szCs w:val="24"/>
                <w:highlight w:val="none"/>
              </w:rPr>
              <w:t xml:space="preserve">得3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2.产品特征、功能要素表述完整，整体可传达产品核心功能与特点，仅存在少量非核心内容表述不足，不影响评委对产品核心性能的判定。</w:t>
            </w:r>
            <w:r>
              <w:rPr>
                <w:rFonts w:hint="eastAsia" w:ascii="宋体" w:hAnsi="宋体" w:eastAsia="宋体" w:cs="宋体"/>
                <w:color w:val="000000"/>
                <w:sz w:val="24"/>
                <w:szCs w:val="24"/>
                <w:highlight w:val="none"/>
              </w:rPr>
              <w:t xml:space="preserve">得2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.产品功能及特征介绍存在明显缺失，核心要素讲解笼统、不完整，无法有效、全面传达产品核心功能和特点</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未进行任何产品功能介绍、介绍内容存在关键错误，或未提供有效演示视频。</w:t>
            </w:r>
            <w:r>
              <w:rPr>
                <w:rFonts w:hint="eastAsia" w:ascii="宋体" w:hAnsi="宋体" w:eastAsia="宋体" w:cs="宋体"/>
                <w:color w:val="000000"/>
                <w:sz w:val="24"/>
                <w:szCs w:val="24"/>
                <w:highlight w:val="none"/>
              </w:rPr>
              <w:t xml:space="preserve">得0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（二）产品操作展示（4分）</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重点评审产品实操完整性、流畅性、直观性，核心演示内容包含但不限于：设备启动打开、核心功能实操展示、设备关闭停机、产品创新功能（如有）、基础操作流程等，组合包需完整演示包内所有产品全套操作流程：</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1.产品全流程功能操作演示流畅、直观、通俗易懂，完整覆盖全部核心操作环节，全面、清晰展示产品完整功能及标准操作流程，无缺项、无失误。</w:t>
            </w:r>
            <w:r>
              <w:rPr>
                <w:rFonts w:hint="eastAsia" w:ascii="宋体" w:hAnsi="宋体" w:eastAsia="宋体" w:cs="宋体"/>
                <w:color w:val="000000"/>
                <w:sz w:val="24"/>
                <w:szCs w:val="24"/>
                <w:highlight w:val="none"/>
              </w:rPr>
              <w:t xml:space="preserve">得4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2.产品整体操作演示流畅规范，仅存在少量非核心操作环节漏项或细节瑕疵，不影响产品整体功能展示与正常使用。</w:t>
            </w:r>
            <w:r>
              <w:rPr>
                <w:rFonts w:hint="eastAsia" w:ascii="宋体" w:hAnsi="宋体" w:eastAsia="宋体" w:cs="宋体"/>
                <w:color w:val="000000"/>
                <w:sz w:val="24"/>
                <w:szCs w:val="24"/>
                <w:highlight w:val="none"/>
              </w:rPr>
              <w:t xml:space="preserve">得2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3.产品操作演示不连贯、不规范，核心操作存在缺项，无法完整、清晰展示产品具体功能及标准操作流程</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未开展产品实操演示、核心功能无法正常操作展示，或未提供有效演示视频。</w:t>
            </w:r>
            <w:r>
              <w:rPr>
                <w:rFonts w:hint="eastAsia" w:ascii="宋体" w:hAnsi="宋体" w:eastAsia="宋体" w:cs="宋体"/>
                <w:color w:val="000000"/>
                <w:sz w:val="24"/>
                <w:szCs w:val="24"/>
                <w:highlight w:val="none"/>
              </w:rPr>
              <w:t xml:space="preserve">得0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（三）产品布局设计（3分）</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结合实战应用场景，根据产品整体结构布局、实操适配性、使用便捷性、作业效率提升效果综合评审：</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1.产品整体布局设计贴合实战应用场景，结构合理、设计人性化，可有效提升实操效率、优化使用体验，无设计缺陷。</w:t>
            </w:r>
            <w:r>
              <w:rPr>
                <w:rFonts w:hint="eastAsia" w:ascii="宋体" w:hAnsi="宋体" w:eastAsia="宋体" w:cs="宋体"/>
                <w:color w:val="000000"/>
                <w:sz w:val="24"/>
                <w:szCs w:val="24"/>
                <w:highlight w:val="none"/>
              </w:rPr>
              <w:t xml:space="preserve">得3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ind w:left="63"/>
              <w:pageBreakBefore w:val="0"/>
              <w:spacing w:beforeAutospacing="0" w:afterAutospacing="0" w:line="360" w:lineRule="exact"/>
            </w:pPr>
            <w:r>
              <w:rPr>
                <w:rFonts w:hint="eastAsia" w:ascii="宋体" w:hAnsi="宋体" w:eastAsia="宋体" w:cs="宋体"/>
                <w:color w:val="000000"/>
                <w:sz w:val="24"/>
                <w:szCs w:val="24"/>
                <w:highlight w:val="none"/>
              </w:rPr>
              <w:t xml:space="preserve">2.产品布局设计基本贴合实战需求，存在少量非关键性设计瑕疵，不影响产品正常操作使用与实战作业效果。</w:t>
            </w:r>
            <w:r>
              <w:rPr>
                <w:rFonts w:hint="eastAsia" w:ascii="宋体" w:hAnsi="宋体" w:eastAsia="宋体" w:cs="宋体"/>
                <w:color w:val="000000"/>
                <w:sz w:val="24"/>
                <w:szCs w:val="24"/>
                <w:highlight w:val="none"/>
              </w:rPr>
              <w:t xml:space="preserve">得2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ind w:left="63"/>
              <w:keepLines w:val="0"/>
              <w:keepNext w:val="0"/>
              <w:pageBreakBefore w:val="0"/>
              <w:spacing w:beforeAutospacing="0" w:afterAutospacing="0" w:line="360" w:lineRule="exact"/>
              <w:widowControl w:val="off"/>
              <w:rPr>
                <w:rFonts w:hint="default" w:ascii="Times New Roman" w:hAnsi="Times New Roman" w:eastAsia="宋体" w:cs="Times New Roman"/>
                <w:sz w:val="24"/>
                <w:szCs w:val="24"/>
              </w:rPr>
            </w:pPr>
            <w:r>
              <w:rPr>
                <w:rFonts w:hint="eastAsia" w:ascii="宋体" w:hAnsi="宋体" w:eastAsia="宋体" w:cs="宋体"/>
                <w:color w:val="000000"/>
                <w:sz w:val="24"/>
                <w:szCs w:val="24"/>
                <w:highlight w:val="none"/>
              </w:rPr>
              <w:t xml:space="preserve">3.产品布局设计存在明显缺陷，对实操便捷性、作业效率造成负面影响，一定程度影响正常操作使用</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布局设计存在重大缺陷，无法适配实战场景、无法正常使用，或未提供有效演示视频。</w:t>
            </w:r>
            <w:r>
              <w:rPr>
                <w:rFonts w:hint="eastAsia" w:ascii="宋体" w:hAnsi="宋体" w:eastAsia="宋体" w:cs="宋体"/>
                <w:color w:val="000000"/>
                <w:sz w:val="24"/>
                <w:szCs w:val="24"/>
                <w:highlight w:val="none"/>
              </w:rPr>
              <w:t xml:space="preserve">得0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w:t>
            </w:r>
            <w:r>
              <w:rPr>
                <w:rFonts w:hint="default" w:ascii="Times New Roman" w:hAnsi="Times New Roman" w:eastAsia="宋体" w:cs="Times New Roman"/>
                <w:color w:val="000000"/>
                <w:sz w:val="24"/>
                <w:szCs w:val="24"/>
                <w:highlight w:val="none"/>
              </w:rPr>
            </w:r>
            <w:r/>
          </w:p>
        </w:tc>
        <w:tc>
          <w:tcPr>
            <w:tcW w:w="616" w:type="dxa"/>
            <w:vAlign w:val="center"/>
            <w:textDirection w:val="lrTb"/>
            <w:noWrap w:val="false"/>
          </w:tcPr>
          <w:p>
            <w:pPr>
              <w:jc w:val="center"/>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w:t>
            </w:r>
            <w:r>
              <w:rPr>
                <w:rFonts w:hint="default" w:ascii="Times New Roman" w:hAnsi="Times New Roman" w:eastAsia="宋体" w:cs="Times New Roman"/>
                <w:sz w:val="24"/>
                <w:szCs w:val="24"/>
                <w:lang w:val="en-US" w:eastAsia="zh-CN"/>
              </w:rPr>
              <w:t xml:space="preserve">0</w:t>
            </w:r>
            <w:r/>
          </w:p>
        </w:tc>
      </w:tr>
      <w:tr>
        <w:trPr>
          <w:jc w:val="center"/>
        </w:trPr>
        <w:tc>
          <w:tcPr>
            <w:tcW w:w="557" w:type="dxa"/>
            <w:vAlign w:val="center"/>
            <w:textDirection w:val="lrTb"/>
            <w:noWrap w:val="false"/>
          </w:tcPr>
          <w:p>
            <w:pPr>
              <w:jc w:val="center"/>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4.1</w:t>
            </w:r>
            <w:r/>
          </w:p>
        </w:tc>
        <w:tc>
          <w:tcPr>
            <w:tcW w:w="1637" w:type="dxa"/>
            <w:vAlign w:val="center"/>
            <w:vMerge w:val="restart"/>
            <w:textDirection w:val="lrTb"/>
            <w:noWrap w:val="false"/>
          </w:tcPr>
          <w:p>
            <w:pPr>
              <w:jc w:val="center"/>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服务方案</w:t>
            </w:r>
            <w:r/>
          </w:p>
        </w:tc>
        <w:tc>
          <w:tcPr>
            <w:tcW w:w="6113" w:type="dxa"/>
            <w:vAlign w:val="center"/>
            <w:textDirection w:val="lrTb"/>
            <w:noWrap w:val="false"/>
          </w:tcPr>
          <w:p>
            <w:pPr>
              <w:keepLines w:val="0"/>
              <w:keepNext w:val="0"/>
              <w:pageBreakBefore w:val="0"/>
              <w:spacing w:line="36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lang w:val="en-US" w:eastAsia="zh-CN" w:bidi="ar-SA"/>
                <w14:textFill>
                  <w14:solidFill>
                    <w14:schemeClr w14:val="tx1"/>
                  </w14:solidFill>
                </w14:textFill>
              </w:rPr>
              <w:t xml:space="preserve">一、</w:t>
            </w:r>
            <w:r>
              <w:rPr>
                <w:rFonts w:hint="default" w:ascii="Times New Roman" w:hAnsi="Times New Roman" w:eastAsia="宋体" w:cs="Times New Roman"/>
                <w:b/>
                <w:bCs/>
                <w:color w:val="000000" w:themeColor="text1"/>
                <w:sz w:val="24"/>
                <w:szCs w:val="24"/>
                <w:highlight w:val="none"/>
                <w14:textFill>
                  <w14:solidFill>
                    <w14:schemeClr w14:val="tx1"/>
                  </w14:solidFill>
                </w14:textFill>
              </w:rPr>
              <w:t xml:space="preserve">售后服务方案 </w:t>
            </w:r>
            <w:r/>
          </w:p>
          <w:p>
            <w:pPr>
              <w:jc w:val="both"/>
              <w:keepLines w:val="0"/>
              <w:keepNext w:val="0"/>
              <w:pageBreakBefore w:val="0"/>
              <w:spacing w:beforeAutospacing="0" w:afterAutospacing="0" w:line="360" w:lineRule="exact"/>
              <w:widowControl w:val="off"/>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评委根据投标文件对招标文件第四章“</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售后服务方案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”要求的响应情况进行评审</w:t>
            </w: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p>
          <w:p>
            <w:pPr>
              <w:jc w:val="both"/>
              <w:keepLines w:val="0"/>
              <w:keepNext w:val="0"/>
              <w:pageBreakBefore w:val="0"/>
              <w:spacing w:beforeAutospacing="0" w:afterAutospacing="0" w:line="360" w:lineRule="exact"/>
              <w:widowControl w:val="off"/>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1）</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投标文件未符合“</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售后服务方案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”中全部条款要求的，视为不符合招标文件，本项得0分。</w:t>
            </w:r>
            <w:r/>
          </w:p>
          <w:p>
            <w:pPr>
              <w:jc w:val="both"/>
              <w:keepLines w:val="0"/>
              <w:keepNext w:val="0"/>
              <w:pageBreakBefore w:val="0"/>
              <w:spacing w:beforeAutospacing="0" w:afterAutospacing="0" w:line="360" w:lineRule="exact"/>
              <w:widowControl w:val="off"/>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2）投标</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文件符合“</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售后服务方案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”中全部条款要求的，视为符合招标文件，本项得</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2</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分。</w:t>
            </w:r>
            <w:r/>
          </w:p>
          <w:p>
            <w:pPr>
              <w:keepLines w:val="0"/>
              <w:keepNext w:val="0"/>
              <w:pageBreakBefore w:val="0"/>
              <w:spacing w:line="360" w:lineRule="exact"/>
              <w:widowControl w:val="off"/>
              <w:rPr>
                <w:rFonts w:hint="default" w:ascii="Times New Roman" w:hAnsi="Times New Roman" w:eastAsia="宋体" w:cs="Times New Roman"/>
                <w:color w:val="000000"/>
                <w:sz w:val="24"/>
                <w:szCs w:val="24"/>
              </w:rPr>
            </w:pP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（3）经评委认定，投标文件对“售后服务方案”中“售后服务范围”、“售后服务点设置”、“售后服务人员配备”、“拟投入的设施设备及车辆配备”、“售后服务响应时间”、“售后服务承诺”六</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项要求的响应内容全部优于招标文件</w:t>
            </w: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要求的（前提</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是投标文件对</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“售后服务方案”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中除</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“售后服务范围”、“售后服务点设置”、“售后服务人员配备”、“拟投入的设施设备及车辆配备”、“售后服务响应时间”、“售后服务承诺”</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外其他要求响应内容符合</w:t>
            </w: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招标文件要求），本项</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得5分。</w:t>
            </w:r>
            <w:r/>
          </w:p>
        </w:tc>
        <w:tc>
          <w:tcPr>
            <w:tcW w:w="616" w:type="dxa"/>
            <w:vAlign w:val="center"/>
            <w:textDirection w:val="lrTb"/>
            <w:noWrap w:val="false"/>
          </w:tcPr>
          <w:p>
            <w:pPr>
              <w:jc w:val="center"/>
              <w:pageBreakBefore w:val="0"/>
              <w:spacing w:beforeAutospacing="0" w:afterAutospacing="0" w:line="360" w:lineRule="exac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val="en-US" w:eastAsia="zh-CN"/>
              </w:rPr>
              <w:t xml:space="preserve">5</w:t>
            </w:r>
            <w:r/>
          </w:p>
        </w:tc>
      </w:tr>
      <w:tr>
        <w:trPr>
          <w:jc w:val="center"/>
          <w:trHeight w:val="577"/>
        </w:trPr>
        <w:tc>
          <w:tcPr>
            <w:tcW w:w="557" w:type="dxa"/>
            <w:vAlign w:val="center"/>
            <w:textDirection w:val="lrTb"/>
            <w:noWrap w:val="false"/>
          </w:tcPr>
          <w:p>
            <w:pPr>
              <w:jc w:val="center"/>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4.2</w:t>
            </w:r>
            <w:r/>
          </w:p>
        </w:tc>
        <w:tc>
          <w:tcPr>
            <w:tcW w:w="1637" w:type="dxa"/>
            <w:vAlign w:val="center"/>
            <w:vMerge w:val="continue"/>
            <w:textDirection w:val="lrTb"/>
            <w:noWrap w:val="false"/>
          </w:tcPr>
          <w:p>
            <w:pPr>
              <w:jc w:val="center"/>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6113" w:type="dxa"/>
            <w:vAlign w:val="center"/>
            <w:textDirection w:val="lrTb"/>
            <w:noWrap w:val="false"/>
          </w:tcPr>
          <w:p>
            <w:pPr>
              <w:ind w:left="63"/>
              <w:keepLines w:val="0"/>
              <w:keepNext w:val="0"/>
              <w:pageBreakBefore w:val="0"/>
              <w:spacing w:beforeAutospacing="0" w:afterAutospacing="0" w:line="360" w:lineRule="exact"/>
              <w:widowControl w:val="off"/>
              <w:rPr>
                <w:rFonts w:hint="default" w:ascii="Times New Roman" w:hAnsi="Times New Roman" w:eastAsia="宋体" w:cs="Times New Roman"/>
                <w:b/>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14:textFill>
                  <w14:solidFill>
                    <w14:schemeClr w14:val="tx1"/>
                  </w14:solidFill>
                </w14:textFill>
              </w:rPr>
              <w:t xml:space="preserve">二、保修方案 </w:t>
            </w:r>
            <w:r/>
          </w:p>
          <w:p>
            <w:pPr>
              <w:ind w:left="63"/>
              <w:jc w:val="left"/>
              <w:keepLines w:val="0"/>
              <w:keepNext w:val="0"/>
              <w:pageBreakBefore w:val="0"/>
              <w:spacing w:beforeAutospacing="0" w:afterAutospacing="0" w:line="360" w:lineRule="exact"/>
              <w:widowControl w:val="off"/>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评委根据投标文件对招标文件第四章“</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保修方案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”要求的响应情况进行评审</w:t>
            </w: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p>
          <w:p>
            <w:pPr>
              <w:ind w:left="63"/>
              <w:jc w:val="left"/>
              <w:keepLines w:val="0"/>
              <w:keepNext w:val="0"/>
              <w:pageBreakBefore w:val="0"/>
              <w:spacing w:beforeAutospacing="0" w:afterAutospacing="0" w:line="360" w:lineRule="exact"/>
              <w:widowControl w:val="off"/>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1）</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投标文件未符合“</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保修方案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”中全部条款要求的，视为不符合招标文件，本项得0分。</w:t>
            </w:r>
            <w:r/>
          </w:p>
          <w:p>
            <w:pPr>
              <w:ind w:left="63"/>
              <w:jc w:val="left"/>
              <w:keepLines w:val="0"/>
              <w:keepNext w:val="0"/>
              <w:pageBreakBefore w:val="0"/>
              <w:spacing w:beforeAutospacing="0" w:afterAutospacing="0" w:line="360" w:lineRule="exact"/>
              <w:widowControl w:val="off"/>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2）投标</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文件符合“</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保修方案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”中全部条款要求的，视为符合招标文件，本项得</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2</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分。</w:t>
            </w:r>
            <w:r/>
          </w:p>
          <w:p>
            <w:pPr>
              <w:ind w:left="63"/>
              <w:keepLines w:val="0"/>
              <w:keepNext w:val="0"/>
              <w:pageBreakBefore w:val="0"/>
              <w:spacing w:beforeAutospacing="0" w:afterAutospacing="0" w:line="360" w:lineRule="exact"/>
              <w:widowControl w:val="off"/>
              <w:rPr>
                <w:rFonts w:hint="default" w:ascii="Times New Roman" w:hAnsi="Times New Roman" w:eastAsia="宋体" w:cs="Times New Roman"/>
                <w:color w:val="000000"/>
                <w:sz w:val="24"/>
                <w:szCs w:val="24"/>
              </w:rPr>
            </w:pP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（3）经评委认定，投标文件对“保修方案”中“保修范围”、“</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所投产品常见故障及保修措施</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w:t>
            </w:r>
            <w:r>
              <w:rPr>
                <w:rFonts w:hint="default" w:ascii="Times New Roman" w:hAnsi="Times New Roman" w:eastAsia="宋体" w:cs="Times New Roman"/>
                <w:b w:val="0"/>
                <w:bCs w:val="0"/>
                <w:i w:val="0"/>
                <w:iCs w:val="0"/>
                <w:caps w:val="0"/>
                <w:color w:val="000000" w:themeColor="text1"/>
                <w:spacing w:val="0"/>
                <w:sz w:val="24"/>
                <w:szCs w:val="24"/>
                <w:highlight w:val="none"/>
                <w:shd w:val="clear" w:color="auto" w:fill="auto"/>
                <w14:textFill>
                  <w14:solidFill>
                    <w14:schemeClr w14:val="tx1"/>
                  </w14:solidFill>
                </w14:textFill>
              </w:rPr>
              <w:t xml:space="preserve">专项保修团队配置</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”、“维修设施与备件储备”、“应急响应时效及保修履约承诺”五</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项要求的响应内容全部优于招标文件</w:t>
            </w: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要求的（前提</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是投标文件对</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保修</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中除</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“保修范围”、“</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所投产品常见故障及保修措施</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w:t>
            </w:r>
            <w:r>
              <w:rPr>
                <w:rFonts w:hint="default" w:ascii="Times New Roman" w:hAnsi="Times New Roman" w:eastAsia="宋体" w:cs="Times New Roman"/>
                <w:b w:val="0"/>
                <w:bCs w:val="0"/>
                <w:i w:val="0"/>
                <w:iCs w:val="0"/>
                <w:caps w:val="0"/>
                <w:color w:val="000000" w:themeColor="text1"/>
                <w:spacing w:val="0"/>
                <w:sz w:val="24"/>
                <w:szCs w:val="24"/>
                <w:highlight w:val="none"/>
                <w:shd w:val="clear" w:color="auto"/>
                <w14:textFill>
                  <w14:solidFill>
                    <w14:schemeClr w14:val="tx1"/>
                  </w14:solidFill>
                </w14:textFill>
              </w:rPr>
              <w:t xml:space="preserve">专项保修团队配置</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”、“维修设施与备件储备”、“应急响应时效及保修履约承诺”</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外其他要求响应内容符合</w:t>
            </w: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招标文件要求），本项</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得5分。</w:t>
            </w:r>
            <w:r/>
          </w:p>
        </w:tc>
        <w:tc>
          <w:tcPr>
            <w:tcW w:w="616" w:type="dxa"/>
            <w:vAlign w:val="center"/>
            <w:textDirection w:val="lrTb"/>
            <w:noWrap w:val="false"/>
          </w:tcPr>
          <w:p>
            <w:pPr>
              <w:jc w:val="center"/>
              <w:pageBreakBefore w:val="0"/>
              <w:spacing w:beforeAutospacing="0" w:afterAutospacing="0" w:line="360" w:lineRule="exac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val="en-US" w:eastAsia="zh-CN"/>
              </w:rPr>
              <w:t xml:space="preserve">5</w:t>
            </w:r>
            <w:r/>
          </w:p>
        </w:tc>
      </w:tr>
      <w:tr>
        <w:trPr>
          <w:jc w:val="center"/>
          <w:trHeight w:val="3438"/>
        </w:trPr>
        <w:tc>
          <w:tcPr>
            <w:tcW w:w="557" w:type="dxa"/>
            <w:vAlign w:val="center"/>
            <w:textDirection w:val="lrTb"/>
            <w:noWrap w:val="false"/>
          </w:tcPr>
          <w:p>
            <w:pPr>
              <w:jc w:val="center"/>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4.3</w:t>
            </w:r>
            <w:r/>
          </w:p>
        </w:tc>
        <w:tc>
          <w:tcPr>
            <w:tcW w:w="1637" w:type="dxa"/>
            <w:vAlign w:val="center"/>
            <w:vMerge w:val="continue"/>
            <w:textDirection w:val="lrTb"/>
            <w:noWrap w:val="false"/>
          </w:tcPr>
          <w:p>
            <w:pPr>
              <w:jc w:val="center"/>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6113" w:type="dxa"/>
            <w:vAlign w:val="center"/>
            <w:textDirection w:val="lrTb"/>
            <w:noWrap w:val="false"/>
          </w:tcPr>
          <w:p>
            <w:pPr>
              <w:ind w:left="63"/>
              <w:keepLines w:val="0"/>
              <w:keepNext w:val="0"/>
              <w:pageBreakBefore w:val="0"/>
              <w:spacing w:beforeAutospacing="0" w:afterAutospacing="0" w:line="360" w:lineRule="exact"/>
              <w:widowControl w:val="off"/>
              <w:rPr>
                <w:rFonts w:hint="default" w:ascii="Times New Roman" w:hAnsi="Times New Roman" w:eastAsia="宋体" w:cs="Times New Roman"/>
                <w:b/>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14:textFill>
                  <w14:solidFill>
                    <w14:schemeClr w14:val="tx1"/>
                  </w14:solidFill>
                </w14:textFill>
              </w:rPr>
              <w:t xml:space="preserve">三、保修期外维保 </w:t>
            </w:r>
            <w:r/>
          </w:p>
          <w:p>
            <w:pPr>
              <w:ind w:left="63"/>
              <w:jc w:val="left"/>
              <w:keepLines w:val="0"/>
              <w:keepNext w:val="0"/>
              <w:pageBreakBefore w:val="0"/>
              <w:spacing w:beforeAutospacing="0" w:afterAutospacing="0" w:line="360" w:lineRule="exact"/>
              <w:widowControl w:val="off"/>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评委根据投标文件对招标文件第四章“</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保修期外维保</w:t>
            </w: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方案</w:t>
            </w:r>
            <w:r>
              <w:rPr>
                <w:rFonts w:hint="default" w:ascii="Times New Roman" w:hAnsi="Times New Roman" w:cs="Times New Roman"/>
                <w:b w:val="0"/>
                <w:bCs w:val="0"/>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要求的响应情况进行评审</w:t>
            </w: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p>
          <w:p>
            <w:pPr>
              <w:ind w:left="63"/>
              <w:jc w:val="left"/>
              <w:keepLines w:val="0"/>
              <w:keepNext w:val="0"/>
              <w:pageBreakBefore w:val="0"/>
              <w:spacing w:beforeAutospacing="0" w:afterAutospacing="0" w:line="360" w:lineRule="exact"/>
              <w:widowControl w:val="off"/>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1）</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投标文件未符合“</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保修期外维保</w:t>
            </w: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”中全部条款要求的，视为不符合招标文件，本项得0分。</w:t>
            </w:r>
            <w:r/>
          </w:p>
          <w:p>
            <w:pPr>
              <w:ind w:left="63"/>
              <w:jc w:val="left"/>
              <w:keepLines w:val="0"/>
              <w:keepNext w:val="0"/>
              <w:pageBreakBefore w:val="0"/>
              <w:spacing w:beforeAutospacing="0" w:afterAutospacing="0" w:line="360" w:lineRule="exact"/>
              <w:widowControl w:val="off"/>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2）投标</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文件符合“</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保修期外维保</w:t>
            </w: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”中全部条款要求的，视为符合招标文件，本项得</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2</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分。</w:t>
            </w:r>
            <w:r/>
          </w:p>
          <w:p>
            <w:pPr>
              <w:pStyle w:val="720"/>
              <w:ind w:left="0"/>
              <w:keepLines w:val="0"/>
              <w:keepNext w:val="0"/>
              <w:pageBreakBefore w:val="0"/>
              <w:spacing w:line="360" w:lineRule="exact"/>
              <w:widowControl w:val="off"/>
              <w:rPr>
                <w:rFonts w:hint="default" w:ascii="Times New Roman" w:hAnsi="Times New Roman" w:eastAsia="宋体" w:cs="Times New Roman"/>
                <w:color w:val="000000"/>
                <w:sz w:val="24"/>
                <w:szCs w:val="24"/>
              </w:rPr>
            </w:pP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（3）经评委认定，投标文件对“</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保修期外维保</w:t>
            </w: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方案</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”中“保修期外</w:t>
            </w:r>
            <w:r>
              <w:rPr>
                <w:rFonts w:hint="default" w:ascii="Times New Roman" w:hAnsi="Times New Roman" w:eastAsia="宋体" w:cs="Times New Roman"/>
                <w:b w:val="0"/>
                <w:bCs w:val="0"/>
                <w:i w:val="0"/>
                <w:iCs w:val="0"/>
                <w:caps w:val="0"/>
                <w:color w:val="000000" w:themeColor="text1"/>
                <w:spacing w:val="0"/>
                <w:sz w:val="24"/>
                <w:szCs w:val="24"/>
                <w:highlight w:val="none"/>
                <w:shd w:val="clear" w:color="auto" w:fill="auto"/>
                <w14:textFill>
                  <w14:solidFill>
                    <w14:schemeClr w14:val="tx1"/>
                  </w14:solidFill>
                </w14:textFill>
              </w:rPr>
              <w:t xml:space="preserve">维保服务范围与内容</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故障报修响应时效</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w:t>
            </w:r>
            <w:r>
              <w:rPr>
                <w:rFonts w:hint="default" w:ascii="Times New Roman" w:hAnsi="Times New Roman" w:eastAsia="宋体" w:cs="Times New Roman"/>
                <w:b w:val="0"/>
                <w:bCs w:val="0"/>
                <w:i w:val="0"/>
                <w:iCs w:val="0"/>
                <w:caps w:val="0"/>
                <w:color w:val="000000" w:themeColor="text1"/>
                <w:spacing w:val="0"/>
                <w:sz w:val="24"/>
                <w:szCs w:val="24"/>
                <w:highlight w:val="none"/>
                <w:shd w:val="clear" w:color="auto"/>
                <w14:textFill>
                  <w14:solidFill>
                    <w14:schemeClr w14:val="tx1"/>
                  </w14:solidFill>
                </w14:textFill>
              </w:rPr>
              <w:t xml:space="preserve">年度维保费用报价与计费标准</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”、“易损件、零配件、消耗品的供应价格清单”、“长期维保服务承诺及价格锁定保证”五</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项要求的响应内容全部优于招标文件</w:t>
            </w: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要求的（前提</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是投标文件对</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保修期外维保</w:t>
            </w:r>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中除</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“保修期外</w:t>
            </w:r>
            <w:r>
              <w:rPr>
                <w:rFonts w:hint="default" w:ascii="Times New Roman" w:hAnsi="Times New Roman" w:eastAsia="宋体" w:cs="Times New Roman"/>
                <w:b w:val="0"/>
                <w:bCs w:val="0"/>
                <w:i w:val="0"/>
                <w:iCs w:val="0"/>
                <w:caps w:val="0"/>
                <w:color w:val="000000" w:themeColor="text1"/>
                <w:spacing w:val="0"/>
                <w:sz w:val="24"/>
                <w:szCs w:val="24"/>
                <w:highlight w:val="none"/>
                <w:shd w:val="clear" w:color="auto"/>
                <w14:textFill>
                  <w14:solidFill>
                    <w14:schemeClr w14:val="tx1"/>
                  </w14:solidFill>
                </w14:textFill>
              </w:rPr>
              <w:t xml:space="preserve">维保服务范围与内容</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故障报修响应时效</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w:t>
            </w:r>
            <w:r>
              <w:rPr>
                <w:rFonts w:hint="default" w:ascii="Times New Roman" w:hAnsi="Times New Roman" w:eastAsia="宋体" w:cs="Times New Roman"/>
                <w:b w:val="0"/>
                <w:bCs w:val="0"/>
                <w:i w:val="0"/>
                <w:iCs w:val="0"/>
                <w:caps w:val="0"/>
                <w:color w:val="000000" w:themeColor="text1"/>
                <w:spacing w:val="0"/>
                <w:sz w:val="24"/>
                <w:szCs w:val="24"/>
                <w:highlight w:val="none"/>
                <w:shd w:val="clear" w:color="auto"/>
                <w14:textFill>
                  <w14:solidFill>
                    <w14:schemeClr w14:val="tx1"/>
                  </w14:solidFill>
                </w14:textFill>
              </w:rPr>
              <w:t xml:space="preserve">年度维保费用报价与计费标准</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”、“易损件、零配件、消耗品的供应价格清单”、“长期维保服务承诺及价格锁定保证”</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外其他要求响应内容符合</w:t>
            </w: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招标文件要求），本项</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得5分。</w:t>
            </w:r>
            <w:r/>
          </w:p>
        </w:tc>
        <w:tc>
          <w:tcPr>
            <w:tcW w:w="616" w:type="dxa"/>
            <w:vAlign w:val="center"/>
            <w:textDirection w:val="lrTb"/>
            <w:noWrap w:val="false"/>
          </w:tcPr>
          <w:p>
            <w:pPr>
              <w:jc w:val="center"/>
              <w:pageBreakBefore w:val="0"/>
              <w:spacing w:beforeAutospacing="0" w:afterAutospacing="0" w:line="360" w:lineRule="exac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val="en-US" w:eastAsia="zh-CN"/>
              </w:rPr>
              <w:t xml:space="preserve">5</w:t>
            </w:r>
            <w:r/>
          </w:p>
        </w:tc>
      </w:tr>
      <w:tr>
        <w:trPr>
          <w:jc w:val="center"/>
          <w:trHeight w:val="1104"/>
        </w:trPr>
        <w:tc>
          <w:tcPr>
            <w:tcW w:w="557" w:type="dxa"/>
            <w:vAlign w:val="center"/>
            <w:textDirection w:val="lrTb"/>
            <w:noWrap w:val="false"/>
          </w:tcPr>
          <w:p>
            <w:pPr>
              <w:jc w:val="center"/>
              <w:pageBreakBefore w:val="0"/>
              <w:spacing w:beforeAutospacing="0" w:afterAutospacing="0" w:line="360" w:lineRule="exact"/>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4.4</w:t>
            </w:r>
            <w:r/>
          </w:p>
        </w:tc>
        <w:tc>
          <w:tcPr>
            <w:tcW w:w="1637" w:type="dxa"/>
            <w:vAlign w:val="center"/>
            <w:vMerge w:val="continue"/>
            <w:textDirection w:val="lrTb"/>
            <w:noWrap w:val="false"/>
          </w:tcPr>
          <w:p>
            <w:pPr>
              <w:jc w:val="center"/>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6113" w:type="dxa"/>
            <w:vAlign w:val="center"/>
            <w:textDirection w:val="lrTb"/>
            <w:noWrap w:val="false"/>
          </w:tcPr>
          <w:p>
            <w:pPr>
              <w:numPr>
                <w:ilvl w:val="0"/>
                <w:numId w:val="0"/>
              </w:numPr>
              <w:ind w:left="63"/>
              <w:keepLines w:val="0"/>
              <w:keepNext w:val="0"/>
              <w:pageBreakBefore w:val="0"/>
              <w:spacing w:beforeAutospacing="0" w:afterAutospacing="0" w:line="360" w:lineRule="exact"/>
              <w:widowControl w:val="off"/>
              <w:rPr>
                <w:rFonts w:hint="default" w:ascii="Times New Roman" w:hAnsi="Times New Roman" w:eastAsia="宋体" w:cs="Times New Roman"/>
                <w:b/>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lang w:val="en-US" w:eastAsia="zh-CN" w:bidi="ar-SA"/>
                <w14:textFill>
                  <w14:solidFill>
                    <w14:schemeClr w14:val="tx1"/>
                  </w14:solidFill>
                </w14:textFill>
              </w:rPr>
              <w:t xml:space="preserve">四、</w:t>
            </w:r>
            <w:r>
              <w:rPr>
                <w:rFonts w:hint="default" w:ascii="Times New Roman" w:hAnsi="Times New Roman" w:eastAsia="宋体" w:cs="Times New Roman"/>
                <w:b/>
                <w:bCs/>
                <w:color w:val="000000" w:themeColor="text1"/>
                <w:sz w:val="24"/>
                <w:szCs w:val="24"/>
                <w:highlight w:val="none"/>
                <w14:textFill>
                  <w14:solidFill>
                    <w14:schemeClr w14:val="tx1"/>
                  </w14:solidFill>
                </w14:textFill>
              </w:rPr>
              <w:t xml:space="preserve">技术培训方案</w:t>
            </w:r>
            <w:r/>
          </w:p>
          <w:p>
            <w:pPr>
              <w:ind w:left="63"/>
              <w:jc w:val="left"/>
              <w:keepLines w:val="0"/>
              <w:keepNext w:val="0"/>
              <w:pageBreakBefore w:val="0"/>
              <w:spacing w:beforeAutospacing="0" w:afterAutospacing="0" w:line="360" w:lineRule="exact"/>
              <w:widowControl w:val="off"/>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评委根据投标文件对招标文件第四章“</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技术培训方案</w:t>
            </w:r>
            <w:r>
              <w:rPr>
                <w:rFonts w:hint="default" w:ascii="Times New Roman" w:hAnsi="Times New Roman" w:cs="Times New Roman"/>
                <w:b w:val="0"/>
                <w:bCs w:val="0"/>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要求的响应情况进行评审</w:t>
            </w: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p>
          <w:p>
            <w:pPr>
              <w:ind w:left="63"/>
              <w:jc w:val="left"/>
              <w:keepLines w:val="0"/>
              <w:keepNext w:val="0"/>
              <w:pageBreakBefore w:val="0"/>
              <w:spacing w:beforeAutospacing="0" w:afterAutospacing="0" w:line="360" w:lineRule="exact"/>
              <w:widowControl w:val="off"/>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1）</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投标文件未符合“</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技术培训方案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”中全部条款要求的，视为不符合招标文件，本项得0分。</w:t>
            </w:r>
            <w:r/>
          </w:p>
          <w:p>
            <w:pPr>
              <w:ind w:left="63"/>
              <w:jc w:val="left"/>
              <w:keepLines w:val="0"/>
              <w:keepNext w:val="0"/>
              <w:pageBreakBefore w:val="0"/>
              <w:spacing w:beforeAutospacing="0" w:afterAutospacing="0" w:line="360" w:lineRule="exact"/>
              <w:widowControl w:val="off"/>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2）投标</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文件符合“</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技术培训方案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”中全部条款要求的，视为符合招标文件，本项得</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1</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分。</w:t>
            </w:r>
            <w:r/>
          </w:p>
          <w:p>
            <w:pPr>
              <w:pStyle w:val="720"/>
              <w:ind w:left="0"/>
              <w:keepLines w:val="0"/>
              <w:keepNext w:val="0"/>
              <w:pageBreakBefore w:val="0"/>
              <w:spacing w:line="360" w:lineRule="exact"/>
              <w:widowControl w:val="off"/>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（3）经评委认定，投标文件对“</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技术培训方案</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”中“培训内容与课程体系”、“培训方式与方法”、“培训计划时间”、“培训对象”、“培训师资配备与团队”五</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项要求的响应内容全部优于招标文件</w:t>
            </w: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要求的（前提</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是投标文件对</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技术</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培训</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中除</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“培训内容与课程体系”、“培训方式与方法”、“培训计划时间”、“培训对象”、“培训师资配备与团队”</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外其他要求响应内容符合</w:t>
            </w: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招标文件要求），本项</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得</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3</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分。</w:t>
            </w:r>
            <w:r/>
          </w:p>
        </w:tc>
        <w:tc>
          <w:tcPr>
            <w:tcW w:w="616" w:type="dxa"/>
            <w:vAlign w:val="center"/>
            <w:textDirection w:val="lrTb"/>
            <w:noWrap w:val="false"/>
          </w:tcPr>
          <w:p>
            <w:pPr>
              <w:jc w:val="center"/>
              <w:pageBreakBefore w:val="0"/>
              <w:spacing w:beforeAutospacing="0" w:afterAutospacing="0" w:line="360" w:lineRule="exact"/>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 xml:space="preserve">3</w:t>
            </w:r>
            <w:r/>
          </w:p>
        </w:tc>
      </w:tr>
      <w:tr>
        <w:trPr>
          <w:jc w:val="center"/>
          <w:trHeight w:val="3438"/>
        </w:trPr>
        <w:tc>
          <w:tcPr>
            <w:tcW w:w="557" w:type="dxa"/>
            <w:vAlign w:val="center"/>
            <w:textDirection w:val="lrTb"/>
            <w:noWrap w:val="false"/>
          </w:tcPr>
          <w:p>
            <w:pPr>
              <w:jc w:val="center"/>
              <w:pageBreakBefore w:val="0"/>
              <w:spacing w:beforeAutospacing="0" w:afterAutospacing="0" w:line="360" w:lineRule="exact"/>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4.5</w:t>
            </w:r>
            <w:r/>
          </w:p>
        </w:tc>
        <w:tc>
          <w:tcPr>
            <w:tcW w:w="1637" w:type="dxa"/>
            <w:vAlign w:val="center"/>
            <w:vMerge w:val="continue"/>
            <w:textDirection w:val="lrTb"/>
            <w:noWrap w:val="false"/>
          </w:tcPr>
          <w:p>
            <w:pPr>
              <w:jc w:val="center"/>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6113" w:type="dxa"/>
            <w:vAlign w:val="center"/>
            <w:textDirection w:val="lrTb"/>
            <w:noWrap w:val="false"/>
          </w:tcPr>
          <w:p>
            <w:pPr>
              <w:numPr>
                <w:ilvl w:val="0"/>
                <w:numId w:val="0"/>
              </w:numPr>
              <w:ind w:left="0"/>
              <w:keepLines w:val="0"/>
              <w:keepNext w:val="0"/>
              <w:pageBreakBefore w:val="0"/>
              <w:spacing w:beforeAutospacing="0" w:afterAutospacing="0" w:line="360" w:lineRule="exact"/>
              <w:widowControl w:val="off"/>
              <w:rPr>
                <w:rFonts w:hint="default" w:ascii="Times New Roman" w:hAnsi="Times New Roman" w:eastAsia="宋体" w:cs="Times New Roman"/>
                <w:b/>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14:textFill>
                  <w14:solidFill>
                    <w14:schemeClr w14:val="tx1"/>
                  </w14:solidFill>
                </w14:textFill>
              </w:rPr>
              <w:t xml:space="preserve">五、供货方案</w:t>
            </w:r>
            <w:r/>
          </w:p>
          <w:p>
            <w:pPr>
              <w:ind w:left="63"/>
              <w:jc w:val="left"/>
              <w:keepLines w:val="0"/>
              <w:keepNext w:val="0"/>
              <w:pageBreakBefore w:val="0"/>
              <w:spacing w:beforeAutospacing="0" w:afterAutospacing="0" w:line="360" w:lineRule="exact"/>
              <w:widowControl w:val="off"/>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评委根据投标文件对招标文件第四章“</w:t>
            </w: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服务方案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供货方案</w:t>
            </w:r>
            <w:r>
              <w:rPr>
                <w:rFonts w:hint="default" w:ascii="Times New Roman" w:hAnsi="Times New Roman" w:cs="Times New Roman"/>
                <w:b w:val="0"/>
                <w:bCs w:val="0"/>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要求的响应情况进行评审</w:t>
            </w: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p>
          <w:p>
            <w:pPr>
              <w:ind w:left="63"/>
              <w:jc w:val="left"/>
              <w:keepLines w:val="0"/>
              <w:keepNext w:val="0"/>
              <w:pageBreakBefore w:val="0"/>
              <w:spacing w:beforeAutospacing="0" w:afterAutospacing="0" w:line="360" w:lineRule="exact"/>
              <w:widowControl w:val="off"/>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1）</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投标文件未符合“</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供货方案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”中全部条款要求的，视为不符合招标文件，本项得0分。</w:t>
            </w:r>
            <w:r/>
          </w:p>
          <w:p>
            <w:pPr>
              <w:ind w:left="63"/>
              <w:jc w:val="left"/>
              <w:keepLines w:val="0"/>
              <w:keepNext w:val="0"/>
              <w:pageBreakBefore w:val="0"/>
              <w:spacing w:beforeAutospacing="0" w:afterAutospacing="0" w:line="360" w:lineRule="exact"/>
              <w:widowControl w:val="off"/>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2）投标</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文件符合“</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供货方案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”中全部条款要求的，视为符合招标文件，本项得</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2</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分。</w:t>
            </w:r>
            <w:r/>
          </w:p>
          <w:p>
            <w:pPr>
              <w:pStyle w:val="720"/>
              <w:ind w:left="0"/>
              <w:keepLines w:val="0"/>
              <w:keepNext w:val="0"/>
              <w:pageBreakBefore w:val="0"/>
              <w:spacing w:line="360" w:lineRule="exact"/>
              <w:widowControl w:val="off"/>
              <w:rPr>
                <w:rFonts w:hint="default" w:ascii="Times New Roman" w:hAnsi="Times New Roman" w:eastAsia="宋体" w:cs="Times New Roman"/>
                <w:color w:val="000000"/>
                <w:sz w:val="24"/>
                <w:szCs w:val="24"/>
                <w:highlight w:val="none"/>
              </w:rPr>
            </w:pP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（3）经评委认定，投标文件对“</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供货方案</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”中“供货计划与生产、备货周期”、“产品配送与物流保障”、“安装调试流程与技术标准”、“进度管控与风险预案”、“验收交付与资料移交”五</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项要求的响应内容全部优于招标文件</w:t>
            </w: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要求的（前提</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是投标文件对</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供货</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方案”</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中除</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“供货计划与生产、备货周期”、“产品配送与物流保障”、“安装调试流程与技术标准”、“进度管控与风险预案”、“验收交付与资料移交”</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外其他要求响应内容符合招标文件要求</w:t>
            </w: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，本项得5分。</w:t>
            </w:r>
            <w:r/>
          </w:p>
        </w:tc>
        <w:tc>
          <w:tcPr>
            <w:tcW w:w="616" w:type="dxa"/>
            <w:vAlign w:val="center"/>
            <w:textDirection w:val="lrTb"/>
            <w:noWrap w:val="false"/>
          </w:tcPr>
          <w:p>
            <w:pPr>
              <w:jc w:val="center"/>
              <w:pageBreakBefore w:val="0"/>
              <w:spacing w:beforeAutospacing="0" w:afterAutospacing="0" w:line="360" w:lineRule="exact"/>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 xml:space="preserve">5</w:t>
            </w:r>
            <w:r/>
          </w:p>
        </w:tc>
      </w:tr>
      <w:tr>
        <w:trPr>
          <w:jc w:val="center"/>
          <w:trHeight w:val="398"/>
        </w:trPr>
        <w:tc>
          <w:tcPr>
            <w:tcW w:w="557" w:type="dxa"/>
            <w:vAlign w:val="center"/>
            <w:textDirection w:val="lrTb"/>
            <w:noWrap w:val="false"/>
          </w:tcPr>
          <w:p>
            <w:pPr>
              <w:jc w:val="center"/>
              <w:pageBreakBefore w:val="0"/>
              <w:spacing w:beforeAutospacing="0" w:afterAutospacing="0" w:line="360" w:lineRule="exact"/>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lang w:val="en-US" w:eastAsia="zh-CN"/>
              </w:rPr>
              <w:t xml:space="preserve">4.6</w:t>
            </w:r>
            <w:r/>
          </w:p>
        </w:tc>
        <w:tc>
          <w:tcPr>
            <w:tcW w:w="1637" w:type="dxa"/>
            <w:vAlign w:val="center"/>
            <w:vMerge w:val="continue"/>
            <w:textDirection w:val="lrTb"/>
            <w:noWrap w:val="false"/>
          </w:tcPr>
          <w:p>
            <w:pPr>
              <w:jc w:val="center"/>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6113" w:type="dxa"/>
            <w:vAlign w:val="center"/>
            <w:textDirection w:val="lrTb"/>
            <w:noWrap w:val="false"/>
          </w:tcPr>
          <w:p>
            <w:pPr>
              <w:ind w:left="0"/>
              <w:keepLines w:val="0"/>
              <w:keepNext w:val="0"/>
              <w:pageBreakBefore w:val="0"/>
              <w:spacing w:beforeAutospacing="0" w:afterAutospacing="0" w:line="36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14:textFill>
                  <w14:solidFill>
                    <w14:schemeClr w14:val="tx1"/>
                  </w14:solidFill>
                </w14:textFill>
              </w:rPr>
              <w:t xml:space="preserve">六、应急措施</w:t>
            </w:r>
            <w:r/>
          </w:p>
          <w:p>
            <w:pPr>
              <w:ind w:left="63"/>
              <w:jc w:val="left"/>
              <w:keepLines w:val="0"/>
              <w:keepNext w:val="0"/>
              <w:pageBreakBefore w:val="0"/>
              <w:spacing w:beforeAutospacing="0" w:afterAutospacing="0" w:line="360" w:lineRule="exact"/>
              <w:widowControl w:val="off"/>
              <w:rPr>
                <w:rFonts w:hint="default" w:ascii="Times New Roman" w:hAnsi="Times New Roman" w:eastAsia="宋体" w:cs="Times New Roman"/>
                <w:b w:val="0"/>
                <w:bCs w:val="0"/>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评委根据投标文件对</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招标文件第四章“</w:t>
            </w: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服务方案</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”中“应急措施</w:t>
            </w:r>
            <w:r>
              <w:rPr>
                <w:rFonts w:hint="default" w:ascii="Times New Roman" w:hAnsi="Times New Roman" w:cs="Times New Roman"/>
                <w:b w:val="0"/>
                <w:bCs w:val="0"/>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要求的响应情况进行评审</w:t>
            </w:r>
            <w:r>
              <w:rPr>
                <w:rFonts w:hint="default" w:ascii="Times New Roman" w:hAnsi="Times New Roman" w:cs="Times New Roman"/>
                <w:b w:val="0"/>
                <w:bCs w:val="0"/>
                <w:color w:val="000000" w:themeColor="text1"/>
                <w:sz w:val="24"/>
                <w:szCs w:val="24"/>
                <w:highlight w:val="none"/>
                <w:lang w:eastAsia="zh-CN"/>
                <w14:textFill>
                  <w14:solidFill>
                    <w14:schemeClr w14:val="tx1"/>
                  </w14:solidFill>
                </w14:textFill>
              </w:rPr>
              <w:t xml:space="preserve">。</w:t>
            </w:r>
            <w:r/>
          </w:p>
          <w:p>
            <w:pPr>
              <w:ind w:left="63"/>
              <w:jc w:val="left"/>
              <w:keepLines w:val="0"/>
              <w:keepNext w:val="0"/>
              <w:pageBreakBefore w:val="0"/>
              <w:spacing w:beforeAutospacing="0" w:afterAutospacing="0" w:line="360" w:lineRule="exact"/>
              <w:widowControl w:val="off"/>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pPr>
            <w:r>
              <w:rPr>
                <w:rFonts w:hint="default" w:ascii="Times New Roman" w:hAnsi="Times New Roman" w:cs="Times New Roman"/>
                <w:b w:val="0"/>
                <w:bCs w:val="0"/>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1）</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投标文件未符合“应急措施”中全部条款要求的，视为不符合招标文件，本项得0分。</w:t>
            </w:r>
            <w:r/>
          </w:p>
          <w:p>
            <w:pPr>
              <w:ind w:left="63"/>
              <w:jc w:val="left"/>
              <w:keepLines w:val="0"/>
              <w:keepNext w:val="0"/>
              <w:pageBreakBefore w:val="0"/>
              <w:spacing w:beforeAutospacing="0" w:afterAutospacing="0" w:line="360" w:lineRule="exact"/>
              <w:widowControl w:val="off"/>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pPr>
            <w:r>
              <w:rPr>
                <w:rFonts w:hint="default" w:ascii="Times New Roman" w:hAnsi="Times New Roman" w:cs="Times New Roman"/>
                <w:b w:val="0"/>
                <w:bCs w:val="0"/>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2）投标</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文件符合“应急措施”中全部条款要求的，视为符合招标文件，本项得</w:t>
            </w: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1</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分。</w:t>
            </w:r>
            <w:r/>
          </w:p>
          <w:p>
            <w:pPr>
              <w:pStyle w:val="720"/>
              <w:ind w:left="0"/>
              <w:keepLines w:val="0"/>
              <w:keepNext w:val="0"/>
              <w:pageBreakBefore w:val="0"/>
              <w:spacing w:line="360" w:lineRule="exact"/>
              <w:widowControl w:val="off"/>
              <w:rPr>
                <w:rFonts w:hint="default" w:ascii="Times New Roman" w:hAnsi="Times New Roman" w:eastAsia="宋体" w:cs="Times New Roman"/>
                <w:sz w:val="24"/>
                <w:szCs w:val="24"/>
              </w:rPr>
            </w:pP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（3）经评委认定，投标文件对“</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应急措施</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”中“应急组织体系与预防预警机制”、“应急</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响应分级与处置流程”、“应急技术支撑与抢修方案”、“应急物资与备件储备”、“</w:t>
            </w:r>
            <w:r>
              <w:rPr>
                <w:rFonts w:hint="default" w:ascii="Times New Roman" w:hAnsi="Times New Roman" w:eastAsia="宋体" w:cs="Times New Roman"/>
                <w:b w:val="0"/>
                <w:bCs w:val="0"/>
                <w:i w:val="0"/>
                <w:iCs w:val="0"/>
                <w:caps w:val="0"/>
                <w:color w:val="000000" w:themeColor="text1"/>
                <w:spacing w:val="0"/>
                <w:sz w:val="24"/>
                <w:szCs w:val="24"/>
                <w:highlight w:val="none"/>
                <w:shd w:val="clear" w:color="auto" w:fill="auto"/>
                <w14:textFill>
                  <w14:solidFill>
                    <w14:schemeClr w14:val="tx1"/>
                  </w14:solidFill>
                </w14:textFill>
              </w:rPr>
              <w:t xml:space="preserve">应急保障人员配备与值守制度</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”五</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项要求的响应内容全部优于招标文件要求的</w:t>
            </w: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前提是投标文件对</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“应急组织体系与预防预警机制”、“应急响应分级与处置流程”、“应急技术支撑与抢修方案”、“应急物资与备件储备”、“</w:t>
            </w:r>
            <w:r>
              <w:rPr>
                <w:rFonts w:hint="default" w:ascii="Times New Roman" w:hAnsi="Times New Roman" w:eastAsia="宋体" w:cs="Times New Roman"/>
                <w:b w:val="0"/>
                <w:bCs w:val="0"/>
                <w:i w:val="0"/>
                <w:iCs w:val="0"/>
                <w:caps w:val="0"/>
                <w:color w:val="000000" w:themeColor="text1"/>
                <w:spacing w:val="0"/>
                <w:sz w:val="24"/>
                <w:szCs w:val="24"/>
                <w:highlight w:val="none"/>
                <w:shd w:val="clear" w:color="auto"/>
                <w14:textFill>
                  <w14:solidFill>
                    <w14:schemeClr w14:val="tx1"/>
                  </w14:solidFill>
                </w14:textFill>
              </w:rPr>
              <w:t xml:space="preserve">应急保障人员配备与值守制度</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外其他要求响应内容符合招标文件要求</w:t>
            </w:r>
            <w:r>
              <w:rPr>
                <w:rFonts w:hint="default"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，本项得</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3</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分。</w:t>
            </w:r>
            <w:r/>
          </w:p>
        </w:tc>
        <w:tc>
          <w:tcPr>
            <w:tcW w:w="616" w:type="dxa"/>
            <w:vAlign w:val="center"/>
            <w:textDirection w:val="lrTb"/>
            <w:noWrap w:val="false"/>
          </w:tcPr>
          <w:p>
            <w:pPr>
              <w:jc w:val="center"/>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color w:val="000000"/>
                <w:sz w:val="24"/>
                <w:szCs w:val="24"/>
                <w:lang w:val="en-US" w:eastAsia="zh-CN"/>
              </w:rPr>
              <w:t xml:space="preserve">3</w:t>
            </w:r>
            <w:r/>
          </w:p>
        </w:tc>
      </w:tr>
      <w:tr>
        <w:trPr>
          <w:jc w:val="center"/>
          <w:trHeight w:val="376"/>
        </w:trPr>
        <w:tc>
          <w:tcPr>
            <w:tcW w:w="557" w:type="dxa"/>
            <w:vAlign w:val="center"/>
            <w:textDirection w:val="lrTb"/>
            <w:noWrap w:val="false"/>
          </w:tcPr>
          <w:p>
            <w:pPr>
              <w:jc w:val="center"/>
              <w:pageBreakBefore w:val="0"/>
              <w:spacing w:beforeAutospacing="0" w:afterAutospacing="0" w:line="360" w:lineRule="exact"/>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 xml:space="preserve">4.</w:t>
            </w:r>
            <w:r>
              <w:rPr>
                <w:rFonts w:hint="default" w:ascii="Times New Roman" w:hAnsi="Times New Roman" w:cs="Times New Roman"/>
                <w:sz w:val="24"/>
                <w:szCs w:val="24"/>
                <w:lang w:val="en-US" w:eastAsia="zh-CN"/>
              </w:rPr>
              <w:t xml:space="preserve">7</w:t>
            </w:r>
            <w:r/>
          </w:p>
        </w:tc>
        <w:tc>
          <w:tcPr>
            <w:tcW w:w="1637" w:type="dxa"/>
            <w:vAlign w:val="center"/>
            <w:vMerge w:val="continue"/>
            <w:textDirection w:val="lrTb"/>
            <w:noWrap w:val="false"/>
          </w:tcPr>
          <w:p>
            <w:pPr>
              <w:jc w:val="center"/>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6113" w:type="dxa"/>
            <w:vAlign w:val="center"/>
            <w:textDirection w:val="lrTb"/>
            <w:noWrap w:val="false"/>
          </w:tcPr>
          <w:p>
            <w:pPr>
              <w:ind w:left="63"/>
              <w:pageBreakBefore w:val="0"/>
              <w:spacing w:beforeAutospacing="0" w:afterAutospacing="0" w:line="360" w:lineRule="exact"/>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lang w:val="en-US" w:eastAsia="zh-CN"/>
              </w:rPr>
              <w:t xml:space="preserve">七</w:t>
            </w:r>
            <w:r>
              <w:rPr>
                <w:rFonts w:hint="default" w:ascii="Times New Roman" w:hAnsi="Times New Roman" w:eastAsia="宋体" w:cs="Times New Roman"/>
                <w:b/>
                <w:bCs/>
                <w:sz w:val="24"/>
                <w:szCs w:val="24"/>
              </w:rPr>
              <w:t xml:space="preserve">、质保期 </w:t>
            </w:r>
            <w:r/>
          </w:p>
          <w:p>
            <w:pPr>
              <w:ind w:left="63"/>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根据投标人针对本项目供货产品的质保期进行综合比较后评分：</w:t>
            </w:r>
            <w:r/>
          </w:p>
          <w:p>
            <w:pPr>
              <w:ind w:left="63"/>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投标人所投产品质保期响应招标文</w:t>
            </w:r>
            <w:r>
              <w:rPr>
                <w:rFonts w:hint="default" w:ascii="Times New Roman" w:hAnsi="Times New Roman" w:eastAsia="宋体" w:cs="Times New Roman"/>
                <w:sz w:val="24"/>
                <w:szCs w:val="24"/>
                <w:highlight w:val="none"/>
              </w:rPr>
              <w:t xml:space="preserve">件最低要求基础上（三年），每增加一年加0.5分，最高得1分。未提供者不得分。（投标文件需提供加盖投标人公章的质保期承诺书</w:t>
            </w:r>
            <w:r>
              <w:rPr>
                <w:rFonts w:hint="default" w:ascii="Times New Roman" w:hAnsi="Times New Roman" w:eastAsia="宋体" w:cs="Times New Roman"/>
                <w:sz w:val="24"/>
                <w:szCs w:val="24"/>
                <w:highlight w:val="none"/>
                <w:lang w:eastAsia="zh-CN"/>
              </w:rPr>
              <w:t xml:space="preserve">，</w:t>
            </w:r>
            <w:r>
              <w:rPr>
                <w:rFonts w:hint="default" w:ascii="Times New Roman" w:hAnsi="Times New Roman" w:eastAsia="宋体" w:cs="Times New Roman"/>
                <w:sz w:val="24"/>
                <w:szCs w:val="24"/>
                <w:highlight w:val="none"/>
                <w:lang w:val="en-US" w:eastAsia="zh-CN"/>
              </w:rPr>
              <w:t xml:space="preserve">前后不一致以承诺书为准</w:t>
            </w:r>
            <w:r>
              <w:rPr>
                <w:rFonts w:hint="default" w:ascii="Times New Roman" w:hAnsi="Times New Roman" w:eastAsia="宋体" w:cs="Times New Roman"/>
                <w:sz w:val="24"/>
                <w:szCs w:val="24"/>
                <w:highlight w:val="none"/>
              </w:rPr>
              <w:t xml:space="preserve">）。</w:t>
            </w:r>
            <w:r/>
          </w:p>
        </w:tc>
        <w:tc>
          <w:tcPr>
            <w:tcW w:w="616" w:type="dxa"/>
            <w:vAlign w:val="center"/>
            <w:textDirection w:val="lrTb"/>
            <w:noWrap w:val="false"/>
          </w:tcPr>
          <w:p>
            <w:pPr>
              <w:jc w:val="center"/>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w:t>
            </w:r>
            <w:r/>
          </w:p>
        </w:tc>
      </w:tr>
      <w:tr>
        <w:trPr>
          <w:jc w:val="center"/>
        </w:trPr>
        <w:tc>
          <w:tcPr>
            <w:tcW w:w="557" w:type="dxa"/>
            <w:vAlign w:val="center"/>
            <w:textDirection w:val="lrTb"/>
            <w:noWrap w:val="false"/>
          </w:tcPr>
          <w:p>
            <w:pPr>
              <w:jc w:val="center"/>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w:t>
            </w:r>
            <w:r/>
          </w:p>
        </w:tc>
        <w:tc>
          <w:tcPr>
            <w:tcW w:w="1637" w:type="dxa"/>
            <w:vAlign w:val="center"/>
            <w:textDirection w:val="lrTb"/>
            <w:noWrap w:val="false"/>
          </w:tcPr>
          <w:p>
            <w:pPr>
              <w:jc w:val="center"/>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业绩</w:t>
            </w:r>
            <w:r/>
          </w:p>
        </w:tc>
        <w:tc>
          <w:tcPr>
            <w:tcW w:w="6113" w:type="dxa"/>
            <w:vAlign w:val="center"/>
            <w:textDirection w:val="lrTb"/>
            <w:noWrap w:val="false"/>
          </w:tcPr>
          <w:p>
            <w:pPr>
              <w:keepLines w:val="0"/>
              <w:keepNext w:val="0"/>
              <w:pageBreakBefore w:val="0"/>
              <w:spacing w:beforeAutospacing="0" w:afterAutospacing="0"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所投产品的投标人或产品制造商（必须与投标文件中产品型号一致）</w:t>
            </w:r>
            <w:r>
              <w:rPr>
                <w:rFonts w:hint="default" w:ascii="Times New Roman" w:hAnsi="Times New Roman" w:eastAsia="宋体" w:cs="Times New Roman"/>
                <w:sz w:val="24"/>
                <w:szCs w:val="24"/>
                <w:lang w:val="en-US" w:eastAsia="zh-CN"/>
              </w:rPr>
              <w:t xml:space="preserve">2021年</w:t>
            </w:r>
            <w:r>
              <w:rPr>
                <w:rFonts w:hint="default" w:ascii="Times New Roman" w:hAnsi="Times New Roman" w:cs="Times New Roman"/>
                <w:sz w:val="24"/>
                <w:szCs w:val="24"/>
                <w:lang w:val="en-US" w:eastAsia="zh-CN"/>
              </w:rPr>
              <w:t xml:space="preserve">6</w:t>
            </w:r>
            <w:r>
              <w:rPr>
                <w:rFonts w:hint="default" w:ascii="Times New Roman" w:hAnsi="Times New Roman" w:eastAsia="宋体" w:cs="Times New Roman"/>
                <w:sz w:val="24"/>
                <w:szCs w:val="24"/>
                <w:lang w:val="en-US" w:eastAsia="zh-CN"/>
              </w:rPr>
              <w:t xml:space="preserve">月1日</w:t>
            </w:r>
            <w:r>
              <w:rPr>
                <w:rFonts w:hint="default" w:ascii="Times New Roman" w:hAnsi="Times New Roman" w:eastAsia="宋体" w:cs="Times New Roman"/>
                <w:sz w:val="24"/>
                <w:szCs w:val="24"/>
              </w:rPr>
              <w:t xml:space="preserve">以来有销售业绩的（非单一产品包为核心产品）。每提供一份有效业绩证明材料得1分，最多得5分。</w:t>
            </w:r>
            <w:r/>
          </w:p>
          <w:p>
            <w:pPr>
              <w:pageBreakBefore w:val="0"/>
              <w:spacing w:beforeAutospacing="0" w:afterAutospacing="0" w:line="36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注：</w:t>
            </w:r>
            <w:r/>
          </w:p>
          <w:p>
            <w:pPr>
              <w:ind w:left="63"/>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①业绩证明材料需同时提供合同和验收证明复印件加盖</w:t>
            </w:r>
            <w:r>
              <w:rPr>
                <w:rFonts w:hint="default" w:ascii="Times New Roman" w:hAnsi="Times New Roman" w:eastAsia="宋体" w:cs="Times New Roman"/>
                <w:sz w:val="24"/>
                <w:szCs w:val="24"/>
                <w:lang w:val="en-US" w:eastAsia="zh-CN"/>
              </w:rPr>
              <w:t xml:space="preserve">投标单位</w:t>
            </w:r>
            <w:r>
              <w:rPr>
                <w:rFonts w:hint="default" w:ascii="Times New Roman" w:hAnsi="Times New Roman" w:eastAsia="宋体" w:cs="Times New Roman"/>
                <w:sz w:val="24"/>
                <w:szCs w:val="24"/>
              </w:rPr>
              <w:t xml:space="preserve">公章，合同须能体现签订单</w:t>
            </w:r>
            <w:r>
              <w:rPr>
                <w:rFonts w:hint="default" w:ascii="Times New Roman" w:hAnsi="Times New Roman" w:eastAsia="宋体" w:cs="Times New Roman"/>
                <w:sz w:val="24"/>
                <w:szCs w:val="24"/>
                <w:highlight w:val="none"/>
              </w:rPr>
              <w:t xml:space="preserve">位信息、签订时间、产品名称、型号、价格等相关信息，否则视为无效合同</w:t>
            </w:r>
            <w:r>
              <w:rPr>
                <w:rFonts w:hint="default" w:ascii="Times New Roman" w:hAnsi="Times New Roman" w:eastAsia="宋体" w:cs="Times New Roman"/>
                <w:sz w:val="24"/>
                <w:szCs w:val="24"/>
                <w:highlight w:val="none"/>
                <w:lang w:eastAsia="zh-CN"/>
              </w:rPr>
              <w:t xml:space="preserve">。</w:t>
            </w:r>
            <w:r/>
          </w:p>
          <w:p>
            <w:pPr>
              <w:ind w:left="63"/>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b/>
                <w:bCs/>
                <w:sz w:val="24"/>
                <w:szCs w:val="24"/>
              </w:rPr>
              <w:t xml:space="preserve">②统招分签的合同按一个合同业绩计。</w:t>
            </w:r>
            <w:r>
              <w:rPr>
                <w:rFonts w:hint="default" w:ascii="Times New Roman" w:hAnsi="Times New Roman" w:eastAsia="宋体" w:cs="Times New Roman"/>
                <w:sz w:val="24"/>
                <w:szCs w:val="24"/>
              </w:rPr>
              <w:t xml:space="preserve">【多个合同项目名称一致的，均按一个合同计】</w:t>
            </w:r>
            <w:r/>
          </w:p>
          <w:p>
            <w:pPr>
              <w:ind w:left="63"/>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③合同中的产品名称及产品型号请加以明显标记，以方便评审和核对。</w:t>
            </w:r>
            <w:r/>
          </w:p>
          <w:p>
            <w:pPr>
              <w:ind w:left="63"/>
              <w:pageBreakBefore w:val="0"/>
              <w:spacing w:beforeAutospacing="0" w:afterAutospacing="0" w:line="360" w:lineRule="exact"/>
              <w:rPr>
                <w:rFonts w:hint="default" w:ascii="Times New Roman" w:hAnsi="Times New Roman" w:eastAsia="宋体" w:cs="Times New Roman"/>
                <w:sz w:val="24"/>
                <w:szCs w:val="24"/>
                <w:lang w:bidi="ar"/>
              </w:rPr>
            </w:pPr>
            <w:r>
              <w:rPr>
                <w:rFonts w:hint="default" w:ascii="Times New Roman" w:hAnsi="Times New Roman" w:eastAsia="宋体" w:cs="Times New Roman"/>
                <w:sz w:val="24"/>
                <w:szCs w:val="24"/>
              </w:rPr>
              <w:t xml:space="preserve">④合同评审中的重要信息因存在内容模糊、无法辨认而产生不利于该项评审的情况，投标人自行承担后果。</w:t>
            </w:r>
            <w:r/>
          </w:p>
        </w:tc>
        <w:tc>
          <w:tcPr>
            <w:tcW w:w="616" w:type="dxa"/>
            <w:vAlign w:val="center"/>
            <w:textDirection w:val="lrTb"/>
            <w:noWrap w:val="false"/>
          </w:tcPr>
          <w:p>
            <w:pPr>
              <w:jc w:val="center"/>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w:t>
            </w:r>
            <w:r/>
          </w:p>
        </w:tc>
      </w:tr>
      <w:tr>
        <w:trPr>
          <w:jc w:val="center"/>
        </w:trPr>
        <w:tc>
          <w:tcPr>
            <w:gridSpan w:val="2"/>
            <w:tcW w:w="2194" w:type="dxa"/>
            <w:vAlign w:val="center"/>
            <w:textDirection w:val="lrTb"/>
            <w:noWrap w:val="false"/>
          </w:tcPr>
          <w:p>
            <w:pPr>
              <w:jc w:val="center"/>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合计</w:t>
            </w:r>
            <w:r/>
          </w:p>
        </w:tc>
        <w:tc>
          <w:tcPr>
            <w:tcW w:w="6113" w:type="dxa"/>
            <w:vAlign w:val="center"/>
            <w:textDirection w:val="lrTb"/>
            <w:noWrap w:val="false"/>
          </w:tcPr>
          <w:p>
            <w:pPr>
              <w:jc w:val="center"/>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分值合计</w:t>
            </w:r>
            <w:r/>
          </w:p>
        </w:tc>
        <w:tc>
          <w:tcPr>
            <w:tcW w:w="616" w:type="dxa"/>
            <w:vAlign w:val="center"/>
            <w:textDirection w:val="lrTb"/>
            <w:noWrap w:val="false"/>
          </w:tcPr>
          <w:p>
            <w:pPr>
              <w:jc w:val="center"/>
              <w:pageBreakBefore w:val="0"/>
              <w:spacing w:beforeAutospacing="0" w:afterAutospacing="0" w:line="3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100</w:t>
            </w:r>
            <w:r/>
          </w:p>
        </w:tc>
      </w:tr>
    </w:tbl>
    <w:p>
      <w:pPr>
        <w:pageBreakBefore w:val="0"/>
        <w:spacing w:beforeAutospacing="0" w:afterAutospacing="0"/>
        <w:rPr>
          <w:rFonts w:hint="eastAsia"/>
        </w:rPr>
      </w:pPr>
      <w:r>
        <w:rPr>
          <w:rFonts w:hint="eastAsia"/>
        </w:rPr>
      </w:r>
      <w:r/>
    </w:p>
    <w:p>
      <w:pPr>
        <w:pageBreakBefore w:val="0"/>
        <w:spacing w:beforeAutospacing="0" w:afterAutospacing="0"/>
        <w:rPr>
          <w:rFonts w:hint="eastAsia"/>
        </w:rPr>
      </w:pPr>
      <w:r>
        <w:rPr>
          <w:rFonts w:hint="eastAsia"/>
        </w:rPr>
      </w:r>
      <w:r/>
    </w:p>
    <w:p>
      <w:pPr>
        <w:pageBreakBefore w:val="0"/>
        <w:spacing w:beforeAutospacing="0" w:afterAutospacing="0"/>
        <w:rPr>
          <w:rFonts w:hint="eastAsia"/>
        </w:rPr>
      </w:pPr>
      <w:r>
        <w:rPr>
          <w:rFonts w:hint="eastAsia"/>
        </w:rPr>
      </w:r>
      <w:r/>
    </w:p>
    <w:p>
      <w:pPr>
        <w:pageBreakBefore w:val="0"/>
        <w:spacing w:beforeAutospacing="0" w:afterAutospacing="0"/>
        <w:rPr>
          <w:rFonts w:hint="eastAsia"/>
        </w:rPr>
      </w:pPr>
      <w:r>
        <w:rPr>
          <w:rFonts w:hint="eastAsia"/>
        </w:rPr>
      </w:r>
      <w:r/>
    </w:p>
    <w:p>
      <w:pPr>
        <w:pageBreakBefore w:val="0"/>
        <w:spacing w:beforeAutospacing="0" w:afterAutospacing="0"/>
        <w:rPr>
          <w:rFonts w:hint="eastAsia"/>
        </w:rPr>
      </w:pPr>
      <w:r>
        <w:rPr>
          <w:rFonts w:hint="eastAsia"/>
        </w:rPr>
      </w:r>
      <w:r/>
    </w:p>
    <w:p>
      <w:pPr>
        <w:pageBreakBefore w:val="0"/>
        <w:spacing w:beforeAutospacing="0" w:afterAutospacing="0"/>
        <w:rPr>
          <w:rFonts w:hint="eastAsia"/>
        </w:rPr>
      </w:pPr>
      <w:r>
        <w:rPr>
          <w:rFonts w:hint="eastAsia"/>
        </w:rPr>
      </w:r>
      <w:r/>
    </w:p>
    <w:p>
      <w:pPr>
        <w:pageBreakBefore w:val="0"/>
        <w:spacing w:beforeAutospacing="0" w:afterAutospacing="0"/>
        <w:rPr>
          <w:rFonts w:hint="eastAsia"/>
        </w:rPr>
      </w:pPr>
      <w:r>
        <w:rPr>
          <w:rFonts w:hint="eastAsia"/>
        </w:rPr>
      </w:r>
      <w:r/>
    </w:p>
    <w:p>
      <w:pPr>
        <w:pageBreakBefore w:val="0"/>
        <w:spacing w:beforeAutospacing="0" w:afterAutospacing="0"/>
        <w:rPr>
          <w:rFonts w:hint="eastAsia"/>
        </w:rPr>
      </w:pPr>
      <w:r>
        <w:rPr>
          <w:rFonts w:hint="eastAsia"/>
        </w:rPr>
      </w:r>
      <w:r/>
    </w:p>
    <w:p>
      <w:pPr>
        <w:pageBreakBefore w:val="0"/>
        <w:spacing w:beforeAutospacing="0" w:afterAutospacing="0"/>
        <w:rPr>
          <w:rFonts w:hint="eastAsia"/>
        </w:rPr>
      </w:pPr>
      <w:r>
        <w:rPr>
          <w:rFonts w:hint="eastAsia"/>
        </w:rPr>
      </w:r>
      <w:r/>
    </w:p>
    <w:p>
      <w:pPr>
        <w:pageBreakBefore w:val="0"/>
        <w:spacing w:beforeAutospacing="0" w:afterAutospacing="0"/>
        <w:rPr>
          <w:rFonts w:hint="eastAsia"/>
        </w:rPr>
      </w:pPr>
      <w:r>
        <w:rPr>
          <w:rFonts w:hint="eastAsia"/>
        </w:rPr>
      </w:r>
      <w:r/>
    </w:p>
    <w:p>
      <w:pPr>
        <w:pageBreakBefore w:val="0"/>
        <w:spacing w:beforeAutospacing="0" w:afterAutospacing="0"/>
        <w:rPr>
          <w:rFonts w:hint="eastAsia"/>
        </w:rPr>
      </w:pPr>
      <w:r>
        <w:rPr>
          <w:rFonts w:hint="eastAsia"/>
        </w:rPr>
      </w:r>
      <w:r/>
    </w:p>
    <w:p>
      <w:pPr>
        <w:jc w:val="center"/>
        <w:keepNext/>
        <w:pageBreakBefore w:val="0"/>
        <w:spacing w:beforeAutospacing="0" w:afterAutospacing="0"/>
        <w:rPr>
          <w:rFonts w:hint="eastAsia" w:ascii="黑体" w:hAnsi="Times New Roman" w:eastAsia="黑体"/>
          <w:color w:val="000000"/>
          <w:sz w:val="44"/>
          <w:szCs w:val="44"/>
        </w:rPr>
        <w:outlineLvl w:val="0"/>
      </w:pPr>
      <w:r>
        <w:rPr>
          <w:rFonts w:hint="eastAsia" w:ascii="黑体" w:hAnsi="Times New Roman" w:eastAsia="黑体"/>
          <w:bCs/>
          <w:color w:val="000000"/>
          <w:sz w:val="44"/>
          <w:szCs w:val="28"/>
          <w:highlight w:val="none"/>
        </w:rPr>
      </w:r>
      <w:r>
        <w:rPr>
          <w:rFonts w:hint="eastAsia" w:ascii="黑体" w:hAnsi="Times New Roman" w:eastAsia="黑体"/>
          <w:bCs/>
          <w:color w:val="000000"/>
          <w:sz w:val="44"/>
          <w:szCs w:val="28"/>
          <w:highlight w:val="none"/>
        </w:rPr>
      </w:r>
      <w:r/>
    </w:p>
    <w:p>
      <w:pPr>
        <w:jc w:val="center"/>
        <w:keepNext/>
        <w:pageBreakBefore w:val="0"/>
        <w:spacing w:beforeAutospacing="0" w:afterAutospacing="0"/>
        <w:rPr>
          <w:rFonts w:hint="eastAsia" w:ascii="黑体" w:hAnsi="Times New Roman" w:eastAsia="黑体"/>
          <w:color w:val="000000"/>
          <w:sz w:val="44"/>
          <w:szCs w:val="44"/>
          <w:highlight w:val="none"/>
        </w:rPr>
        <w:outlineLvl w:val="0"/>
      </w:pPr>
      <w:r>
        <w:rPr>
          <w:rFonts w:hint="eastAsia" w:ascii="黑体" w:hAnsi="Times New Roman" w:eastAsia="黑体"/>
          <w:bCs/>
          <w:color w:val="000000"/>
          <w:sz w:val="44"/>
          <w:szCs w:val="28"/>
        </w:rPr>
        <w:t xml:space="preserve">第六章  投标</w:t>
      </w:r>
      <w:bookmarkEnd w:id="167"/>
      <w:r/>
      <w:bookmarkEnd w:id="168"/>
      <w:r/>
      <w:bookmarkEnd w:id="169"/>
      <w:r>
        <w:rPr>
          <w:rFonts w:hint="eastAsia" w:ascii="黑体" w:hAnsi="Times New Roman" w:eastAsia="黑体"/>
          <w:bCs/>
          <w:color w:val="000000"/>
          <w:sz w:val="44"/>
          <w:szCs w:val="28"/>
        </w:rPr>
        <w:t xml:space="preserve">文件格式</w:t>
      </w:r>
      <w:r/>
    </w:p>
    <w:p>
      <w:pPr>
        <w:jc w:val="center"/>
        <w:pageBreakBefore w:val="0"/>
        <w:spacing w:beforeAutospacing="0" w:afterAutospacing="0"/>
        <w:rPr>
          <w:rFonts w:hint="eastAsia" w:ascii="宋体" w:hAnsi="宋体"/>
          <w:b/>
          <w:color w:val="000000"/>
          <w:sz w:val="72"/>
          <w:szCs w:val="21"/>
        </w:rPr>
      </w:pPr>
      <w:r/>
      <w:bookmarkStart w:id="170" w:name="_Hlt26671244"/>
      <w:r/>
      <w:bookmarkEnd w:id="170"/>
      <w:r/>
      <w:bookmarkStart w:id="171" w:name="_Hlt26955039"/>
      <w:r/>
      <w:bookmarkEnd w:id="171"/>
      <w:r/>
      <w:bookmarkStart w:id="172" w:name="_Toc26554094"/>
      <w:r/>
      <w:bookmarkStart w:id="173" w:name="_Toc120614282"/>
      <w:r/>
      <w:bookmarkStart w:id="174" w:name="_Toc49090576"/>
      <w:r/>
      <w:r/>
    </w:p>
    <w:p>
      <w:pPr>
        <w:jc w:val="center"/>
        <w:pageBreakBefore w:val="0"/>
        <w:spacing w:beforeAutospacing="0" w:afterAutospacing="0"/>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pageBreakBefore w:val="0"/>
        <w:spacing w:beforeAutospacing="0" w:afterAutospacing="0"/>
        <w:rPr>
          <w:rFonts w:hint="eastAsia" w:ascii="宋体" w:hAnsi="宋体"/>
          <w:b/>
          <w:color w:val="000000"/>
          <w:sz w:val="36"/>
          <w:szCs w:val="21"/>
        </w:rPr>
      </w:pPr>
      <w:r>
        <w:rPr>
          <w:rFonts w:hint="eastAsia" w:ascii="宋体" w:hAnsi="宋体"/>
          <w:b/>
          <w:color w:val="000000"/>
          <w:sz w:val="36"/>
          <w:szCs w:val="21"/>
        </w:rPr>
      </w:r>
      <w:r/>
    </w:p>
    <w:p>
      <w:pPr>
        <w:jc w:val="center"/>
        <w:pageBreakBefore w:val="0"/>
        <w:spacing w:beforeAutospacing="0" w:afterAutospacing="0"/>
        <w:rPr>
          <w:rFonts w:hint="eastAsia" w:ascii="宋体" w:hAnsi="宋体"/>
          <w:b/>
          <w:color w:val="000000"/>
          <w:sz w:val="36"/>
          <w:szCs w:val="21"/>
        </w:rPr>
      </w:pPr>
      <w:r>
        <w:rPr>
          <w:rFonts w:hint="eastAsia" w:ascii="宋体" w:hAnsi="宋体"/>
          <w:b/>
          <w:color w:val="000000"/>
          <w:sz w:val="36"/>
          <w:szCs w:val="21"/>
        </w:rPr>
      </w:r>
      <w:r/>
    </w:p>
    <w:p>
      <w:pPr>
        <w:jc w:val="center"/>
        <w:pageBreakBefore w:val="0"/>
        <w:spacing w:beforeAutospacing="0" w:afterAutospacing="0"/>
        <w:rPr>
          <w:rFonts w:hint="eastAsia" w:ascii="宋体" w:hAnsi="宋体"/>
          <w:b/>
          <w:color w:val="000000"/>
          <w:sz w:val="36"/>
          <w:szCs w:val="21"/>
        </w:rPr>
      </w:pPr>
      <w:r>
        <w:rPr>
          <w:rFonts w:hint="eastAsia" w:ascii="宋体" w:hAnsi="宋体"/>
          <w:b/>
          <w:color w:val="000000"/>
          <w:sz w:val="36"/>
          <w:szCs w:val="21"/>
        </w:rPr>
      </w:r>
      <w:r/>
    </w:p>
    <w:p>
      <w:pPr>
        <w:ind w:firstLine="1080"/>
        <w:pageBreakBefore w:val="0"/>
        <w:spacing w:beforeAutospacing="0" w:afterAutospacing="0"/>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0"/>
        <w:pageBreakBefore w:val="0"/>
        <w:spacing w:beforeAutospacing="0" w:afterAutospacing="0"/>
        <w:rPr>
          <w:rFonts w:hint="eastAsia" w:ascii="宋体" w:hAnsi="宋体"/>
          <w:b/>
          <w:color w:val="000000"/>
          <w:sz w:val="36"/>
          <w:szCs w:val="21"/>
          <w:u w:val="single"/>
        </w:rPr>
      </w:pPr>
      <w:r>
        <w:rPr>
          <w:rFonts w:hint="eastAsia" w:ascii="宋体" w:hAnsi="宋体"/>
          <w:b/>
          <w:color w:val="000000"/>
          <w:sz w:val="36"/>
          <w:szCs w:val="21"/>
          <w:lang w:eastAsia="zh-CN"/>
        </w:rPr>
        <w:t xml:space="preserve">采</w:t>
      </w:r>
      <w:r>
        <w:rPr>
          <w:rFonts w:hint="eastAsia" w:ascii="宋体" w:hAnsi="宋体"/>
          <w:b/>
          <w:color w:val="000000"/>
          <w:sz w:val="36"/>
          <w:szCs w:val="21"/>
          <w:lang w:val="en-US" w:eastAsia="zh-CN"/>
        </w:rPr>
        <w:t xml:space="preserve"> </w:t>
      </w:r>
      <w:r>
        <w:rPr>
          <w:rFonts w:hint="eastAsia" w:ascii="宋体" w:hAnsi="宋体"/>
          <w:b/>
          <w:color w:val="000000"/>
          <w:sz w:val="36"/>
          <w:szCs w:val="21"/>
          <w:lang w:eastAsia="zh-CN"/>
        </w:rPr>
        <w:t xml:space="preserve">购</w:t>
      </w:r>
      <w:r>
        <w:rPr>
          <w:rFonts w:hint="eastAsia" w:ascii="宋体" w:hAnsi="宋体"/>
          <w:b/>
          <w:color w:val="000000"/>
          <w:sz w:val="36"/>
          <w:szCs w:val="21"/>
        </w:rPr>
        <w:t xml:space="preserve"> 编 号：</w:t>
      </w:r>
      <w:r>
        <w:rPr>
          <w:rFonts w:hint="eastAsia" w:ascii="宋体" w:hAnsi="宋体"/>
          <w:b/>
          <w:color w:val="000000"/>
          <w:sz w:val="36"/>
          <w:szCs w:val="21"/>
          <w:u w:val="single"/>
        </w:rPr>
        <w:t xml:space="preserve">               </w:t>
      </w:r>
      <w:r/>
    </w:p>
    <w:p>
      <w:pPr>
        <w:pageBreakBefore w:val="0"/>
        <w:spacing w:beforeAutospacing="0" w:afterAutospacing="0"/>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pageBreakBefore w:val="0"/>
        <w:spacing w:beforeAutospacing="0" w:afterAutospacing="0"/>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pageBreakBefore w:val="0"/>
        <w:spacing w:beforeAutospacing="0" w:afterAutospacing="0"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pageBreakBefore w:val="0"/>
        <w:spacing w:beforeAutospacing="0" w:afterAutospacing="0"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pageBreakBefore w:val="0"/>
        <w:spacing w:beforeAutospacing="0" w:afterAutospacing="0"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pageBreakBefore w:val="0"/>
        <w:spacing w:beforeAutospacing="0" w:afterAutospacing="0"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pageBreakBefore w:val="0"/>
        <w:spacing w:beforeAutospacing="0" w:afterAutospacing="0"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pageBreakBefore w:val="0"/>
        <w:spacing w:beforeAutospacing="0" w:afterAutospacing="0"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pageBreakBefore w:val="0"/>
        <w:spacing w:beforeAutospacing="0" w:afterAutospacing="0"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pageBreakBefore w:val="0"/>
        <w:spacing w:beforeAutospacing="0" w:afterAutospacing="0"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pageBreakBefore w:val="0"/>
        <w:spacing w:beforeAutospacing="0" w:afterAutospacing="0"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pageBreakBefore w:val="0"/>
        <w:spacing w:beforeAutospacing="0" w:afterAutospacing="0"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pageBreakBefore w:val="0"/>
        <w:spacing w:beforeAutospacing="0" w:afterAutospacing="0"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pageBreakBefore w:val="0"/>
        <w:spacing w:beforeAutospacing="0" w:afterAutospacing="0"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pageBreakBefore w:val="0"/>
        <w:spacing w:beforeAutospacing="0" w:afterAutospacing="0"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pageBreakBefore w:val="0"/>
        <w:spacing w:beforeAutospacing="0" w:afterAutospacing="0"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pageBreakBefore w:val="0"/>
        <w:spacing w:beforeAutospacing="0" w:afterAutospacing="0" w:line="440" w:lineRule="exact"/>
        <w:rPr>
          <w:rFonts w:hint="eastAsia" w:ascii="宋体" w:hAnsi="宋体"/>
          <w:b/>
          <w:bCs/>
          <w:color w:val="000000"/>
          <w:sz w:val="32"/>
          <w:szCs w:val="32"/>
        </w:rPr>
      </w:pPr>
      <w:r>
        <w:rPr>
          <w:rFonts w:hint="eastAsia" w:ascii="宋体" w:hAnsi="宋体"/>
          <w:b/>
          <w:bCs/>
          <w:color w:val="000000"/>
          <w:sz w:val="32"/>
          <w:szCs w:val="32"/>
        </w:rPr>
      </w:r>
      <w:r/>
    </w:p>
    <w:p>
      <w:pPr>
        <w:jc w:val="both"/>
        <w:pageBreakBefore w:val="0"/>
        <w:spacing w:beforeAutospacing="0" w:afterAutospacing="0"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pageBreakBefore w:val="0"/>
        <w:spacing w:beforeAutospacing="0" w:afterAutospacing="0"/>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p>
    <w:p>
      <w:pPr>
        <w:jc w:val="center"/>
        <w:pageBreakBefore w:val="0"/>
        <w:spacing w:beforeAutospacing="0" w:afterAutospacing="0" w:line="440" w:lineRule="exact"/>
        <w:rPr>
          <w:rFonts w:hint="eastAsia" w:ascii="宋体" w:hAnsi="宋体"/>
          <w:b/>
          <w:bCs/>
          <w:sz w:val="32"/>
          <w:szCs w:val="32"/>
        </w:rPr>
      </w:pPr>
      <w:r>
        <w:rPr>
          <w:rFonts w:hint="eastAsia" w:ascii="宋体" w:hAnsi="宋体"/>
          <w:b/>
          <w:bCs/>
          <w:sz w:val="32"/>
          <w:szCs w:val="32"/>
        </w:rPr>
      </w:r>
      <w:r/>
    </w:p>
    <w:p>
      <w:pPr>
        <w:ind w:left="480"/>
        <w:pageBreakBefore w:val="0"/>
        <w:spacing w:beforeAutospacing="0" w:afterAutospacing="0" w:line="400" w:lineRule="exact"/>
        <w:rPr>
          <w:rFonts w:ascii="宋体" w:hAnsi="宋体"/>
          <w:b/>
          <w:sz w:val="24"/>
          <w:szCs w:val="21"/>
        </w:rPr>
      </w:pPr>
      <w:r>
        <w:rPr>
          <w:rFonts w:hint="eastAsia" w:ascii="宋体" w:hAnsi="宋体"/>
          <w:b/>
          <w:sz w:val="24"/>
          <w:szCs w:val="21"/>
        </w:rPr>
        <w:t xml:space="preserve">一、基本目录</w:t>
      </w:r>
      <w:r/>
    </w:p>
    <w:p>
      <w:pPr>
        <w:ind w:left="480"/>
        <w:pageBreakBefore w:val="0"/>
        <w:spacing w:beforeAutospacing="0" w:afterAutospacing="0"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p>
    <w:p>
      <w:pPr>
        <w:ind w:left="480"/>
        <w:pageBreakBefore w:val="0"/>
        <w:spacing w:beforeAutospacing="0" w:afterAutospacing="0"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p>
    <w:p>
      <w:pPr>
        <w:ind w:left="480"/>
        <w:pageBreakBefore w:val="0"/>
        <w:spacing w:beforeAutospacing="0" w:afterAutospacing="0"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附件3</w:t>
      </w:r>
      <w:r>
        <w:rPr>
          <w:rFonts w:hint="eastAsia" w:ascii="宋体" w:hAnsi="宋体"/>
          <w:sz w:val="24"/>
          <w:szCs w:val="21"/>
        </w:rPr>
        <w:t xml:space="preserve">）</w:t>
      </w:r>
      <w:r/>
    </w:p>
    <w:p>
      <w:pPr>
        <w:ind w:firstLine="480"/>
        <w:pageBreakBefore w:val="0"/>
        <w:spacing w:beforeAutospacing="0" w:afterAutospacing="0" w:line="400" w:lineRule="exact"/>
        <w:rPr>
          <w:rFonts w:hint="eastAsia" w:ascii="宋体" w:hAnsi="宋体"/>
          <w:sz w:val="24"/>
          <w:szCs w:val="21"/>
          <w:highlight w:val="yellow"/>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附件4</w:t>
      </w:r>
      <w:r>
        <w:rPr>
          <w:rFonts w:hint="eastAsia" w:ascii="宋体" w:hAnsi="宋体"/>
          <w:sz w:val="24"/>
          <w:szCs w:val="21"/>
        </w:rPr>
        <w:t xml:space="preserve">）</w:t>
      </w:r>
      <w:r/>
    </w:p>
    <w:p>
      <w:pPr>
        <w:ind w:left="480"/>
        <w:pageBreakBefore w:val="0"/>
        <w:spacing w:beforeAutospacing="0" w:afterAutospacing="0"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480"/>
        <w:pageBreakBefore w:val="0"/>
        <w:spacing w:beforeAutospacing="0" w:afterAutospacing="0"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left="480"/>
        <w:pageBreakBefore w:val="0"/>
        <w:spacing w:beforeAutospacing="0" w:afterAutospacing="0"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上一年度的财务状况报告（投标人成立不满一年无需提供）</w:t>
      </w:r>
      <w:r/>
    </w:p>
    <w:p>
      <w:pPr>
        <w:ind w:left="480"/>
        <w:pageBreakBefore w:val="0"/>
        <w:spacing w:beforeAutospacing="0" w:afterAutospacing="0"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w:t>
      </w:r>
      <w:r/>
    </w:p>
    <w:p>
      <w:pPr>
        <w:pageBreakBefore w:val="0"/>
        <w:spacing w:beforeAutospacing="0" w:afterAutospacing="0" w:line="400" w:lineRule="exact"/>
        <w:rPr>
          <w:rFonts w:hint="eastAsia" w:ascii="宋体" w:hAnsi="宋体"/>
          <w:sz w:val="24"/>
          <w:szCs w:val="21"/>
        </w:rPr>
      </w:pPr>
      <w:r>
        <w:rPr>
          <w:rFonts w:hint="eastAsia" w:ascii="宋体" w:hAnsi="宋体"/>
          <w:sz w:val="24"/>
          <w:szCs w:val="21"/>
        </w:rPr>
        <w:t xml:space="preserve">前一年内至少一个月依法缴纳税收及缴纳社会保障资金的证明材料。投标人依法享受缓缴、免缴税收、社会保障资金的提供证明材料。）</w:t>
      </w:r>
      <w:r/>
    </w:p>
    <w:p>
      <w:pPr>
        <w:ind w:left="480"/>
        <w:pageBreakBefore w:val="0"/>
        <w:spacing w:beforeAutospacing="0" w:afterAutospacing="0"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附件5</w:t>
      </w:r>
      <w:r>
        <w:rPr>
          <w:rFonts w:hint="eastAsia" w:ascii="宋体" w:hAnsi="宋体"/>
          <w:sz w:val="24"/>
          <w:szCs w:val="21"/>
        </w:rPr>
        <w:t xml:space="preserve">）</w:t>
      </w:r>
      <w:r/>
    </w:p>
    <w:p>
      <w:pPr>
        <w:ind w:left="480"/>
        <w:pageBreakBefore w:val="0"/>
        <w:spacing w:beforeAutospacing="0" w:afterAutospacing="0" w:line="400" w:lineRule="exact"/>
        <w:rPr>
          <w:rFonts w:ascii="宋体" w:hAnsi="宋体"/>
          <w:sz w:val="24"/>
          <w:szCs w:val="21"/>
        </w:rPr>
      </w:pPr>
      <w:r>
        <w:rPr>
          <w:rFonts w:hint="eastAsia" w:ascii="宋体" w:hAnsi="宋体"/>
          <w:sz w:val="24"/>
          <w:szCs w:val="21"/>
        </w:rPr>
        <w:t xml:space="preserve">5.参加政府采购活动前 3 年内在经营活动中没有重大违法记录的书面声</w:t>
      </w:r>
      <w:r/>
    </w:p>
    <w:p>
      <w:pPr>
        <w:pageBreakBefore w:val="0"/>
        <w:spacing w:beforeAutospacing="0" w:afterAutospacing="0" w:line="400" w:lineRule="exact"/>
        <w:rPr>
          <w:rFonts w:hint="eastAsia" w:ascii="宋体" w:hAnsi="宋体"/>
          <w:sz w:val="24"/>
          <w:szCs w:val="21"/>
        </w:rPr>
      </w:pPr>
      <w:r>
        <w:rPr>
          <w:rFonts w:hint="eastAsia" w:ascii="宋体" w:hAnsi="宋体"/>
          <w:sz w:val="24"/>
          <w:szCs w:val="21"/>
        </w:rPr>
        <w:t xml:space="preserve">明（格式见</w:t>
      </w:r>
      <w:r>
        <w:rPr>
          <w:rFonts w:ascii="宋体" w:hAnsi="宋体"/>
          <w:sz w:val="24"/>
          <w:szCs w:val="21"/>
        </w:rPr>
        <w:t xml:space="preserve">附件6</w:t>
      </w:r>
      <w:r>
        <w:rPr>
          <w:rFonts w:hint="eastAsia" w:ascii="宋体" w:hAnsi="宋体"/>
          <w:sz w:val="24"/>
          <w:szCs w:val="21"/>
          <w:lang w:eastAsia="zh-CN"/>
        </w:rPr>
        <w:t xml:space="preserve">、</w:t>
      </w:r>
      <w:r>
        <w:rPr>
          <w:rFonts w:hint="eastAsia" w:ascii="宋体" w:hAnsi="宋体"/>
          <w:sz w:val="24"/>
          <w:szCs w:val="21"/>
          <w:lang w:val="en-US" w:eastAsia="zh-CN"/>
        </w:rPr>
        <w:t xml:space="preserve">附件14</w:t>
      </w:r>
      <w:r>
        <w:rPr>
          <w:rFonts w:hint="eastAsia" w:ascii="宋体" w:hAnsi="宋体"/>
          <w:sz w:val="24"/>
          <w:szCs w:val="21"/>
        </w:rPr>
        <w:t xml:space="preserve">）</w:t>
      </w:r>
      <w:r/>
    </w:p>
    <w:p>
      <w:pPr>
        <w:ind w:firstLine="480"/>
        <w:pageBreakBefore w:val="0"/>
        <w:spacing w:beforeAutospacing="0" w:afterAutospacing="0" w:line="400" w:lineRule="exact"/>
        <w:rPr>
          <w:rFonts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p>
    <w:p>
      <w:pPr>
        <w:ind w:firstLine="480"/>
        <w:pageBreakBefore w:val="0"/>
        <w:spacing w:beforeAutospacing="0" w:afterAutospacing="0" w:line="400" w:lineRule="exact"/>
        <w:rPr>
          <w:rFonts w:hint="eastAsia" w:ascii="宋体" w:hAnsi="宋体"/>
          <w:sz w:val="24"/>
          <w:szCs w:val="21"/>
        </w:rPr>
      </w:pPr>
      <w:r>
        <w:rPr>
          <w:rFonts w:hint="eastAsia" w:ascii="宋体" w:hAnsi="宋体"/>
          <w:sz w:val="24"/>
          <w:szCs w:val="21"/>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pageBreakBefore w:val="0"/>
        <w:spacing w:beforeAutospacing="0" w:afterAutospacing="0" w:line="400" w:lineRule="exact"/>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w:t>
      </w:r>
      <w:r>
        <w:rPr>
          <w:rFonts w:ascii="宋体" w:hAnsi="宋体"/>
          <w:sz w:val="24"/>
          <w:szCs w:val="21"/>
        </w:rPr>
        <w:t xml:space="preserve">7</w:t>
      </w:r>
      <w:r>
        <w:rPr>
          <w:rFonts w:hint="eastAsia" w:ascii="宋体" w:hAnsi="宋体"/>
          <w:sz w:val="24"/>
          <w:szCs w:val="21"/>
        </w:rPr>
        <w:t xml:space="preserve">）</w:t>
      </w:r>
      <w:r/>
    </w:p>
    <w:p>
      <w:pPr>
        <w:ind w:firstLine="480"/>
        <w:pageBreakBefore w:val="0"/>
        <w:spacing w:beforeAutospacing="0" w:afterAutospacing="0"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投标函（格式见附件</w:t>
      </w:r>
      <w:r>
        <w:rPr>
          <w:rFonts w:ascii="宋体" w:hAnsi="宋体"/>
          <w:sz w:val="24"/>
          <w:szCs w:val="21"/>
        </w:rPr>
        <w:t xml:space="preserve">8</w:t>
      </w:r>
      <w:r>
        <w:rPr>
          <w:rFonts w:hint="eastAsia" w:ascii="宋体" w:hAnsi="宋体"/>
          <w:sz w:val="24"/>
          <w:szCs w:val="21"/>
        </w:rPr>
        <w:t xml:space="preserve">）</w:t>
      </w:r>
      <w:r/>
    </w:p>
    <w:p>
      <w:pPr>
        <w:ind w:firstLine="480"/>
        <w:pageBreakBefore w:val="0"/>
        <w:spacing w:beforeAutospacing="0" w:afterAutospacing="0" w:line="400" w:lineRule="exact"/>
        <w:rPr>
          <w:rFonts w:hint="eastAsia" w:ascii="宋体" w:hAnsi="宋体"/>
          <w:sz w:val="24"/>
          <w:szCs w:val="21"/>
        </w:rPr>
      </w:pPr>
      <w:r>
        <w:rPr>
          <w:rFonts w:ascii="宋体" w:hAnsi="宋体"/>
          <w:sz w:val="24"/>
          <w:szCs w:val="21"/>
        </w:rPr>
        <w:t xml:space="preserve">10.</w:t>
      </w:r>
      <w:r>
        <w:rPr>
          <w:rFonts w:hint="eastAsia" w:ascii="宋体" w:hAnsi="宋体"/>
          <w:sz w:val="24"/>
          <w:szCs w:val="21"/>
        </w:rPr>
        <w:t xml:space="preserve">中小微企业声明函（如果本项目</w:t>
      </w:r>
      <w:r>
        <w:rPr>
          <w:rFonts w:ascii="宋体" w:hAnsi="宋体"/>
          <w:sz w:val="24"/>
          <w:szCs w:val="21"/>
        </w:rPr>
        <w:t xml:space="preserve">专门面向中小微型企业采购，则必须提供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p>
    <w:p>
      <w:pPr>
        <w:ind w:firstLine="480"/>
        <w:pageBreakBefore w:val="0"/>
        <w:spacing w:beforeAutospacing="0" w:afterAutospacing="0" w:line="400" w:lineRule="exact"/>
        <w:rPr>
          <w:rFonts w:hint="eastAsia" w:ascii="宋体" w:hAnsi="宋体"/>
          <w:sz w:val="24"/>
          <w:szCs w:val="21"/>
          <w:highlight w:val="yellow"/>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残疾人福利性单位声明函（如果本项目</w:t>
      </w:r>
      <w:r>
        <w:rPr>
          <w:rFonts w:ascii="宋体" w:hAnsi="宋体"/>
          <w:sz w:val="24"/>
          <w:szCs w:val="21"/>
        </w:rPr>
        <w:t xml:space="preserve">专门面向中小微型企业采购，</w:t>
      </w:r>
      <w:r>
        <w:rPr>
          <w:rFonts w:hint="eastAsia" w:ascii="宋体" w:hAnsi="宋体"/>
          <w:sz w:val="24"/>
          <w:szCs w:val="21"/>
        </w:rPr>
        <w:t xml:space="preserve">供应商为</w:t>
      </w:r>
      <w:r>
        <w:rPr>
          <w:rFonts w:ascii="宋体" w:hAnsi="宋体"/>
          <w:sz w:val="24"/>
          <w:szCs w:val="21"/>
        </w:rPr>
        <w:t xml:space="preserve">残疾人福利性单位并</w:t>
      </w:r>
      <w:r>
        <w:rPr>
          <w:rFonts w:hint="eastAsia" w:ascii="宋体" w:hAnsi="宋体"/>
          <w:sz w:val="24"/>
          <w:szCs w:val="21"/>
        </w:rPr>
        <w:t xml:space="preserve">提供本单位制造的货物，或者提供其他残疾人福利性单位制造的货物，</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p>
    <w:p>
      <w:pPr>
        <w:ind w:left="480"/>
        <w:pageBreakBefore w:val="0"/>
        <w:spacing w:beforeAutospacing="0" w:afterAutospacing="0" w:line="400" w:lineRule="exact"/>
        <w:rPr>
          <w:rFonts w:ascii="宋体" w:hAnsi="宋体"/>
          <w:sz w:val="24"/>
          <w:szCs w:val="24"/>
        </w:rPr>
      </w:pPr>
      <w:r>
        <w:rPr>
          <w:rFonts w:hint="eastAsia" w:ascii="宋体" w:hAnsi="宋体"/>
          <w:sz w:val="24"/>
          <w:szCs w:val="24"/>
        </w:rPr>
        <w:t xml:space="preserve">总备注：上述“资格审查内容”中1-5条、</w:t>
      </w:r>
      <w:r>
        <w:rPr>
          <w:rFonts w:ascii="宋体" w:hAnsi="宋体"/>
          <w:sz w:val="24"/>
          <w:szCs w:val="24"/>
        </w:rPr>
        <w:t xml:space="preserve">8</w:t>
      </w:r>
      <w:r>
        <w:rPr>
          <w:rFonts w:hint="eastAsia" w:ascii="宋体" w:hAnsi="宋体"/>
          <w:sz w:val="24"/>
          <w:szCs w:val="24"/>
        </w:rPr>
        <w:t xml:space="preserve">、9条投标人必须在投标文件</w:t>
      </w:r>
      <w:r/>
    </w:p>
    <w:p>
      <w:pPr>
        <w:pageBreakBefore w:val="0"/>
        <w:spacing w:beforeAutospacing="0" w:afterAutospacing="0" w:line="400" w:lineRule="exact"/>
        <w:rPr>
          <w:rFonts w:ascii="宋体" w:hAnsi="宋体"/>
          <w:sz w:val="24"/>
          <w:szCs w:val="24"/>
        </w:rPr>
      </w:pPr>
      <w:r>
        <w:rPr>
          <w:rFonts w:hint="eastAsia" w:ascii="宋体" w:hAnsi="宋体"/>
          <w:sz w:val="24"/>
          <w:szCs w:val="24"/>
        </w:rPr>
        <w:t xml:space="preserve">中提供相关材料，否则作无效投标处理；6、10、11条如招标文件要求必须提供相关材料而未提供的，作无效投标处理。</w:t>
      </w:r>
      <w:r/>
    </w:p>
    <w:p>
      <w:pPr>
        <w:ind w:left="480"/>
        <w:pageBreakBefore w:val="0"/>
        <w:spacing w:beforeAutospacing="0" w:afterAutospacing="0"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pageBreakBefore w:val="0"/>
        <w:spacing w:beforeAutospacing="0" w:afterAutospacing="0" w:line="400" w:lineRule="exact"/>
        <w:rPr>
          <w:rFonts w:hint="eastAsia"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1"/>
        </w:rPr>
        <w:t xml:space="preserve">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w:t>
      </w:r>
      <w:r>
        <w:rPr>
          <w:rFonts w:hint="eastAsia" w:ascii="宋体" w:hAnsi="宋体"/>
          <w:sz w:val="24"/>
          <w:szCs w:val="21"/>
          <w:lang w:eastAsia="zh-CN"/>
        </w:rPr>
        <w:t xml:space="preserve">作</w:t>
      </w:r>
      <w:r>
        <w:rPr>
          <w:rFonts w:hint="eastAsia" w:ascii="宋体" w:hAnsi="宋体"/>
          <w:sz w:val="24"/>
          <w:szCs w:val="21"/>
        </w:rPr>
        <w:t xml:space="preserve">无效投标处理。（格式见</w:t>
      </w:r>
      <w:r>
        <w:rPr>
          <w:rFonts w:ascii="宋体" w:hAnsi="宋体"/>
          <w:sz w:val="24"/>
          <w:szCs w:val="21"/>
        </w:rPr>
        <w:t xml:space="preserve">附件12</w:t>
      </w:r>
      <w:r>
        <w:rPr>
          <w:rFonts w:hint="eastAsia" w:ascii="宋体" w:hAnsi="宋体"/>
          <w:sz w:val="24"/>
          <w:szCs w:val="21"/>
        </w:rPr>
        <w:t xml:space="preserve">）</w:t>
      </w:r>
      <w:r/>
    </w:p>
    <w:p>
      <w:pPr>
        <w:ind w:firstLine="480"/>
        <w:pageBreakBefore w:val="0"/>
        <w:spacing w:beforeAutospacing="0" w:afterAutospacing="0"/>
        <w:rPr>
          <w:rFonts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p>
    <w:p>
      <w:pPr>
        <w:ind w:firstLine="480"/>
        <w:pageBreakBefore w:val="0"/>
        <w:spacing w:beforeAutospacing="0" w:afterAutospacing="0"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中小微企业声明函（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p>
    <w:p>
      <w:pPr>
        <w:ind w:firstLine="480"/>
        <w:pageBreakBefore w:val="0"/>
        <w:spacing w:beforeAutospacing="0" w:afterAutospacing="0"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p>
    <w:p>
      <w:pPr>
        <w:ind w:firstLine="480"/>
        <w:pageBreakBefore w:val="0"/>
        <w:spacing w:beforeAutospacing="0" w:afterAutospacing="0"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3.关于符合本国产品标准的声明函（</w:t>
      </w:r>
      <w:r>
        <w:rPr>
          <w:rFonts w:hint="eastAsia" w:ascii="宋体" w:hAnsi="宋体" w:eastAsia="宋体" w:cs="Times New Roman"/>
          <w:sz w:val="24"/>
          <w:szCs w:val="21"/>
        </w:rPr>
        <w:t xml:space="preserve">格式见附件</w:t>
      </w:r>
      <w:r>
        <w:rPr>
          <w:rFonts w:hint="eastAsia" w:ascii="宋体" w:hAnsi="宋体" w:eastAsia="宋体" w:cs="Times New Roman"/>
          <w:sz w:val="24"/>
          <w:szCs w:val="21"/>
          <w:lang w:val="en-US" w:eastAsia="zh-CN"/>
        </w:rPr>
        <w:t xml:space="preserve">13）</w:t>
      </w:r>
      <w:r/>
    </w:p>
    <w:p>
      <w:pPr>
        <w:ind w:firstLine="480"/>
        <w:pageBreakBefore w:val="0"/>
        <w:spacing w:beforeAutospacing="0" w:afterAutospacing="0" w:line="400" w:lineRule="exact"/>
        <w:rPr>
          <w:rFonts w:hint="eastAsia" w:ascii="宋体" w:hAnsi="宋体"/>
          <w:sz w:val="24"/>
          <w:szCs w:val="21"/>
        </w:rPr>
      </w:pPr>
      <w:r>
        <w:rPr>
          <w:rFonts w:hint="eastAsia" w:ascii="宋体" w:hAnsi="宋体"/>
          <w:sz w:val="24"/>
          <w:szCs w:val="21"/>
        </w:rPr>
      </w:r>
      <w:r/>
    </w:p>
    <w:p>
      <w:pPr>
        <w:ind w:left="480"/>
        <w:pageBreakBefore w:val="0"/>
        <w:spacing w:beforeAutospacing="0" w:afterAutospacing="0"/>
        <w:rPr>
          <w:rFonts w:ascii="宋体" w:hAnsi="宋体"/>
          <w:b/>
          <w:sz w:val="24"/>
          <w:szCs w:val="21"/>
        </w:rPr>
      </w:pPr>
      <w:r>
        <w:rPr>
          <w:rFonts w:ascii="宋体" w:hAnsi="宋体"/>
          <w:b/>
          <w:sz w:val="24"/>
          <w:szCs w:val="21"/>
        </w:rPr>
      </w:r>
      <w:r/>
    </w:p>
    <w:p>
      <w:pPr>
        <w:pageBreakBefore w:val="0"/>
        <w:spacing w:beforeAutospacing="0" w:afterAutospacing="0"/>
        <w:rPr>
          <w:rFonts w:hint="eastAsia" w:ascii="Times New Roman" w:hAnsi="Times New Roman"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p>
    <w:p>
      <w:pPr>
        <w:ind w:firstLine="482"/>
        <w:pageBreakBefore w:val="0"/>
        <w:spacing w:beforeAutospacing="0" w:afterAutospacing="0" w:line="400" w:lineRule="exact"/>
        <w:rPr>
          <w:rFonts w:hint="eastAsia" w:ascii="宋体" w:hAnsi="宋体"/>
          <w:sz w:val="24"/>
          <w:szCs w:val="24"/>
        </w:rPr>
      </w:pPr>
      <w:r>
        <w:rPr>
          <w:rFonts w:hint="eastAsia" w:ascii="宋体" w:hAnsi="宋体"/>
          <w:sz w:val="24"/>
          <w:szCs w:val="24"/>
        </w:rPr>
        <w:t xml:space="preserve">投标人全称（加盖CA电子签章）：</w:t>
      </w:r>
      <w:r/>
    </w:p>
    <w:p>
      <w:pPr>
        <w:ind w:firstLine="482"/>
        <w:pageBreakBefore w:val="0"/>
        <w:spacing w:beforeAutospacing="0" w:afterAutospacing="0" w:line="400" w:lineRule="exact"/>
        <w:rPr>
          <w:rFonts w:ascii="Times New Roman" w:hAnsi="Times New Roman"/>
          <w:sz w:val="24"/>
          <w:szCs w:val="24"/>
        </w:rPr>
      </w:pPr>
      <w:r>
        <w:rPr>
          <w:rFonts w:hint="eastAsia" w:ascii="宋体" w:hAnsi="宋体"/>
          <w:sz w:val="24"/>
          <w:szCs w:val="24"/>
        </w:rPr>
        <w:t xml:space="preserve">项目名称：</w:t>
      </w:r>
      <w:r/>
    </w:p>
    <w:p>
      <w:pPr>
        <w:ind w:firstLine="482"/>
        <w:pageBreakBefore w:val="0"/>
        <w:spacing w:beforeAutospacing="0" w:afterAutospacing="0" w:line="400" w:lineRule="exact"/>
        <w:rPr>
          <w:rFonts w:ascii="宋体" w:hAnsi="宋体"/>
          <w:sz w:val="24"/>
          <w:szCs w:val="24"/>
        </w:rPr>
      </w:pPr>
      <w:r>
        <w:rPr>
          <w:rFonts w:hint="eastAsia" w:ascii="宋体" w:hAnsi="宋体"/>
          <w:sz w:val="24"/>
          <w:szCs w:val="24"/>
          <w:lang w:eastAsia="zh-CN"/>
        </w:rPr>
        <w:t xml:space="preserve">采购编号</w:t>
      </w:r>
      <w:r>
        <w:rPr>
          <w:rFonts w:hint="eastAsia" w:ascii="宋体" w:hAnsi="宋体"/>
          <w:sz w:val="24"/>
          <w:szCs w:val="24"/>
        </w:rPr>
        <w:t xml:space="preserve">：                                   </w:t>
      </w:r>
      <w:r/>
    </w:p>
    <w:p>
      <w:pPr>
        <w:ind w:firstLine="482"/>
        <w:pageBreakBefore w:val="0"/>
        <w:spacing w:beforeAutospacing="0" w:afterAutospacing="0" w:line="400" w:lineRule="exact"/>
        <w:rPr>
          <w:rFonts w:ascii="宋体" w:hAnsi="宋体"/>
          <w:sz w:val="24"/>
          <w:szCs w:val="24"/>
        </w:rPr>
      </w:pPr>
      <w:r>
        <w:rPr>
          <w:rFonts w:hint="eastAsia" w:ascii="宋体" w:hAnsi="宋体"/>
          <w:sz w:val="24"/>
          <w:szCs w:val="24"/>
        </w:rPr>
        <w:t xml:space="preserve">采购包号：</w:t>
      </w:r>
      <w:r/>
    </w:p>
    <w:tbl>
      <w:tblPr>
        <w:tblStyle w:val="719"/>
        <w:tblW w:w="88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ageBreakBefore w:val="0"/>
              <w:spacing w:beforeAutospacing="0" w:afterAutospacing="0"/>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gridSpan w:val="2"/>
            <w:tcW w:w="8886" w:type="dxa"/>
            <w:vAlign w:val="center"/>
            <w:textDirection w:val="lrTb"/>
            <w:noWrap w:val="false"/>
          </w:tcPr>
          <w:p>
            <w:pPr>
              <w:jc w:val="left"/>
              <w:pageBreakBefore w:val="0"/>
              <w:spacing w:beforeAutospacing="0" w:afterAutospacing="0" w:line="500" w:lineRule="exact"/>
              <w:rPr>
                <w:rFonts w:hint="eastAsia" w:ascii="宋体" w:hAnsi="宋体"/>
                <w:sz w:val="24"/>
                <w:szCs w:val="21"/>
              </w:rPr>
            </w:pPr>
            <w:r>
              <w:rPr>
                <w:rFonts w:hint="eastAsia" w:ascii="宋体" w:hAnsi="宋体" w:cs="宋体"/>
                <w:sz w:val="24"/>
                <w:szCs w:val="24"/>
              </w:rPr>
              <w:t xml:space="preserve">小写：                             （人民币：元）</w:t>
            </w:r>
            <w:r/>
          </w:p>
        </w:tc>
      </w:tr>
      <w:tr>
        <w:trPr>
          <w:cantSplit/>
          <w:trHeight w:val="612"/>
        </w:trPr>
        <w:tc>
          <w:tcPr>
            <w:tcW w:w="2481" w:type="dxa"/>
            <w:vAlign w:val="center"/>
            <w:textDirection w:val="lrTb"/>
            <w:noWrap w:val="false"/>
          </w:tcPr>
          <w:p>
            <w:pPr>
              <w:jc w:val="center"/>
              <w:pageBreakBefore w:val="0"/>
              <w:spacing w:beforeAutospacing="0" w:afterAutospacing="0" w:line="300" w:lineRule="auto"/>
              <w:rPr>
                <w:rFonts w:hint="eastAsia" w:ascii="宋体" w:hAnsi="宋体" w:cs="宋体"/>
                <w:sz w:val="24"/>
                <w:szCs w:val="24"/>
              </w:rPr>
            </w:pPr>
            <w:r>
              <w:rPr>
                <w:rFonts w:hint="eastAsia" w:ascii="宋体" w:hAnsi="宋体" w:cs="宋体"/>
                <w:sz w:val="24"/>
                <w:szCs w:val="24"/>
              </w:rPr>
              <w:t xml:space="preserve">核心产品品牌</w:t>
            </w:r>
            <w:r/>
          </w:p>
        </w:tc>
        <w:tc>
          <w:tcPr>
            <w:tcW w:w="6405" w:type="dxa"/>
            <w:vAlign w:val="center"/>
            <w:textDirection w:val="lrTb"/>
            <w:noWrap w:val="false"/>
          </w:tcPr>
          <w:p>
            <w:pPr>
              <w:jc w:val="left"/>
              <w:pageBreakBefore w:val="0"/>
              <w:spacing w:beforeAutospacing="0" w:afterAutospacing="0" w:line="500" w:lineRule="exact"/>
              <w:rPr>
                <w:rFonts w:hint="eastAsia" w:ascii="宋体" w:hAnsi="宋体" w:cs="宋体"/>
                <w:sz w:val="24"/>
                <w:szCs w:val="24"/>
              </w:rPr>
            </w:pPr>
            <w:r>
              <w:rPr>
                <w:rFonts w:hint="eastAsia" w:ascii="宋体" w:hAnsi="宋体" w:cs="宋体"/>
                <w:sz w:val="24"/>
                <w:szCs w:val="24"/>
              </w:rPr>
            </w:r>
            <w:r/>
          </w:p>
        </w:tc>
      </w:tr>
    </w:tbl>
    <w:p>
      <w:pPr>
        <w:pageBreakBefore w:val="0"/>
        <w:spacing w:beforeAutospacing="0" w:afterAutospacing="0"/>
        <w:rPr>
          <w:rFonts w:ascii="宋体" w:hAnsi="宋体"/>
          <w:sz w:val="24"/>
          <w:szCs w:val="24"/>
        </w:rPr>
      </w:pPr>
      <w:r>
        <w:rPr>
          <w:rFonts w:ascii="宋体" w:hAnsi="宋体"/>
          <w:sz w:val="24"/>
          <w:szCs w:val="24"/>
        </w:rPr>
      </w:r>
      <w:r/>
    </w:p>
    <w:p>
      <w:pPr>
        <w:pageBreakBefore w:val="0"/>
        <w:spacing w:beforeAutospacing="0" w:afterAutospacing="0"/>
        <w:rPr>
          <w:rFonts w:ascii="宋体" w:hAnsi="宋体"/>
          <w:sz w:val="24"/>
          <w:szCs w:val="24"/>
        </w:rPr>
      </w:pPr>
      <w:r>
        <w:rPr>
          <w:rFonts w:ascii="宋体" w:hAnsi="宋体"/>
          <w:sz w:val="24"/>
          <w:szCs w:val="24"/>
        </w:rPr>
      </w:r>
      <w:r/>
    </w:p>
    <w:p>
      <w:pPr>
        <w:jc w:val="both"/>
        <w:pageBreakBefore w:val="0"/>
        <w:spacing w:beforeAutospacing="0" w:afterAutospacing="0"/>
        <w:rPr>
          <w:rFonts w:hint="eastAsia" w:ascii="宋体" w:hAnsi="宋体"/>
          <w:b/>
          <w:sz w:val="24"/>
          <w:szCs w:val="24"/>
          <w:lang w:val="en-US" w:eastAsia="zh-CN"/>
        </w:rPr>
      </w:pPr>
      <w:r>
        <w:rPr>
          <w:rFonts w:hint="eastAsia" w:ascii="宋体" w:hAnsi="宋体"/>
          <w:b/>
          <w:sz w:val="24"/>
          <w:szCs w:val="24"/>
          <w:lang w:val="en-US" w:eastAsia="zh-CN"/>
        </w:rPr>
      </w:r>
      <w:r/>
    </w:p>
    <w:p>
      <w:pPr>
        <w:jc w:val="both"/>
        <w:pageBreakBefore w:val="0"/>
        <w:spacing w:beforeAutospacing="0" w:afterAutospacing="0"/>
        <w:rPr>
          <w:rFonts w:hint="eastAsia" w:ascii="宋体" w:hAnsi="宋体"/>
          <w:b/>
          <w:sz w:val="24"/>
          <w:szCs w:val="24"/>
          <w:lang w:val="en-US" w:eastAsia="zh-CN"/>
        </w:rPr>
      </w:pPr>
      <w:r>
        <w:rPr>
          <w:rFonts w:hint="eastAsia" w:ascii="宋体" w:hAnsi="宋体"/>
          <w:b/>
          <w:sz w:val="24"/>
          <w:szCs w:val="24"/>
          <w:lang w:val="en-US" w:eastAsia="zh-CN"/>
        </w:rPr>
      </w:r>
      <w:r/>
    </w:p>
    <w:p>
      <w:pPr>
        <w:jc w:val="center"/>
        <w:pageBreakBefore w:val="0"/>
        <w:spacing w:beforeAutospacing="0" w:afterAutospacing="0"/>
        <w:rPr>
          <w:rFonts w:ascii="宋体" w:hAnsi="宋体"/>
          <w:b/>
          <w:sz w:val="24"/>
          <w:szCs w:val="24"/>
        </w:rPr>
      </w:pPr>
      <w:r>
        <w:rPr>
          <w:rFonts w:ascii="宋体" w:hAnsi="宋体"/>
          <w:b/>
          <w:sz w:val="24"/>
          <w:szCs w:val="24"/>
        </w:rPr>
      </w:r>
      <w:r/>
    </w:p>
    <w:p>
      <w:pPr>
        <w:jc w:val="center"/>
        <w:pageBreakBefore w:val="0"/>
        <w:spacing w:beforeAutospacing="0" w:afterAutospacing="0"/>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投标分项报价表（采购包号：***）</w:t>
      </w:r>
      <w:r/>
    </w:p>
    <w:tbl>
      <w:tblPr>
        <w:tblStyle w:val="719"/>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t xml:space="preserve">2</w:t>
            </w:r>
            <w:r/>
          </w:p>
        </w:tc>
        <w:tc>
          <w:tcPr>
            <w:tcW w:w="938"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ascii="宋体" w:hAnsi="宋体"/>
                <w:sz w:val="24"/>
                <w:szCs w:val="24"/>
              </w:rPr>
              <w:t xml:space="preserve">5</w:t>
            </w:r>
            <w:r/>
          </w:p>
        </w:tc>
        <w:tc>
          <w:tcPr>
            <w:tcW w:w="1385"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t xml:space="preserve">产品</w:t>
            </w:r>
            <w:r/>
          </w:p>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t xml:space="preserve">名称</w:t>
            </w:r>
            <w:r/>
          </w:p>
        </w:tc>
        <w:tc>
          <w:tcPr>
            <w:tcW w:w="728"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t xml:space="preserve">品牌</w:t>
            </w:r>
            <w:r/>
          </w:p>
        </w:tc>
        <w:tc>
          <w:tcPr>
            <w:tcW w:w="938"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t xml:space="preserve">规格</w:t>
            </w:r>
            <w:r/>
          </w:p>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jc w:val="center"/>
              <w:pageBreakBefore w:val="0"/>
              <w:spacing w:beforeAutospacing="0" w:afterAutospacing="0" w:line="0" w:lineRule="atLeast"/>
              <w:rPr>
                <w:rFonts w:ascii="宋体" w:hAnsi="宋体"/>
                <w:sz w:val="24"/>
                <w:szCs w:val="24"/>
              </w:rPr>
            </w:pPr>
            <w:r>
              <w:rPr>
                <w:rFonts w:hint="eastAsia" w:ascii="宋体" w:hAnsi="宋体"/>
                <w:sz w:val="24"/>
                <w:szCs w:val="24"/>
              </w:rPr>
              <w:t xml:space="preserve">分项</w:t>
            </w:r>
            <w:r/>
          </w:p>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jc w:val="center"/>
              <w:pageBreakBefore w:val="0"/>
              <w:spacing w:beforeAutospacing="0" w:afterAutospacing="0" w:line="0" w:lineRule="atLeast"/>
              <w:rPr>
                <w:rFonts w:ascii="宋体" w:hAnsi="宋体"/>
                <w:sz w:val="24"/>
                <w:szCs w:val="24"/>
              </w:rPr>
            </w:pPr>
            <w:r>
              <w:rPr>
                <w:rFonts w:hint="eastAsia" w:ascii="宋体" w:hAnsi="宋体"/>
                <w:sz w:val="24"/>
                <w:szCs w:val="24"/>
              </w:rPr>
              <w:t xml:space="preserve">分项</w:t>
            </w:r>
            <w:r/>
          </w:p>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pageBreakBefore w:val="0"/>
              <w:spacing w:beforeAutospacing="0" w:afterAutospacing="0" w:line="0" w:lineRule="atLeast"/>
              <w:rPr>
                <w:rFonts w:hint="eastAsia" w:ascii="宋体" w:hAnsi="宋体"/>
                <w:sz w:val="24"/>
                <w:szCs w:val="24"/>
                <w:highlight w:val="cyan"/>
              </w:rPr>
            </w:pPr>
            <w:r>
              <w:rPr>
                <w:rFonts w:hint="eastAsia" w:ascii="宋体" w:hAnsi="宋体"/>
                <w:sz w:val="24"/>
                <w:szCs w:val="24"/>
                <w:highlight w:val="cyan"/>
              </w:rPr>
            </w:r>
            <w:r/>
          </w:p>
        </w:tc>
        <w:tc>
          <w:tcPr>
            <w:tcW w:w="1106" w:type="dxa"/>
            <w:vAlign w:val="top"/>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pageBreakBefore w:val="0"/>
              <w:spacing w:beforeAutospacing="0" w:afterAutospacing="0"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924"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val="false"/>
          </w:tcPr>
          <w:p>
            <w:pPr>
              <w:jc w:val="center"/>
              <w:pageBreakBefore w:val="0"/>
              <w:spacing w:beforeAutospacing="0" w:afterAutospacing="0"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pageBreakBefore w:val="0"/>
              <w:spacing w:beforeAutospacing="0" w:afterAutospacing="0" w:line="0" w:lineRule="atLeast"/>
              <w:rPr>
                <w:rFonts w:hint="eastAsia" w:ascii="宋体" w:hAnsi="宋体"/>
                <w:sz w:val="24"/>
                <w:szCs w:val="24"/>
              </w:rPr>
            </w:pPr>
            <w:r>
              <w:rPr>
                <w:rFonts w:hint="eastAsia" w:ascii="宋体" w:hAnsi="宋体"/>
                <w:sz w:val="24"/>
                <w:szCs w:val="24"/>
              </w:rPr>
            </w:r>
            <w:r/>
          </w:p>
        </w:tc>
      </w:tr>
      <w:tr>
        <w:trPr>
          <w:cantSplit/>
          <w:trHeight w:val="434"/>
        </w:trPr>
        <w:tc>
          <w:tcPr>
            <w:gridSpan w:val="10"/>
            <w:tcW w:w="9263" w:type="dxa"/>
            <w:vAlign w:val="top"/>
            <w:textDirection w:val="lrTb"/>
            <w:noWrap w:val="false"/>
          </w:tcPr>
          <w:p>
            <w:pPr>
              <w:pageBreakBefore w:val="0"/>
              <w:spacing w:beforeAutospacing="0" w:afterAutospacing="0"/>
              <w:rPr>
                <w:rFonts w:ascii="宋体" w:hAnsi="宋体" w:eastAsia="宋体"/>
                <w:sz w:val="24"/>
                <w:szCs w:val="24"/>
                <w:u w:val="single"/>
                <w:lang w:val="en-US" w:eastAsia="zh-CN"/>
              </w:rPr>
            </w:pPr>
            <w:r>
              <w:rPr>
                <w:rFonts w:hint="eastAsia" w:ascii="宋体" w:hAnsi="宋体"/>
                <w:sz w:val="24"/>
                <w:szCs w:val="24"/>
              </w:rPr>
              <w:t xml:space="preserve">投标总报价（人民币：元）</w:t>
            </w:r>
            <w:r>
              <w:rPr>
                <w:rFonts w:hint="eastAsia" w:ascii="宋体" w:hAnsi="宋体"/>
                <w:sz w:val="24"/>
                <w:szCs w:val="24"/>
                <w:u w:val="single"/>
                <w:lang w:val="en-US" w:eastAsia="zh-CN"/>
              </w:rPr>
              <w:t xml:space="preserve">                             </w:t>
            </w:r>
            <w:r/>
          </w:p>
        </w:tc>
      </w:tr>
      <w:tr>
        <w:trPr>
          <w:cantSplit/>
          <w:trHeight w:val="767"/>
        </w:trPr>
        <w:tc>
          <w:tcPr>
            <w:gridSpan w:val="10"/>
            <w:tcW w:w="9263" w:type="dxa"/>
            <w:vAlign w:val="top"/>
            <w:textDirection w:val="lrTb"/>
            <w:noWrap w:val="false"/>
          </w:tcPr>
          <w:p>
            <w:pPr>
              <w:pStyle w:val="959"/>
              <w:ind w:right="0"/>
              <w:keepLines w:val="0"/>
              <w:keepNext w:val="0"/>
              <w:pageBreakBefore w:val="0"/>
              <w:spacing w:before="0" w:beforeAutospacing="0" w:after="0" w:afterAutospacing="0" w:line="0" w:lineRule="atLeast"/>
              <w:widowControl/>
              <w:rPr>
                <w:rFonts w:hint="eastAsia" w:ascii="宋体" w:hAnsi="宋体"/>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lang w:eastAsia="zh-CN"/>
              </w:rPr>
              <w:t xml:space="preserve">本</w:t>
            </w:r>
            <w:r>
              <w:rPr>
                <w:rFonts w:hint="eastAsia" w:ascii="宋体" w:hAnsi="宋体" w:eastAsia="宋体" w:cs="宋体"/>
                <w:i w:val="0"/>
                <w:iCs w:val="0"/>
                <w:caps w:val="0"/>
                <w:color w:val="000000"/>
                <w:spacing w:val="0"/>
                <w:sz w:val="24"/>
                <w:szCs w:val="24"/>
                <w:highlight w:val="none"/>
              </w:rPr>
              <w:t xml:space="preserve">采购包</w:t>
            </w:r>
            <w:r>
              <w:rPr>
                <w:rFonts w:hint="eastAsia" w:ascii="宋体" w:hAnsi="宋体" w:eastAsia="宋体" w:cs="宋体"/>
                <w:i w:val="0"/>
                <w:iCs w:val="0"/>
                <w:caps w:val="0"/>
                <w:color w:val="000000"/>
                <w:spacing w:val="0"/>
                <w:sz w:val="24"/>
                <w:szCs w:val="24"/>
                <w:highlight w:val="none"/>
                <w:u w:val="none"/>
                <w:lang w:val="en-US" w:eastAsia="zh-CN"/>
              </w:rPr>
              <w:t xml:space="preserve">中</w:t>
            </w:r>
            <w:r>
              <w:rPr>
                <w:rFonts w:hint="eastAsia" w:ascii="宋体" w:hAnsi="宋体" w:eastAsia="宋体" w:cs="宋体"/>
                <w:i w:val="0"/>
                <w:iCs w:val="0"/>
                <w:caps w:val="0"/>
                <w:color w:val="000000"/>
                <w:spacing w:val="0"/>
                <w:sz w:val="24"/>
                <w:szCs w:val="24"/>
                <w:highlight w:val="none"/>
              </w:rPr>
              <w:t xml:space="preserve">提供的符合本国产品标准的产品成本之和占</w:t>
            </w:r>
            <w:r>
              <w:rPr>
                <w:rFonts w:hint="eastAsia" w:ascii="宋体" w:hAnsi="宋体" w:eastAsia="宋体" w:cs="宋体"/>
                <w:i w:val="0"/>
                <w:iCs w:val="0"/>
                <w:caps w:val="0"/>
                <w:color w:val="000000"/>
                <w:spacing w:val="0"/>
                <w:sz w:val="24"/>
                <w:szCs w:val="24"/>
                <w:highlight w:val="none"/>
                <w:lang w:eastAsia="zh-CN"/>
              </w:rPr>
              <w:t xml:space="preserve">该采购包</w:t>
            </w:r>
            <w:r>
              <w:rPr>
                <w:rFonts w:hint="eastAsia" w:ascii="宋体" w:hAnsi="宋体" w:eastAsia="宋体" w:cs="宋体"/>
                <w:i w:val="0"/>
                <w:iCs w:val="0"/>
                <w:caps w:val="0"/>
                <w:color w:val="000000"/>
                <w:spacing w:val="0"/>
                <w:sz w:val="24"/>
                <w:szCs w:val="24"/>
                <w:highlight w:val="none"/>
              </w:rPr>
              <w:t xml:space="preserve">提供的全部产品成本之和的比例</w:t>
            </w:r>
            <w:r>
              <w:rPr>
                <w:rFonts w:hint="eastAsia" w:ascii="宋体" w:hAnsi="宋体" w:eastAsia="宋体" w:cs="宋体"/>
                <w:i w:val="0"/>
                <w:iCs w:val="0"/>
                <w:caps w:val="0"/>
                <w:color w:val="000000"/>
                <w:spacing w:val="0"/>
                <w:sz w:val="24"/>
                <w:szCs w:val="24"/>
                <w:highlight w:val="none"/>
                <w:lang w:eastAsia="zh-CN"/>
              </w:rPr>
              <w:t xml:space="preserve">为</w:t>
            </w:r>
            <w:r>
              <w:rPr>
                <w:rFonts w:hint="eastAsia" w:ascii="宋体" w:hAnsi="宋体" w:eastAsia="宋体" w:cs="宋体"/>
                <w:i w:val="0"/>
                <w:iCs w:val="0"/>
                <w:caps w:val="0"/>
                <w:color w:val="000000"/>
                <w:spacing w:val="0"/>
                <w:sz w:val="24"/>
                <w:szCs w:val="24"/>
                <w:highlight w:val="none"/>
                <w:u w:val="single"/>
                <w:lang w:val="en-US" w:eastAsia="zh-CN"/>
              </w:rPr>
              <w:t xml:space="preserve">***</w:t>
            </w:r>
            <w:r>
              <w:rPr>
                <w:rFonts w:hint="eastAsia" w:ascii="宋体" w:hAnsi="宋体" w:eastAsia="宋体" w:cs="宋体"/>
                <w:i w:val="0"/>
                <w:iCs w:val="0"/>
                <w:caps w:val="0"/>
                <w:color w:val="000000"/>
                <w:spacing w:val="0"/>
                <w:sz w:val="24"/>
                <w:szCs w:val="24"/>
                <w:highlight w:val="none"/>
                <w:u w:val="none"/>
              </w:rPr>
              <w:t xml:space="preserve">%</w:t>
            </w:r>
            <w:r>
              <w:rPr>
                <w:rFonts w:hint="eastAsia" w:ascii="宋体" w:hAnsi="宋体" w:eastAsia="宋体" w:cs="宋体"/>
                <w:i w:val="0"/>
                <w:iCs w:val="0"/>
                <w:caps w:val="0"/>
                <w:color w:val="000000"/>
                <w:spacing w:val="0"/>
                <w:sz w:val="24"/>
                <w:szCs w:val="24"/>
                <w:highlight w:val="none"/>
                <w:lang w:eastAsia="zh-CN"/>
              </w:rPr>
              <w:t xml:space="preserve">。</w:t>
            </w:r>
            <w:r/>
          </w:p>
        </w:tc>
      </w:tr>
    </w:tbl>
    <w:p>
      <w:pPr>
        <w:pageBreakBefore w:val="0"/>
        <w:spacing w:beforeAutospacing="0" w:afterAutospacing="0" w:line="400" w:lineRule="exact"/>
        <w:rPr>
          <w:rFonts w:ascii="宋体" w:hAnsi="宋体"/>
          <w:sz w:val="24"/>
          <w:szCs w:val="24"/>
        </w:rPr>
      </w:pPr>
      <w:r>
        <w:rPr>
          <w:rFonts w:hint="eastAsia" w:ascii="宋体" w:hAnsi="宋体"/>
          <w:sz w:val="24"/>
          <w:szCs w:val="24"/>
        </w:rPr>
        <w:t xml:space="preserve">备注：</w:t>
      </w:r>
      <w:r/>
    </w:p>
    <w:p>
      <w:pPr>
        <w:pageBreakBefore w:val="0"/>
        <w:spacing w:beforeAutospacing="0" w:afterAutospacing="0" w:line="400" w:lineRule="exact"/>
        <w:rPr>
          <w:rFonts w:hint="eastAsia" w:ascii="宋体" w:hAnsi="宋体" w:eastAsia="宋体"/>
          <w:sz w:val="24"/>
          <w:szCs w:val="21"/>
          <w:lang w:eastAsia="zh-CN"/>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w:t>
      </w:r>
      <w:r>
        <w:rPr>
          <w:rFonts w:hint="eastAsia" w:ascii="宋体" w:hAnsi="宋体" w:eastAsia="宋体" w:cs="Times New Roman"/>
          <w:sz w:val="24"/>
          <w:szCs w:val="21"/>
        </w:rPr>
        <w:t xml:space="preserve">“投标总报价”</w:t>
      </w:r>
      <w:r>
        <w:rPr>
          <w:rFonts w:hint="eastAsia" w:ascii="宋体" w:hAnsi="宋体" w:eastAsia="宋体" w:cs="Times New Roman"/>
          <w:sz w:val="24"/>
          <w:szCs w:val="21"/>
          <w:lang w:eastAsia="zh-CN"/>
        </w:rPr>
        <w:t xml:space="preserve">数额为各“分项总价”之和。</w:t>
      </w:r>
      <w:r/>
    </w:p>
    <w:p>
      <w:pPr>
        <w:pageBreakBefore w:val="0"/>
        <w:spacing w:beforeAutospacing="0" w:afterAutospacing="0" w:line="400" w:lineRule="exact"/>
        <w:rPr>
          <w:rFonts w:hint="eastAsia" w:ascii="宋体" w:hAnsi="宋体"/>
          <w:sz w:val="24"/>
          <w:szCs w:val="21"/>
        </w:rPr>
      </w:pPr>
      <w:r>
        <w:rPr>
          <w:rFonts w:hint="eastAsia" w:ascii="宋体" w:hAnsi="宋体"/>
          <w:sz w:val="24"/>
          <w:szCs w:val="21"/>
        </w:rPr>
        <w:t xml:space="preserve">2.</w:t>
      </w:r>
      <w:r>
        <w:rPr>
          <w:rFonts w:hint="eastAsia" w:ascii="Times New Roman" w:hAnsi="Times New Roman"/>
          <w:szCs w:val="21"/>
        </w:rPr>
        <w:t xml:space="preserve">“</w:t>
      </w:r>
      <w:r>
        <w:rPr>
          <w:rFonts w:hint="eastAsia" w:ascii="宋体" w:hAnsi="宋体"/>
          <w:sz w:val="24"/>
          <w:szCs w:val="21"/>
        </w:rPr>
        <w:t xml:space="preserve">投标分项报价表</w:t>
      </w:r>
      <w:r>
        <w:rPr>
          <w:rFonts w:hint="eastAsia" w:ascii="Times New Roman" w:hAnsi="Times New Roman"/>
          <w:szCs w:val="21"/>
        </w:rPr>
        <w:t xml:space="preserve">”</w:t>
      </w:r>
      <w:r>
        <w:rPr>
          <w:rFonts w:hint="eastAsia" w:ascii="宋体" w:hAnsi="宋体"/>
          <w:sz w:val="24"/>
          <w:szCs w:val="21"/>
        </w:rPr>
        <w:t xml:space="preserve">中“投标总报价”数额应当与“开标一览表”中“投标总报价”数额一致。</w:t>
      </w:r>
      <w:r/>
    </w:p>
    <w:p>
      <w:pPr>
        <w:pageBreakBefore w:val="0"/>
        <w:spacing w:beforeAutospacing="0" w:afterAutospacing="0"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3.</w:t>
      </w:r>
      <w:r>
        <w:rPr>
          <w:rFonts w:hint="eastAsia" w:ascii="宋体" w:hAnsi="宋体" w:eastAsia="宋体" w:cs="Times New Roman"/>
          <w:sz w:val="24"/>
          <w:szCs w:val="21"/>
          <w:lang w:eastAsia="zh-CN"/>
        </w:rPr>
        <w:t xml:space="preserve">本</w:t>
      </w:r>
      <w:r>
        <w:rPr>
          <w:rFonts w:hint="eastAsia" w:ascii="宋体" w:hAnsi="宋体" w:eastAsia="宋体" w:cs="Times New Roman"/>
          <w:sz w:val="24"/>
          <w:szCs w:val="21"/>
          <w:lang w:val="en-US" w:eastAsia="zh-CN"/>
        </w:rPr>
        <w:t xml:space="preserve">采购包中含有多种产品时，</w:t>
      </w:r>
      <w:r>
        <w:rPr>
          <w:rFonts w:hint="eastAsia" w:ascii="宋体" w:hAnsi="宋体" w:eastAsia="宋体" w:cs="Times New Roman"/>
          <w:sz w:val="24"/>
          <w:szCs w:val="21"/>
        </w:rPr>
        <w:t xml:space="preserve">供应商未填写本采购包中提供的符合本国产品标准的产品成本之和占该采购包提供的全部产品成本之和的比例数值的，或比例数值低于80%的，将不享受本国产品价格评审优惠。</w:t>
      </w:r>
      <w:r/>
    </w:p>
    <w:p>
      <w:pPr>
        <w:pageBreakBefore w:val="0"/>
        <w:spacing w:beforeAutospacing="0" w:afterAutospacing="0" w:line="400" w:lineRule="exact"/>
        <w:rPr>
          <w:rFonts w:hint="eastAsia" w:ascii="方正黑体_GBK" w:hAnsi="宋体" w:eastAsia="方正黑体_GBK"/>
          <w:b/>
          <w:sz w:val="32"/>
          <w:szCs w:val="32"/>
        </w:rPr>
      </w:pPr>
      <w:r>
        <w:rPr>
          <w:rFonts w:hint="eastAsia" w:ascii="方正黑体_GBK" w:hAnsi="宋体" w:eastAsia="方正黑体_GBK"/>
          <w:b/>
          <w:sz w:val="32"/>
          <w:szCs w:val="32"/>
          <w:lang w:val="en-US" w:eastAsia="zh-CN"/>
        </w:rPr>
        <w:t xml:space="preserve">4</w:t>
      </w:r>
      <w:r>
        <w:rPr>
          <w:rFonts w:hint="eastAsia" w:ascii="方正黑体_GBK" w:hAnsi="宋体" w:eastAsia="方正黑体_GBK"/>
          <w:b/>
          <w:sz w:val="32"/>
          <w:szCs w:val="32"/>
        </w:rPr>
        <w:t xml:space="preserve">.投标人需认真填写本报价表，尤其注意规格型号的准确填写。</w:t>
      </w:r>
      <w:r/>
    </w:p>
    <w:p>
      <w:pPr>
        <w:pageBreakBefore w:val="0"/>
        <w:spacing w:beforeAutospacing="0" w:afterAutospacing="0" w:line="400" w:lineRule="exact"/>
        <w:rPr>
          <w:rFonts w:hint="eastAsia" w:ascii="宋体" w:hAnsi="宋体"/>
          <w:sz w:val="24"/>
          <w:szCs w:val="24"/>
        </w:rPr>
      </w:pPr>
      <w:r>
        <w:rPr>
          <w:rFonts w:hint="eastAsia" w:ascii="宋体" w:hAnsi="宋体"/>
          <w:sz w:val="24"/>
          <w:szCs w:val="21"/>
          <w:lang w:val="en-US" w:eastAsia="zh-CN"/>
        </w:rPr>
        <w:t xml:space="preserve">5</w:t>
      </w:r>
      <w:r>
        <w:rPr>
          <w:rFonts w:hint="eastAsia" w:ascii="宋体" w:hAnsi="宋体"/>
          <w:sz w:val="24"/>
          <w:szCs w:val="21"/>
        </w:rPr>
        <w:t xml:space="preserve">.项目</w:t>
      </w:r>
      <w:r>
        <w:rPr>
          <w:rFonts w:ascii="宋体" w:hAnsi="宋体"/>
          <w:sz w:val="24"/>
          <w:szCs w:val="21"/>
        </w:rPr>
        <w:t xml:space="preserve">经办人可以根据</w:t>
      </w:r>
      <w:r>
        <w:rPr>
          <w:rFonts w:hint="eastAsia" w:ascii="宋体" w:hAnsi="宋体"/>
          <w:sz w:val="24"/>
          <w:szCs w:val="21"/>
        </w:rPr>
        <w:t xml:space="preserve">项目</w:t>
      </w:r>
      <w:r>
        <w:rPr>
          <w:rFonts w:ascii="宋体" w:hAnsi="宋体"/>
          <w:sz w:val="24"/>
          <w:szCs w:val="21"/>
        </w:rPr>
        <w:t xml:space="preserve">实际需要</w:t>
      </w:r>
      <w:r>
        <w:rPr>
          <w:rFonts w:hint="eastAsia" w:ascii="宋体" w:hAnsi="宋体"/>
          <w:sz w:val="24"/>
          <w:szCs w:val="21"/>
        </w:rPr>
        <w:t xml:space="preserve">对</w:t>
      </w:r>
      <w:r>
        <w:rPr>
          <w:rFonts w:ascii="宋体" w:hAnsi="宋体"/>
          <w:sz w:val="24"/>
          <w:szCs w:val="21"/>
        </w:rPr>
        <w:t xml:space="preserve">表格结构进行</w:t>
      </w:r>
      <w:r>
        <w:rPr>
          <w:rFonts w:hint="eastAsia" w:ascii="宋体" w:hAnsi="宋体"/>
          <w:sz w:val="24"/>
          <w:szCs w:val="21"/>
        </w:rPr>
        <w:t xml:space="preserve">调整</w:t>
      </w:r>
      <w:r>
        <w:rPr>
          <w:rFonts w:ascii="宋体" w:hAnsi="宋体"/>
          <w:sz w:val="24"/>
          <w:szCs w:val="21"/>
        </w:rPr>
        <w:t xml:space="preserve">。</w:t>
      </w:r>
      <w:r/>
    </w:p>
    <w:p>
      <w:pPr>
        <w:jc w:val="center"/>
        <w:pageBreakBefore w:val="0"/>
        <w:spacing w:beforeAutospacing="0" w:afterAutospacing="0"/>
        <w:rPr>
          <w:rFonts w:hint="eastAsia" w:ascii="宋体" w:hAnsi="宋体"/>
          <w:b/>
          <w:sz w:val="24"/>
          <w:szCs w:val="24"/>
        </w:rPr>
      </w:pPr>
      <w:r>
        <w:rPr>
          <w:rFonts w:hint="eastAsia" w:ascii="宋体" w:hAnsi="宋体"/>
          <w:b/>
          <w:sz w:val="24"/>
          <w:szCs w:val="24"/>
        </w:rPr>
      </w:r>
      <w:r/>
    </w:p>
    <w:p>
      <w:pPr>
        <w:jc w:val="center"/>
        <w:pageBreakBefore w:val="0"/>
        <w:spacing w:beforeAutospacing="0" w:afterAutospacing="0"/>
        <w:rPr>
          <w:rFonts w:hint="eastAsia" w:ascii="宋体" w:hAnsi="宋体"/>
          <w:b/>
          <w:sz w:val="24"/>
          <w:szCs w:val="24"/>
        </w:rPr>
      </w:pPr>
      <w:r>
        <w:rPr>
          <w:rFonts w:hint="eastAsia" w:ascii="宋体" w:hAnsi="宋体"/>
          <w:b/>
          <w:sz w:val="24"/>
          <w:szCs w:val="24"/>
        </w:rPr>
      </w:r>
      <w:r/>
    </w:p>
    <w:p>
      <w:pPr>
        <w:jc w:val="center"/>
        <w:pageBreakBefore w:val="0"/>
        <w:spacing w:beforeAutospacing="0" w:afterAutospacing="0"/>
        <w:rPr>
          <w:rFonts w:hint="eastAsia" w:ascii="宋体" w:hAnsi="宋体"/>
          <w:b/>
          <w:sz w:val="24"/>
          <w:szCs w:val="24"/>
        </w:rPr>
      </w:pPr>
      <w:r>
        <w:rPr>
          <w:rFonts w:hint="eastAsia" w:ascii="宋体" w:hAnsi="宋体"/>
          <w:b/>
          <w:sz w:val="24"/>
          <w:szCs w:val="24"/>
        </w:rPr>
      </w:r>
      <w:r/>
    </w:p>
    <w:p>
      <w:pPr>
        <w:jc w:val="center"/>
        <w:pageBreakBefore w:val="0"/>
        <w:spacing w:beforeAutospacing="0" w:afterAutospacing="0"/>
        <w:rPr>
          <w:rFonts w:hint="eastAsia" w:ascii="宋体" w:hAnsi="宋体"/>
          <w:b/>
          <w:sz w:val="24"/>
          <w:szCs w:val="24"/>
        </w:rPr>
      </w:pPr>
      <w:r>
        <w:rPr>
          <w:rFonts w:hint="eastAsia" w:ascii="宋体" w:hAnsi="宋体"/>
          <w:b/>
          <w:sz w:val="24"/>
          <w:szCs w:val="24"/>
        </w:rPr>
      </w:r>
      <w:r/>
    </w:p>
    <w:p>
      <w:pPr>
        <w:jc w:val="center"/>
        <w:pageBreakBefore w:val="0"/>
        <w:spacing w:beforeAutospacing="0" w:afterAutospacing="0"/>
        <w:rPr>
          <w:rFonts w:hint="eastAsia" w:ascii="宋体" w:hAnsi="宋体"/>
          <w:b/>
          <w:sz w:val="24"/>
          <w:szCs w:val="24"/>
        </w:rPr>
      </w:pPr>
      <w:r>
        <w:rPr>
          <w:rFonts w:hint="eastAsia" w:ascii="宋体" w:hAnsi="宋体"/>
          <w:b/>
          <w:sz w:val="24"/>
          <w:szCs w:val="24"/>
        </w:rPr>
      </w:r>
      <w:r/>
    </w:p>
    <w:p>
      <w:pPr>
        <w:jc w:val="center"/>
        <w:pageBreakBefore w:val="0"/>
        <w:spacing w:beforeAutospacing="0" w:afterAutospacing="0"/>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Style w:val="719"/>
        <w:tblW w:w="89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pageBreakBefore w:val="0"/>
              <w:spacing w:beforeAutospacing="0" w:afterAutospacing="0"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pageBreakBefore w:val="0"/>
              <w:spacing w:beforeAutospacing="0" w:afterAutospacing="0"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pageBreakBefore w:val="0"/>
              <w:spacing w:beforeAutospacing="0" w:afterAutospacing="0"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pageBreakBefore w:val="0"/>
              <w:spacing w:beforeAutospacing="0" w:afterAutospacing="0"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pageBreakBefore w:val="0"/>
              <w:spacing w:beforeAutospacing="0" w:afterAutospacing="0"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pageBreakBefore w:val="0"/>
              <w:spacing w:beforeAutospacing="0" w:afterAutospacing="0"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pageBreakBefore w:val="0"/>
              <w:spacing w:beforeAutospacing="0" w:afterAutospacing="0"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pageBreakBefore w:val="0"/>
              <w:spacing w:beforeAutospacing="0" w:afterAutospacing="0"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pageBreakBefore w:val="0"/>
              <w:spacing w:beforeAutospacing="0" w:afterAutospacing="0"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pageBreakBefore w:val="0"/>
              <w:spacing w:beforeAutospacing="0" w:afterAutospacing="0"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pageBreakBefore w:val="0"/>
              <w:spacing w:beforeAutospacing="0" w:afterAutospacing="0"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pageBreakBefore w:val="0"/>
              <w:spacing w:beforeAutospacing="0" w:afterAutospacing="0" w:line="400" w:lineRule="exact"/>
              <w:rPr>
                <w:rFonts w:hint="eastAsia" w:ascii="宋体" w:hAnsi="宋体"/>
                <w:sz w:val="24"/>
                <w:szCs w:val="24"/>
              </w:rPr>
            </w:pPr>
            <w:r>
              <w:rPr>
                <w:rFonts w:hint="eastAsia" w:ascii="宋体" w:hAnsi="宋体"/>
                <w:sz w:val="24"/>
                <w:szCs w:val="24"/>
              </w:rPr>
            </w:r>
            <w:r/>
          </w:p>
        </w:tc>
      </w:tr>
    </w:tbl>
    <w:p>
      <w:pPr>
        <w:pageBreakBefore w:val="0"/>
        <w:spacing w:beforeAutospacing="0" w:afterAutospacing="0"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pageBreakBefore w:val="0"/>
        <w:spacing w:beforeAutospacing="0" w:afterAutospacing="0" w:line="400" w:lineRule="exact"/>
        <w:rPr>
          <w:rFonts w:ascii="宋体" w:hAnsi="宋体"/>
          <w:sz w:val="24"/>
          <w:szCs w:val="24"/>
        </w:rPr>
      </w:pPr>
      <w:r>
        <w:rPr>
          <w:rFonts w:ascii="宋体" w:hAnsi="宋体"/>
          <w:sz w:val="24"/>
          <w:szCs w:val="24"/>
        </w:rPr>
      </w:r>
      <w:r/>
    </w:p>
    <w:p>
      <w:pPr>
        <w:pageBreakBefore w:val="0"/>
        <w:spacing w:beforeAutospacing="0" w:afterAutospacing="0"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ageBreakBefore w:val="0"/>
        <w:spacing w:beforeAutospacing="0" w:afterAutospacing="0" w:line="400" w:lineRule="exact"/>
        <w:rPr>
          <w:rFonts w:ascii="宋体" w:hAnsi="宋体"/>
          <w:sz w:val="24"/>
          <w:szCs w:val="24"/>
        </w:rPr>
      </w:pPr>
      <w:r>
        <w:rPr>
          <w:rFonts w:hint="eastAsia" w:ascii="宋体" w:hAnsi="宋体" w:eastAsia="宋体" w:cs="宋体"/>
          <w:color w:val="000000"/>
          <w:sz w:val="24"/>
          <w:szCs w:val="24"/>
        </w:rPr>
        <w:t xml:space="preserve">1.投标人需对招标文件技术要求中非实质性要求（</w:t>
      </w:r>
      <w:r>
        <w:rPr>
          <w:rFonts w:hint="eastAsia" w:ascii="宋体" w:hAnsi="宋体" w:eastAsia="宋体" w:cs="宋体"/>
          <w:b/>
          <w:color w:val="000000"/>
          <w:sz w:val="24"/>
          <w:szCs w:val="24"/>
        </w:rPr>
        <w:t xml:space="preserve">未加</w:t>
      </w:r>
      <w:r>
        <w:rPr>
          <w:rFonts w:hint="eastAsia" w:ascii="宋体" w:hAnsi="宋体" w:eastAsia="宋体" w:cs="宋体"/>
          <w:b/>
          <w:i/>
          <w:color w:val="000000"/>
          <w:sz w:val="24"/>
          <w:szCs w:val="24"/>
          <w:u w:val="single"/>
        </w:rPr>
        <w:t xml:space="preserve">斜体下划线</w:t>
      </w:r>
      <w:r>
        <w:rPr>
          <w:rFonts w:hint="eastAsia" w:ascii="宋体" w:hAnsi="宋体" w:eastAsia="宋体" w:cs="宋体"/>
          <w:b/>
          <w:iCs/>
          <w:color w:val="000000"/>
          <w:sz w:val="24"/>
          <w:szCs w:val="24"/>
        </w:rPr>
        <w:t xml:space="preserve">部分</w:t>
      </w:r>
      <w:r>
        <w:rPr>
          <w:rFonts w:hint="eastAsia" w:ascii="宋体" w:hAnsi="宋体" w:eastAsia="宋体" w:cs="宋体"/>
          <w:b/>
          <w:color w:val="000000"/>
          <w:sz w:val="24"/>
          <w:szCs w:val="24"/>
        </w:rPr>
        <w:t xml:space="preserve">或未加*号条款</w:t>
      </w:r>
      <w:r>
        <w:rPr>
          <w:rFonts w:hint="eastAsia" w:ascii="宋体" w:hAnsi="宋体" w:eastAsia="宋体" w:cs="宋体"/>
          <w:color w:val="000000"/>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pageBreakBefore w:val="0"/>
        <w:spacing w:beforeAutospacing="0" w:afterAutospacing="0"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ageBreakBefore w:val="0"/>
        <w:spacing w:beforeAutospacing="0" w:afterAutospacing="0" w:line="400" w:lineRule="exact"/>
        <w:rPr>
          <w:rFonts w:hint="eastAsia" w:ascii="宋体" w:hAnsi="宋体"/>
          <w:sz w:val="24"/>
          <w:szCs w:val="24"/>
        </w:rPr>
      </w:pPr>
      <w:r>
        <w:rPr>
          <w:rFonts w:hint="eastAsia" w:ascii="宋体" w:hAnsi="宋体"/>
          <w:sz w:val="24"/>
          <w:szCs w:val="24"/>
        </w:rPr>
      </w:r>
      <w:r/>
    </w:p>
    <w:p>
      <w:pPr>
        <w:pageBreakBefore w:val="0"/>
        <w:spacing w:beforeAutospacing="0" w:afterAutospacing="0" w:line="400" w:lineRule="exact"/>
        <w:rPr>
          <w:rFonts w:hint="eastAsia" w:ascii="宋体" w:hAnsi="宋体"/>
          <w:sz w:val="24"/>
          <w:szCs w:val="24"/>
        </w:rPr>
      </w:pPr>
      <w:r>
        <w:rPr>
          <w:rFonts w:hint="eastAsia" w:ascii="宋体" w:hAnsi="宋体"/>
          <w:sz w:val="24"/>
          <w:szCs w:val="24"/>
        </w:rPr>
      </w:r>
      <w:r/>
    </w:p>
    <w:p>
      <w:pPr>
        <w:pageBreakBefore w:val="0"/>
        <w:spacing w:beforeAutospacing="0" w:afterAutospacing="0" w:line="400" w:lineRule="exact"/>
        <w:rPr>
          <w:rFonts w:hint="eastAsia" w:ascii="宋体" w:hAnsi="宋体"/>
          <w:sz w:val="24"/>
          <w:szCs w:val="24"/>
        </w:rPr>
      </w:pPr>
      <w:r>
        <w:rPr>
          <w:rFonts w:hint="eastAsia" w:ascii="宋体" w:hAnsi="宋体"/>
          <w:sz w:val="24"/>
          <w:szCs w:val="24"/>
        </w:rPr>
      </w:r>
      <w:r/>
    </w:p>
    <w:p>
      <w:pPr>
        <w:jc w:val="center"/>
        <w:pageBreakBefore w:val="0"/>
        <w:spacing w:beforeAutospacing="0" w:afterAutospacing="0"/>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Style w:val="719"/>
        <w:tblW w:w="89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pageBreakBefore w:val="0"/>
              <w:spacing w:beforeAutospacing="0" w:afterAutospacing="0"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pageBreakBefore w:val="0"/>
              <w:spacing w:beforeAutospacing="0" w:afterAutospacing="0"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pageBreakBefore w:val="0"/>
              <w:spacing w:beforeAutospacing="0" w:afterAutospacing="0"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pageBreakBefore w:val="0"/>
              <w:spacing w:beforeAutospacing="0" w:afterAutospacing="0"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pageBreakBefore w:val="0"/>
              <w:spacing w:beforeAutospacing="0" w:afterAutospacing="0"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pageBreakBefore w:val="0"/>
              <w:spacing w:beforeAutospacing="0" w:afterAutospacing="0"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pageBreakBefore w:val="0"/>
              <w:spacing w:beforeAutospacing="0" w:afterAutospacing="0"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pageBreakBefore w:val="0"/>
              <w:spacing w:beforeAutospacing="0" w:afterAutospacing="0"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pageBreakBefore w:val="0"/>
              <w:spacing w:beforeAutospacing="0" w:afterAutospacing="0"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pageBreakBefore w:val="0"/>
              <w:spacing w:beforeAutospacing="0" w:afterAutospacing="0"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pageBreakBefore w:val="0"/>
              <w:spacing w:beforeAutospacing="0" w:afterAutospacing="0"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pageBreakBefore w:val="0"/>
              <w:spacing w:beforeAutospacing="0" w:afterAutospacing="0" w:line="400" w:lineRule="exact"/>
              <w:rPr>
                <w:rFonts w:hint="eastAsia" w:ascii="宋体" w:hAnsi="宋体"/>
                <w:sz w:val="24"/>
                <w:szCs w:val="24"/>
              </w:rPr>
            </w:pPr>
            <w:r>
              <w:rPr>
                <w:rFonts w:hint="eastAsia" w:ascii="宋体" w:hAnsi="宋体"/>
                <w:sz w:val="24"/>
                <w:szCs w:val="24"/>
              </w:rPr>
            </w:r>
            <w:r/>
          </w:p>
        </w:tc>
      </w:tr>
    </w:tbl>
    <w:p>
      <w:pPr>
        <w:pageBreakBefore w:val="0"/>
        <w:spacing w:beforeAutospacing="0" w:afterAutospacing="0"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pageBreakBefore w:val="0"/>
        <w:spacing w:beforeAutospacing="0" w:afterAutospacing="0" w:line="400" w:lineRule="exact"/>
        <w:rPr>
          <w:rFonts w:ascii="宋体" w:hAnsi="宋体"/>
          <w:sz w:val="24"/>
          <w:szCs w:val="24"/>
        </w:rPr>
      </w:pPr>
      <w:r>
        <w:rPr>
          <w:rFonts w:ascii="宋体" w:hAnsi="宋体"/>
          <w:sz w:val="24"/>
          <w:szCs w:val="24"/>
        </w:rPr>
      </w:r>
      <w:r/>
    </w:p>
    <w:p>
      <w:pPr>
        <w:pageBreakBefore w:val="0"/>
        <w:spacing w:beforeAutospacing="0" w:afterAutospacing="0"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ageBreakBefore w:val="0"/>
        <w:spacing w:beforeAutospacing="0" w:afterAutospacing="0" w:line="400" w:lineRule="exact"/>
        <w:rPr>
          <w:rFonts w:ascii="宋体" w:hAnsi="宋体"/>
          <w:sz w:val="24"/>
          <w:szCs w:val="24"/>
        </w:rPr>
      </w:pPr>
      <w:r>
        <w:rPr>
          <w:rFonts w:hint="eastAsia" w:ascii="宋体" w:hAnsi="宋体" w:eastAsia="宋体" w:cs="宋体"/>
          <w:color w:val="000000"/>
          <w:sz w:val="24"/>
          <w:szCs w:val="24"/>
        </w:rPr>
        <w:t xml:space="preserve">1.投标人需对招标文件商务要求中非实质性要求（</w:t>
      </w:r>
      <w:r>
        <w:rPr>
          <w:rFonts w:hint="eastAsia" w:ascii="宋体" w:hAnsi="宋体" w:eastAsia="宋体" w:cs="宋体"/>
          <w:b/>
          <w:color w:val="000000"/>
          <w:sz w:val="24"/>
          <w:szCs w:val="24"/>
        </w:rPr>
        <w:t xml:space="preserve">未加</w:t>
      </w:r>
      <w:r>
        <w:rPr>
          <w:rFonts w:hint="eastAsia" w:ascii="宋体" w:hAnsi="宋体" w:eastAsia="宋体" w:cs="宋体"/>
          <w:b/>
          <w:i/>
          <w:color w:val="000000"/>
          <w:sz w:val="24"/>
          <w:szCs w:val="24"/>
          <w:u w:val="single"/>
        </w:rPr>
        <w:t xml:space="preserve">斜体下划线</w:t>
      </w:r>
      <w:r>
        <w:rPr>
          <w:rFonts w:hint="eastAsia" w:ascii="宋体" w:hAnsi="宋体" w:eastAsia="宋体" w:cs="宋体"/>
          <w:b/>
          <w:iCs/>
          <w:color w:val="000000"/>
          <w:sz w:val="24"/>
          <w:szCs w:val="24"/>
        </w:rPr>
        <w:t xml:space="preserve">部分</w:t>
      </w:r>
      <w:r>
        <w:rPr>
          <w:rFonts w:hint="eastAsia" w:ascii="宋体" w:hAnsi="宋体" w:eastAsia="宋体" w:cs="宋体"/>
          <w:b/>
          <w:color w:val="000000"/>
          <w:sz w:val="24"/>
          <w:szCs w:val="24"/>
        </w:rPr>
        <w:t xml:space="preserve">或未加*号条款</w:t>
      </w:r>
      <w:r>
        <w:rPr>
          <w:rFonts w:hint="eastAsia" w:ascii="宋体" w:hAnsi="宋体" w:eastAsia="宋体" w:cs="宋体"/>
          <w:color w:val="000000"/>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pageBreakBefore w:val="0"/>
        <w:spacing w:beforeAutospacing="0" w:afterAutospacing="0"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ageBreakBefore w:val="0"/>
        <w:spacing w:beforeAutospacing="0" w:afterAutospacing="0"/>
        <w:rPr>
          <w:rFonts w:hint="eastAsia" w:ascii="宋体" w:hAnsi="宋体"/>
          <w:b/>
          <w:sz w:val="24"/>
          <w:szCs w:val="21"/>
        </w:rPr>
      </w:pPr>
      <w:r>
        <w:rPr>
          <w:rFonts w:hint="eastAsia" w:ascii="宋体" w:hAnsi="宋体"/>
          <w:b/>
          <w:sz w:val="24"/>
          <w:szCs w:val="21"/>
        </w:rPr>
      </w:r>
      <w:r/>
    </w:p>
    <w:p>
      <w:pPr>
        <w:ind w:left="480"/>
        <w:pageBreakBefore w:val="0"/>
        <w:spacing w:beforeAutospacing="0" w:afterAutospacing="0"/>
        <w:rPr>
          <w:rFonts w:ascii="宋体" w:hAnsi="宋体"/>
          <w:b/>
          <w:color w:val="000000"/>
          <w:sz w:val="24"/>
          <w:szCs w:val="21"/>
        </w:rPr>
      </w:pPr>
      <w:r>
        <w:rPr>
          <w:rFonts w:ascii="宋体" w:hAnsi="宋体"/>
          <w:b/>
          <w:color w:val="000000"/>
          <w:sz w:val="24"/>
          <w:szCs w:val="21"/>
        </w:rPr>
      </w:r>
      <w:r/>
    </w:p>
    <w:p>
      <w:pPr>
        <w:ind w:left="480"/>
        <w:pageBreakBefore w:val="0"/>
        <w:spacing w:beforeAutospacing="0" w:afterAutospacing="0"/>
        <w:rPr>
          <w:rFonts w:hint="eastAsia" w:ascii="宋体" w:hAnsi="宋体"/>
          <w:b/>
          <w:color w:val="000000"/>
          <w:sz w:val="24"/>
          <w:szCs w:val="21"/>
        </w:rPr>
      </w:pPr>
      <w:r>
        <w:rPr>
          <w:rFonts w:hint="eastAsia" w:ascii="宋体" w:hAnsi="宋体"/>
          <w:b/>
          <w:color w:val="000000"/>
          <w:sz w:val="24"/>
          <w:szCs w:val="21"/>
        </w:rPr>
      </w:r>
      <w:r/>
    </w:p>
    <w:p>
      <w:pPr>
        <w:ind w:left="480"/>
        <w:pageBreakBefore w:val="0"/>
        <w:spacing w:beforeAutospacing="0" w:afterAutospacing="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具备履行合同所必需的设备和专业技术能力的书面声明</w:t>
      </w:r>
      <w:r/>
    </w:p>
    <w:p>
      <w:pPr>
        <w:ind w:firstLine="492"/>
        <w:pageBreakBefore w:val="0"/>
        <w:spacing w:beforeAutospacing="0" w:afterAutospacing="0"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pageBreakBefore w:val="0"/>
        <w:spacing w:beforeAutospacing="0" w:afterAutospacing="0"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pageBreakBefore w:val="0"/>
        <w:spacing w:beforeAutospacing="0" w:afterAutospacing="0"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pageBreakBefore w:val="0"/>
        <w:spacing w:beforeAutospacing="0" w:afterAutospacing="0" w:line="460" w:lineRule="exact"/>
        <w:rPr>
          <w:rFonts w:hint="eastAsia" w:ascii="宋体" w:hAnsi="宋体"/>
          <w:bCs/>
          <w:color w:val="000000"/>
          <w:sz w:val="24"/>
          <w:szCs w:val="21"/>
        </w:rPr>
      </w:pPr>
      <w:r>
        <w:rPr>
          <w:rFonts w:hint="eastAsia" w:ascii="宋体" w:hAnsi="宋体"/>
          <w:bCs/>
          <w:color w:val="000000"/>
          <w:sz w:val="24"/>
          <w:szCs w:val="21"/>
        </w:rPr>
        <w:t xml:space="preserve">                                     </w:t>
      </w:r>
      <w:r/>
    </w:p>
    <w:p>
      <w:pPr>
        <w:ind w:left="480"/>
        <w:pageBreakBefore w:val="0"/>
        <w:spacing w:beforeAutospacing="0" w:afterAutospacing="0"/>
        <w:rPr>
          <w:rFonts w:ascii="宋体" w:hAnsi="宋体"/>
          <w:b/>
          <w:color w:val="000000"/>
          <w:sz w:val="24"/>
          <w:szCs w:val="21"/>
        </w:rPr>
      </w:pPr>
      <w:r>
        <w:rPr>
          <w:rFonts w:ascii="宋体" w:hAnsi="宋体"/>
          <w:b/>
          <w:color w:val="000000"/>
          <w:sz w:val="24"/>
          <w:szCs w:val="21"/>
        </w:rPr>
      </w:r>
      <w:r/>
    </w:p>
    <w:p>
      <w:pPr>
        <w:ind w:left="480"/>
        <w:pageBreakBefore w:val="0"/>
        <w:spacing w:beforeAutospacing="0" w:afterAutospacing="0"/>
        <w:rPr>
          <w:rFonts w:ascii="宋体" w:hAnsi="宋体"/>
          <w:b/>
          <w:color w:val="000000"/>
          <w:sz w:val="24"/>
          <w:szCs w:val="21"/>
        </w:rPr>
      </w:pPr>
      <w:r>
        <w:rPr>
          <w:rFonts w:ascii="宋体" w:hAnsi="宋体"/>
          <w:b/>
          <w:color w:val="000000"/>
          <w:sz w:val="24"/>
          <w:szCs w:val="21"/>
        </w:rPr>
      </w:r>
      <w:r/>
    </w:p>
    <w:p>
      <w:pPr>
        <w:ind w:left="480"/>
        <w:pageBreakBefore w:val="0"/>
        <w:spacing w:beforeAutospacing="0" w:afterAutospacing="0"/>
        <w:rPr>
          <w:rFonts w:ascii="宋体" w:hAnsi="宋体"/>
          <w:b/>
          <w:color w:val="000000"/>
          <w:sz w:val="24"/>
          <w:szCs w:val="21"/>
        </w:rPr>
      </w:pPr>
      <w:r>
        <w:rPr>
          <w:rFonts w:ascii="宋体" w:hAnsi="宋体"/>
          <w:b/>
          <w:color w:val="000000"/>
          <w:sz w:val="24"/>
          <w:szCs w:val="21"/>
        </w:rPr>
      </w:r>
      <w:r/>
    </w:p>
    <w:p>
      <w:pPr>
        <w:ind w:left="480"/>
        <w:pageBreakBefore w:val="0"/>
        <w:spacing w:beforeAutospacing="0" w:afterAutospacing="0"/>
        <w:rPr>
          <w:rFonts w:hint="eastAsia" w:ascii="宋体" w:hAnsi="宋体"/>
          <w:b/>
          <w:color w:val="000000"/>
          <w:sz w:val="24"/>
          <w:szCs w:val="21"/>
        </w:rPr>
      </w:pPr>
      <w:r>
        <w:rPr>
          <w:rFonts w:hint="eastAsia" w:ascii="宋体" w:hAnsi="宋体"/>
          <w:b/>
          <w:color w:val="000000"/>
          <w:sz w:val="24"/>
          <w:szCs w:val="21"/>
        </w:rPr>
      </w:r>
      <w:r/>
    </w:p>
    <w:p>
      <w:pPr>
        <w:ind w:left="480"/>
        <w:pageBreakBefore w:val="0"/>
        <w:spacing w:beforeAutospacing="0" w:afterAutospacing="0"/>
        <w:rPr>
          <w:rFonts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rPr>
        <w:t xml:space="preserve">参加政府采购活动前 3 年内在经营活动中没有重大违法记录的书</w:t>
      </w:r>
      <w:r/>
    </w:p>
    <w:p>
      <w:pPr>
        <w:pageBreakBefore w:val="0"/>
        <w:spacing w:beforeAutospacing="0" w:afterAutospacing="0"/>
        <w:rPr>
          <w:rFonts w:hint="eastAsia" w:ascii="宋体" w:hAnsi="宋体"/>
          <w:b/>
          <w:color w:val="000000"/>
          <w:sz w:val="24"/>
          <w:szCs w:val="21"/>
        </w:rPr>
      </w:pPr>
      <w:r>
        <w:rPr>
          <w:rFonts w:hint="eastAsia" w:ascii="宋体" w:hAnsi="宋体"/>
          <w:b/>
          <w:color w:val="000000"/>
          <w:sz w:val="24"/>
          <w:szCs w:val="21"/>
        </w:rPr>
        <w:t xml:space="preserve">面声明</w:t>
      </w:r>
      <w:r/>
    </w:p>
    <w:p>
      <w:pPr>
        <w:ind w:firstLine="480"/>
        <w:pageBreakBefore w:val="0"/>
        <w:spacing w:beforeAutospacing="0" w:afterAutospacing="0"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bookmarkEnd w:id="172"/>
      <w:r/>
      <w:bookmarkEnd w:id="173"/>
      <w:r/>
      <w:bookmarkEnd w:id="174"/>
      <w:r/>
      <w:bookmarkStart w:id="175" w:name="_Toc120614284"/>
      <w:r/>
      <w:r/>
    </w:p>
    <w:p>
      <w:pPr>
        <w:pageBreakBefore w:val="0"/>
        <w:spacing w:beforeAutospacing="0" w:afterAutospacing="0" w:line="460" w:lineRule="exact"/>
        <w:rPr>
          <w:rFonts w:hint="eastAsia" w:ascii="宋体" w:hAnsi="宋体"/>
          <w:b/>
          <w:color w:val="000000"/>
          <w:sz w:val="24"/>
          <w:szCs w:val="21"/>
        </w:rPr>
      </w:pPr>
      <w:r>
        <w:rPr>
          <w:rFonts w:hint="eastAsia" w:ascii="宋体" w:hAnsi="宋体"/>
          <w:b/>
          <w:color w:val="000000"/>
          <w:sz w:val="24"/>
          <w:szCs w:val="21"/>
        </w:rPr>
      </w:r>
      <w:r/>
    </w:p>
    <w:p>
      <w:pPr>
        <w:ind w:firstLine="480"/>
        <w:pageBreakBefore w:val="0"/>
        <w:spacing w:beforeAutospacing="0" w:afterAutospacing="0" w:line="460" w:lineRule="exact"/>
        <w:rPr>
          <w:rFonts w:ascii="宋体" w:hAnsi="宋体"/>
          <w:b/>
          <w:color w:val="000000"/>
          <w:sz w:val="24"/>
          <w:szCs w:val="21"/>
        </w:rPr>
      </w:pPr>
      <w:r>
        <w:rPr>
          <w:rFonts w:ascii="宋体" w:hAnsi="宋体"/>
          <w:b/>
          <w:color w:val="000000"/>
          <w:sz w:val="24"/>
          <w:szCs w:val="21"/>
        </w:rPr>
      </w:r>
      <w:r/>
    </w:p>
    <w:p>
      <w:pPr>
        <w:ind w:firstLine="480"/>
        <w:pageBreakBefore w:val="0"/>
        <w:spacing w:beforeAutospacing="0" w:afterAutospacing="0" w:line="460" w:lineRule="exact"/>
        <w:rPr>
          <w:rFonts w:ascii="宋体" w:hAnsi="宋体"/>
          <w:b/>
          <w:color w:val="000000"/>
          <w:sz w:val="24"/>
          <w:szCs w:val="21"/>
        </w:rPr>
      </w:pPr>
      <w:r>
        <w:rPr>
          <w:rFonts w:ascii="宋体" w:hAnsi="宋体"/>
          <w:b/>
          <w:color w:val="000000"/>
          <w:sz w:val="24"/>
          <w:szCs w:val="21"/>
        </w:rPr>
      </w:r>
      <w:r/>
    </w:p>
    <w:p>
      <w:pPr>
        <w:ind w:firstLine="480"/>
        <w:pageBreakBefore w:val="0"/>
        <w:spacing w:beforeAutospacing="0" w:afterAutospacing="0" w:line="460" w:lineRule="exact"/>
        <w:rPr>
          <w:rFonts w:ascii="宋体" w:hAnsi="宋体"/>
          <w:b/>
          <w:color w:val="000000"/>
          <w:sz w:val="24"/>
          <w:szCs w:val="21"/>
        </w:rPr>
      </w:pPr>
      <w:r>
        <w:rPr>
          <w:rFonts w:ascii="宋体" w:hAnsi="宋体"/>
          <w:b/>
          <w:color w:val="000000"/>
          <w:sz w:val="24"/>
          <w:szCs w:val="21"/>
        </w:rPr>
      </w:r>
      <w:r/>
    </w:p>
    <w:p>
      <w:pPr>
        <w:ind w:firstLine="480"/>
        <w:pageBreakBefore w:val="0"/>
        <w:spacing w:beforeAutospacing="0" w:afterAutospacing="0" w:line="460" w:lineRule="exact"/>
        <w:rPr>
          <w:rFonts w:ascii="宋体" w:hAnsi="宋体"/>
          <w:b/>
          <w:color w:val="000000"/>
          <w:sz w:val="24"/>
          <w:szCs w:val="21"/>
        </w:rPr>
      </w:pPr>
      <w:r>
        <w:rPr>
          <w:rFonts w:ascii="宋体" w:hAnsi="宋体"/>
          <w:b/>
          <w:color w:val="000000"/>
          <w:sz w:val="24"/>
          <w:szCs w:val="21"/>
        </w:rPr>
      </w:r>
      <w:r/>
    </w:p>
    <w:p>
      <w:pPr>
        <w:ind w:firstLine="480"/>
        <w:pageBreakBefore w:val="0"/>
        <w:spacing w:beforeAutospacing="0" w:afterAutospacing="0" w:line="460" w:lineRule="exact"/>
        <w:rPr>
          <w:rFonts w:hint="eastAsia"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法人授权书</w:t>
      </w:r>
      <w:r/>
    </w:p>
    <w:p>
      <w:pPr>
        <w:ind w:firstLine="480"/>
        <w:pageBreakBefore w:val="0"/>
        <w:spacing w:beforeAutospacing="0" w:afterAutospacing="0"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本授权书声明：____________（投标人名称）授权________________（被授权人的姓名）为我方就采购编号为JSZC-320000-</w:t>
      </w:r>
      <w:r>
        <w:rPr>
          <w:rFonts w:hint="eastAsia" w:ascii="Times New Roman" w:hAnsi="Times New Roman"/>
          <w:color w:val="000000"/>
          <w:sz w:val="24"/>
          <w:szCs w:val="24"/>
          <w:lang w:val="en-US" w:eastAsia="zh-CN"/>
        </w:rPr>
        <w:t xml:space="preserve">SCZX-G20**-****</w:t>
      </w:r>
      <w:r>
        <w:rPr>
          <w:rFonts w:hint="eastAsia" w:ascii="Times New Roman" w:hAnsi="Times New Roman"/>
          <w:color w:val="000000"/>
          <w:sz w:val="24"/>
          <w:szCs w:val="24"/>
        </w:rPr>
        <w:t xml:space="preserve">，</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项目（项目名称）采购活动的合法代理人，以本单位名义全权处理一切与该项目采购有关的事务。</w:t>
      </w:r>
      <w:r/>
    </w:p>
    <w:p>
      <w:pPr>
        <w:ind w:firstLine="480"/>
        <w:pageBreakBefore w:val="0"/>
        <w:spacing w:beforeAutospacing="0" w:afterAutospacing="0"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p>
    <w:p>
      <w:pPr>
        <w:pageBreakBefore w:val="0"/>
        <w:spacing w:beforeAutospacing="0" w:afterAutospacing="0"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p>
    <w:p>
      <w:pPr>
        <w:pageBreakBefore w:val="0"/>
        <w:spacing w:beforeAutospacing="0" w:afterAutospacing="0"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p>
    <w:p>
      <w:pPr>
        <w:ind w:firstLine="1200"/>
        <w:pageBreakBefore w:val="0"/>
        <w:spacing w:beforeAutospacing="0" w:afterAutospacing="0" w:line="40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被授权人电子邮箱：</w:t>
      </w:r>
      <w:r>
        <w:rPr>
          <w:rFonts w:hint="eastAsia" w:ascii="Times New Roman" w:hAnsi="Times New Roman"/>
          <w:sz w:val="24"/>
          <w:szCs w:val="24"/>
          <w:u w:val="single"/>
        </w:rPr>
        <w:t xml:space="preserve">                </w:t>
      </w:r>
      <w:r/>
    </w:p>
    <w:p>
      <w:pPr>
        <w:ind w:firstLine="1200"/>
        <w:pageBreakBefore w:val="0"/>
        <w:spacing w:beforeAutospacing="0" w:afterAutospacing="0"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p>
    <w:p>
      <w:pPr>
        <w:ind w:firstLine="480"/>
        <w:pageBreakBefore w:val="0"/>
        <w:spacing w:beforeAutospacing="0" w:afterAutospacing="0"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p>
    <w:p>
      <w:pPr>
        <w:ind w:firstLine="480"/>
        <w:pageBreakBefore w:val="0"/>
        <w:spacing w:beforeAutospacing="0" w:afterAutospacing="0"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bookmarkStart w:id="176" w:name="_Hlt26671380"/>
      <w:r/>
      <w:bookmarkEnd w:id="176"/>
      <w:r/>
      <w:bookmarkStart w:id="177" w:name="_格式3__银行出具的资信证明"/>
      <w:r/>
      <w:bookmarkEnd w:id="177"/>
      <w:r/>
      <w:bookmarkStart w:id="178" w:name="_Hlt26955070"/>
      <w:r/>
      <w:bookmarkEnd w:id="178"/>
      <w:r>
        <w:rPr>
          <w:rFonts w:hint="eastAsia" w:ascii="Times New Roman" w:hAnsi="Times New Roman"/>
          <w:color w:val="000000"/>
          <w:sz w:val="24"/>
          <w:szCs w:val="24"/>
          <w:u w:val="single"/>
        </w:rPr>
        <w:t xml:space="preserve">                                         </w:t>
      </w:r>
      <w:r/>
    </w:p>
    <w:p>
      <w:pPr>
        <w:ind w:firstLine="360"/>
        <w:pageBreakBefore w:val="0"/>
        <w:spacing w:beforeAutospacing="0" w:afterAutospacing="0" w:line="400" w:lineRule="exact"/>
        <w:rPr>
          <w:rFonts w:ascii="Times New Roman" w:hAnsi="Times New Roman"/>
          <w:color w:val="000000"/>
          <w:sz w:val="24"/>
          <w:szCs w:val="24"/>
          <w:highlight w:val="yellow"/>
        </w:rPr>
      </w:pPr>
      <w:r>
        <w:rPr>
          <w:rFonts w:ascii="Times New Roman" w:hAnsi="Times New Roman"/>
          <w:color w:val="000000"/>
          <w:sz w:val="24"/>
          <w:szCs w:val="24"/>
          <w:highlight w:val="yellow"/>
        </w:rPr>
      </w:r>
      <w:r/>
    </w:p>
    <w:p>
      <w:pPr>
        <w:keepLines/>
        <w:keepNext/>
        <w:pageBreakBefore w:val="0"/>
        <w:spacing w:beforeAutospacing="0" w:afterAutospacing="0" w:line="416" w:lineRule="auto"/>
        <w:rPr>
          <w:rFonts w:ascii="黑体" w:hAnsi="黑体" w:eastAsia="黑体"/>
          <w:b/>
          <w:i/>
          <w:color w:val="000000"/>
          <w:sz w:val="32"/>
          <w:szCs w:val="32"/>
          <w:u w:val="single"/>
        </w:rPr>
        <w:outlineLvl w:val="1"/>
      </w:pPr>
      <w:r>
        <w:rPr>
          <w:rFonts w:hint="eastAsia" w:ascii="宋体" w:hAnsi="宋体"/>
          <w:b/>
          <w:color w:val="000000"/>
          <w:sz w:val="24"/>
          <w:szCs w:val="21"/>
        </w:rPr>
        <w:t xml:space="preserve">附件</w:t>
      </w:r>
      <w:r>
        <w:rPr>
          <w:rFonts w:ascii="宋体" w:hAnsi="宋体"/>
          <w:b/>
          <w:color w:val="000000"/>
          <w:sz w:val="24"/>
          <w:szCs w:val="21"/>
        </w:rPr>
        <w:t xml:space="preserve">8                            </w:t>
      </w:r>
      <w:r>
        <w:rPr>
          <w:rFonts w:hint="eastAsia" w:ascii="宋体" w:hAnsi="宋体"/>
          <w:b/>
          <w:color w:val="000000"/>
          <w:sz w:val="24"/>
          <w:szCs w:val="21"/>
        </w:rPr>
        <w:t xml:space="preserve">投标函</w:t>
      </w:r>
      <w:r/>
    </w:p>
    <w:p>
      <w:pPr>
        <w:jc w:val="left"/>
        <w:pageBreakBefore w:val="0"/>
        <w:spacing w:beforeAutospacing="0" w:afterAutospacing="0" w:line="420" w:lineRule="exact"/>
        <w:rPr>
          <w:rFonts w:ascii="宋体" w:hAnsi="宋体"/>
          <w:color w:val="000000"/>
          <w:sz w:val="24"/>
          <w:szCs w:val="21"/>
        </w:rPr>
      </w:pPr>
      <w:r>
        <w:rPr>
          <w:rFonts w:hint="eastAsia" w:ascii="宋体" w:hAnsi="宋体"/>
          <w:color w:val="000000"/>
          <w:sz w:val="24"/>
          <w:szCs w:val="21"/>
        </w:rPr>
        <w:t xml:space="preserve">致：江苏省政府采购中心</w:t>
      </w:r>
      <w:r/>
    </w:p>
    <w:p>
      <w:pPr>
        <w:ind w:firstLine="480"/>
        <w:jc w:val="left"/>
        <w:pageBreakBefore w:val="0"/>
        <w:spacing w:beforeAutospacing="0" w:afterAutospacing="0" w:line="420" w:lineRule="exact"/>
        <w:rPr>
          <w:rFonts w:hint="eastAsia" w:ascii="宋体" w:hAnsi="宋体"/>
          <w:color w:val="000000"/>
          <w:sz w:val="24"/>
          <w:szCs w:val="21"/>
        </w:rPr>
      </w:pPr>
      <w:r>
        <w:rPr>
          <w:rFonts w:hint="eastAsia" w:ascii="宋体" w:hAnsi="宋体"/>
          <w:color w:val="000000"/>
          <w:sz w:val="24"/>
          <w:szCs w:val="21"/>
        </w:rPr>
        <w:t xml:space="preserve">根据贵方</w:t>
      </w:r>
      <w:r>
        <w:rPr>
          <w:rFonts w:hint="eastAsia" w:ascii="宋体" w:hAnsi="宋体"/>
          <w:sz w:val="24"/>
          <w:szCs w:val="24"/>
        </w:rPr>
        <w:t xml:space="preserve">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w:t>
      </w:r>
      <w:r>
        <w:rPr>
          <w:rFonts w:hint="eastAsia" w:ascii="宋体" w:hAnsi="宋体"/>
          <w:color w:val="000000"/>
          <w:sz w:val="24"/>
          <w:szCs w:val="21"/>
        </w:rPr>
        <w:t xml:space="preserve">的招标文件，正式授权下述签字人_____(姓名)代表我方_______（投标人的名称），全权处理本次项目投标的有关事宜。</w:t>
      </w:r>
      <w:r/>
    </w:p>
    <w:p>
      <w:pPr>
        <w:ind w:firstLine="480"/>
        <w:jc w:val="left"/>
        <w:pageBreakBefore w:val="0"/>
        <w:spacing w:beforeAutospacing="0" w:afterAutospacing="0"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pageBreakBefore w:val="0"/>
        <w:spacing w:beforeAutospacing="0" w:afterAutospacing="0"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pageBreakBefore w:val="0"/>
        <w:spacing w:beforeAutospacing="0" w:afterAutospacing="0"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pageBreakBefore w:val="0"/>
        <w:spacing w:beforeAutospacing="0" w:afterAutospacing="0"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pageBreakBefore w:val="0"/>
        <w:spacing w:beforeAutospacing="0" w:afterAutospacing="0"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pageBreakBefore w:val="0"/>
        <w:spacing w:beforeAutospacing="0" w:afterAutospacing="0"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pageBreakBefore w:val="0"/>
        <w:spacing w:beforeAutospacing="0" w:afterAutospacing="0"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pageBreakBefore w:val="0"/>
        <w:spacing w:beforeAutospacing="0" w:afterAutospacing="0"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pageBreakBefore w:val="0"/>
        <w:spacing w:beforeAutospacing="0" w:afterAutospacing="0"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pageBreakBefore w:val="0"/>
        <w:spacing w:beforeAutospacing="0" w:afterAutospacing="0"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pageBreakBefore w:val="0"/>
        <w:spacing w:beforeAutospacing="0" w:afterAutospacing="0"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pageBreakBefore w:val="0"/>
        <w:spacing w:beforeAutospacing="0" w:afterAutospacing="0"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ind w:left="420" w:firstLine="480"/>
        <w:jc w:val="left"/>
        <w:pageBreakBefore w:val="0"/>
        <w:spacing w:beforeAutospacing="0" w:afterAutospacing="0"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pageBreakBefore w:val="0"/>
        <w:spacing w:beforeAutospacing="0" w:afterAutospacing="0" w:line="420" w:lineRule="exact"/>
        <w:rPr>
          <w:rFonts w:hint="eastAsia" w:ascii="宋体" w:hAnsi="宋体"/>
          <w:color w:val="000000"/>
          <w:sz w:val="24"/>
          <w:szCs w:val="21"/>
        </w:rPr>
      </w:pPr>
      <w:r>
        <w:rPr>
          <w:rFonts w:hint="eastAsia" w:ascii="宋体" w:hAnsi="宋体"/>
          <w:color w:val="000000"/>
          <w:sz w:val="24"/>
          <w:szCs w:val="21"/>
        </w:rPr>
        <w:t xml:space="preserve">账          号： </w:t>
      </w:r>
      <w:r/>
    </w:p>
    <w:p>
      <w:pPr>
        <w:ind w:left="420" w:firstLine="480"/>
        <w:jc w:val="left"/>
        <w:pageBreakBefore w:val="0"/>
        <w:spacing w:beforeAutospacing="0" w:afterAutospacing="0" w:line="420" w:lineRule="exact"/>
        <w:rPr>
          <w:rFonts w:hint="eastAsia" w:ascii="宋体" w:hAnsi="宋体"/>
          <w:color w:val="000000"/>
          <w:sz w:val="24"/>
          <w:szCs w:val="21"/>
        </w:rPr>
      </w:pPr>
      <w:r>
        <w:rPr>
          <w:rFonts w:hint="eastAsia" w:ascii="宋体" w:hAnsi="宋体"/>
          <w:color w:val="000000"/>
          <w:sz w:val="24"/>
          <w:szCs w:val="21"/>
        </w:rPr>
        <w:t xml:space="preserve">日           期：___年____月____日</w:t>
      </w:r>
      <w:r/>
    </w:p>
    <w:p>
      <w:pPr>
        <w:ind w:firstLine="240"/>
        <w:jc w:val="center"/>
        <w:pageBreakBefore w:val="0"/>
        <w:spacing w:beforeAutospacing="0" w:afterAutospacing="0"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pageBreakBefore w:val="0"/>
        <w:spacing w:beforeAutospacing="0" w:afterAutospacing="0"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pageBreakBefore w:val="0"/>
        <w:spacing w:beforeAutospacing="0" w:afterAutospacing="0"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pageBreakBefore w:val="0"/>
        <w:spacing w:beforeAutospacing="0" w:afterAutospacing="0" w:line="560" w:lineRule="exact"/>
        <w:rPr>
          <w:rFonts w:ascii="宋体" w:hAnsi="宋体"/>
          <w:bCs/>
          <w:color w:val="000000"/>
          <w:sz w:val="24"/>
          <w:szCs w:val="21"/>
        </w:rPr>
      </w:pPr>
      <w:r>
        <w:rPr>
          <w:rFonts w:ascii="宋体" w:hAnsi="宋体"/>
          <w:bCs/>
          <w:color w:val="000000"/>
          <w:sz w:val="24"/>
          <w:szCs w:val="21"/>
        </w:rPr>
      </w:r>
      <w:r/>
    </w:p>
    <w:p>
      <w:pPr>
        <w:pageBreakBefore w:val="0"/>
        <w:spacing w:beforeAutospacing="0" w:afterAutospacing="0" w:line="560" w:lineRule="exact"/>
        <w:rPr>
          <w:rFonts w:ascii="宋体" w:hAnsi="宋体"/>
          <w:b/>
          <w:color w:val="ff0000"/>
          <w:sz w:val="24"/>
          <w:szCs w:val="21"/>
        </w:rPr>
      </w:pPr>
      <w:r>
        <w:rPr>
          <w:rFonts w:ascii="宋体" w:hAnsi="宋体"/>
          <w:b/>
          <w:color w:val="ff0000"/>
          <w:sz w:val="24"/>
          <w:szCs w:val="21"/>
        </w:rPr>
      </w:r>
      <w:r/>
    </w:p>
    <w:p>
      <w:pPr>
        <w:ind w:firstLine="240"/>
        <w:jc w:val="center"/>
        <w:pageBreakBefore w:val="0"/>
        <w:spacing w:beforeAutospacing="0" w:afterAutospacing="0" w:line="560" w:lineRule="exact"/>
        <w:rPr>
          <w:rFonts w:hint="eastAsia" w:ascii="宋体" w:hAnsi="宋体"/>
          <w:b/>
          <w:sz w:val="24"/>
          <w:szCs w:val="21"/>
        </w:rPr>
      </w:pPr>
      <w:r>
        <w:rPr>
          <w:rFonts w:hint="eastAsia" w:ascii="宋体" w:hAnsi="宋体"/>
          <w:b/>
          <w:sz w:val="24"/>
          <w:szCs w:val="21"/>
        </w:rPr>
        <w:t xml:space="preserve">附件</w:t>
      </w:r>
      <w:r>
        <w:rPr>
          <w:rFonts w:ascii="宋体" w:hAnsi="宋体"/>
          <w:b/>
          <w:sz w:val="24"/>
          <w:szCs w:val="21"/>
        </w:rPr>
        <w:t xml:space="preserve">9</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rPr>
        <w:t xml:space="preserve">中小微企业声明函（货物类项目）（采购包号：**）</w:t>
      </w:r>
      <w:r/>
    </w:p>
    <w:p>
      <w:pPr>
        <w:ind w:firstLine="360"/>
        <w:pageBreakBefore w:val="0"/>
        <w:spacing w:beforeAutospacing="0" w:afterAutospacing="0"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（项目名称）（采购包号：**）</w:t>
      </w:r>
      <w:r>
        <w:rPr>
          <w:rFonts w:hint="eastAsia" w:ascii="宋体" w:hAnsi="宋体"/>
          <w:sz w:val="24"/>
          <w:szCs w:val="24"/>
        </w:rPr>
        <w:t xml:space="preserve">的采购活动，提供的货物全部由符合政策要求的中小微企业制造。相关企业（含联合体中的中小微企业、签订采购包意向协议的中小微企业）的具体情况如下：</w:t>
      </w:r>
      <w:r/>
    </w:p>
    <w:p>
      <w:pPr>
        <w:ind w:firstLine="360"/>
        <w:pageBreakBefore w:val="0"/>
        <w:spacing w:beforeAutospacing="0" w:afterAutospacing="0"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w:t>
      </w:r>
      <w:r>
        <w:rPr>
          <w:rFonts w:hint="eastAsia" w:ascii="宋体" w:hAnsi="宋体"/>
          <w:sz w:val="24"/>
          <w:szCs w:val="24"/>
          <w:u w:val="single"/>
          <w:lang w:eastAsia="zh-CN"/>
        </w:rPr>
        <w:t xml:space="preserve">□</w:t>
      </w:r>
      <w:r>
        <w:rPr>
          <w:rFonts w:hint="eastAsia" w:ascii="宋体" w:hAnsi="宋体"/>
          <w:sz w:val="24"/>
          <w:szCs w:val="24"/>
          <w:u w:val="single"/>
        </w:rPr>
        <w:t xml:space="preserve">中型企业 □小型企业 </w:t>
      </w:r>
      <w:r>
        <w:rPr>
          <w:rFonts w:hint="eastAsia" w:ascii="宋体" w:hAnsi="宋体"/>
          <w:sz w:val="24"/>
          <w:szCs w:val="24"/>
          <w:u w:val="single"/>
          <w:lang w:eastAsia="zh-CN"/>
        </w:rPr>
        <w:t xml:space="preserve">□</w:t>
      </w:r>
      <w:r>
        <w:rPr>
          <w:rFonts w:hint="eastAsia" w:ascii="宋体" w:hAnsi="宋体"/>
          <w:sz w:val="24"/>
          <w:szCs w:val="24"/>
          <w:u w:val="single"/>
        </w:rPr>
        <w:t xml:space="preserve">微型企业）；</w:t>
      </w:r>
      <w:r/>
    </w:p>
    <w:p>
      <w:pPr>
        <w:ind w:firstLine="360"/>
        <w:pageBreakBefore w:val="0"/>
        <w:spacing w:beforeAutospacing="0" w:afterAutospacing="0"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360"/>
        <w:pageBreakBefore w:val="0"/>
        <w:spacing w:beforeAutospacing="0" w:afterAutospacing="0" w:line="400" w:lineRule="exact"/>
        <w:rPr>
          <w:rFonts w:hint="eastAsia" w:ascii="宋体" w:hAnsi="宋体"/>
          <w:sz w:val="24"/>
          <w:szCs w:val="24"/>
        </w:rPr>
      </w:pPr>
      <w:r>
        <w:rPr>
          <w:rFonts w:hint="eastAsia" w:ascii="宋体" w:hAnsi="宋体"/>
          <w:sz w:val="24"/>
          <w:szCs w:val="24"/>
        </w:rPr>
        <w:t xml:space="preserve">……</w:t>
      </w:r>
      <w:r/>
    </w:p>
    <w:p>
      <w:pPr>
        <w:ind w:firstLine="360"/>
        <w:pageBreakBefore w:val="0"/>
        <w:spacing w:beforeAutospacing="0" w:afterAutospacing="0"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pageBreakBefore w:val="0"/>
        <w:spacing w:beforeAutospacing="0" w:afterAutospacing="0"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pageBreakBefore w:val="0"/>
        <w:spacing w:beforeAutospacing="0" w:afterAutospacing="0" w:line="400" w:lineRule="exact"/>
        <w:rPr>
          <w:rFonts w:hint="eastAsia" w:ascii="宋体" w:hAnsi="宋体"/>
          <w:sz w:val="24"/>
          <w:szCs w:val="24"/>
        </w:rPr>
      </w:pPr>
      <w:r>
        <w:rPr>
          <w:rFonts w:hint="eastAsia" w:ascii="宋体" w:hAnsi="宋体"/>
          <w:sz w:val="24"/>
          <w:szCs w:val="24"/>
        </w:rPr>
      </w:r>
      <w:r/>
    </w:p>
    <w:p>
      <w:pPr>
        <w:ind w:right="180" w:firstLine="360"/>
        <w:jc w:val="right"/>
        <w:pageBreakBefore w:val="0"/>
        <w:spacing w:beforeAutospacing="0" w:afterAutospacing="0" w:line="40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4560"/>
        <w:pageBreakBefore w:val="0"/>
        <w:spacing w:beforeAutospacing="0" w:afterAutospacing="0" w:line="400" w:lineRule="exact"/>
        <w:rPr>
          <w:rFonts w:hint="eastAsia" w:ascii="宋体" w:hAnsi="宋体"/>
          <w:sz w:val="24"/>
          <w:szCs w:val="24"/>
        </w:rPr>
      </w:pPr>
      <w:r>
        <w:rPr>
          <w:rFonts w:hint="eastAsia" w:ascii="宋体" w:hAnsi="宋体"/>
          <w:sz w:val="24"/>
          <w:szCs w:val="24"/>
        </w:rPr>
        <w:t xml:space="preserve">日  期：</w:t>
      </w:r>
      <w:r>
        <w:rPr>
          <w:rFonts w:hint="eastAsia" w:ascii="宋体" w:hAnsi="宋体"/>
          <w:color w:val="000000"/>
          <w:sz w:val="24"/>
          <w:szCs w:val="21"/>
        </w:rPr>
        <w:t xml:space="preserve">___年____月____日</w:t>
      </w:r>
      <w:r/>
    </w:p>
    <w:p>
      <w:pPr>
        <w:pageBreakBefore w:val="0"/>
        <w:spacing w:beforeAutospacing="0" w:afterAutospacing="0" w:line="400" w:lineRule="exact"/>
        <w:rPr>
          <w:rFonts w:hint="eastAsia" w:ascii="宋体" w:hAnsi="宋体"/>
          <w:sz w:val="24"/>
          <w:szCs w:val="24"/>
        </w:rPr>
      </w:pPr>
      <w:r>
        <w:rPr>
          <w:rFonts w:hint="eastAsia" w:ascii="宋体" w:hAnsi="宋体"/>
          <w:sz w:val="24"/>
          <w:szCs w:val="24"/>
        </w:rPr>
      </w:r>
      <w:r/>
    </w:p>
    <w:p>
      <w:pPr>
        <w:ind w:firstLine="480"/>
        <w:pageBreakBefore w:val="0"/>
        <w:spacing w:beforeAutospacing="0" w:afterAutospacing="0" w:line="400" w:lineRule="exact"/>
        <w:rPr>
          <w:rFonts w:ascii="宋体" w:hAnsi="宋体"/>
          <w:sz w:val="24"/>
          <w:szCs w:val="24"/>
        </w:rPr>
      </w:pPr>
      <w:r>
        <w:rPr>
          <w:rFonts w:hint="eastAsia" w:ascii="宋体" w:hAnsi="宋体"/>
          <w:sz w:val="24"/>
          <w:szCs w:val="24"/>
        </w:rPr>
        <w:t xml:space="preserve">备注：</w:t>
      </w:r>
      <w:r/>
    </w:p>
    <w:p>
      <w:pPr>
        <w:ind w:firstLine="480"/>
        <w:pageBreakBefore w:val="0"/>
        <w:spacing w:beforeAutospacing="0" w:afterAutospacing="0"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pageBreakBefore w:val="0"/>
        <w:spacing w:beforeAutospacing="0" w:afterAutospacing="0"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left="540" w:hanging="120"/>
        <w:pageBreakBefore w:val="0"/>
        <w:spacing w:beforeAutospacing="0" w:afterAutospacing="0"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w:t>
      </w:r>
      <w:r/>
    </w:p>
    <w:p>
      <w:pPr>
        <w:pageBreakBefore w:val="0"/>
        <w:spacing w:beforeAutospacing="0" w:afterAutospacing="0" w:line="400" w:lineRule="exact"/>
        <w:rPr>
          <w:rFonts w:hint="eastAsia" w:ascii="宋体" w:hAnsi="宋体"/>
          <w:color w:val="ff0000"/>
          <w:sz w:val="24"/>
          <w:szCs w:val="24"/>
        </w:rPr>
      </w:pP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宋体" w:hAnsi="宋体"/>
          <w:color w:val="ff0000"/>
          <w:sz w:val="24"/>
          <w:szCs w:val="24"/>
        </w:rPr>
        <w:t xml:space="preserve">                                    </w:t>
      </w:r>
      <w:r>
        <w:rPr>
          <w:rFonts w:ascii="黑体" w:hAnsi="黑体" w:eastAsia="黑体"/>
          <w:b/>
          <w:color w:val="000000"/>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残疾人福利性单位声明函（货物类项目）（采购包号：**）</w:t>
      </w:r>
      <w:r/>
    </w:p>
    <w:p>
      <w:pPr>
        <w:ind w:firstLine="480"/>
        <w:pageBreakBefore w:val="0"/>
        <w:spacing w:beforeAutospacing="0" w:afterAutospacing="0" w:line="400"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1"/>
          <w:lang w:eastAsia="zh-CN"/>
        </w:rPr>
        <w:t xml:space="preserve">，</w:t>
      </w:r>
      <w:r>
        <w:rPr>
          <w:rFonts w:hint="eastAsia" w:ascii="宋体" w:hAnsi="宋体"/>
          <w:sz w:val="24"/>
          <w:szCs w:val="21"/>
          <w:u w:val="single"/>
        </w:rPr>
        <w:t xml:space="preserve">      </w:t>
      </w:r>
      <w:r>
        <w:rPr>
          <w:rFonts w:hint="eastAsia" w:ascii="宋体" w:hAnsi="宋体"/>
          <w:sz w:val="24"/>
          <w:szCs w:val="21"/>
        </w:rPr>
        <w:t xml:space="preserve">项目</w:t>
      </w:r>
      <w:r>
        <w:rPr>
          <w:rFonts w:hint="eastAsia" w:ascii="宋体" w:hAnsi="宋体"/>
          <w:sz w:val="24"/>
          <w:szCs w:val="24"/>
          <w:u w:val="none"/>
        </w:rPr>
        <w:t xml:space="preserve">（项目名称）</w:t>
      </w:r>
      <w:r>
        <w:rPr>
          <w:rFonts w:hint="eastAsia" w:ascii="宋体" w:hAnsi="宋体"/>
          <w:sz w:val="24"/>
          <w:szCs w:val="21"/>
        </w:rPr>
        <w:t xml:space="preserve">（采购包号：**）采购活动提供本单位制造的货物，或者提供其他残疾人福利性单位制造的货物（不包括使用非残疾人福利性单位注册商标的货物）。</w:t>
      </w:r>
      <w:r/>
    </w:p>
    <w:p>
      <w:pPr>
        <w:ind w:firstLine="480"/>
        <w:pageBreakBefore w:val="0"/>
        <w:spacing w:beforeAutospacing="0" w:afterAutospacing="0" w:line="400"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pageBreakBefore w:val="0"/>
        <w:spacing w:beforeAutospacing="0" w:afterAutospacing="0" w:line="400" w:lineRule="exact"/>
        <w:rPr>
          <w:rFonts w:ascii="宋体" w:hAnsi="宋体"/>
          <w:sz w:val="24"/>
          <w:szCs w:val="21"/>
        </w:rPr>
      </w:pPr>
      <w:r>
        <w:rPr>
          <w:rFonts w:ascii="宋体" w:hAnsi="宋体"/>
          <w:sz w:val="24"/>
          <w:szCs w:val="21"/>
        </w:rPr>
      </w:r>
      <w:r/>
    </w:p>
    <w:p>
      <w:pPr>
        <w:ind w:firstLine="480"/>
        <w:pageBreakBefore w:val="0"/>
        <w:spacing w:beforeAutospacing="0" w:afterAutospacing="0" w:line="400" w:lineRule="exact"/>
        <w:rPr>
          <w:rFonts w:ascii="宋体" w:hAnsi="宋体"/>
          <w:sz w:val="24"/>
          <w:szCs w:val="21"/>
        </w:rPr>
      </w:pPr>
      <w:r>
        <w:rPr>
          <w:rFonts w:hint="eastAsia" w:ascii="宋体" w:hAnsi="宋体"/>
          <w:sz w:val="24"/>
          <w:szCs w:val="21"/>
        </w:rPr>
        <w:t xml:space="preserve">备注：</w:t>
      </w:r>
      <w:r/>
    </w:p>
    <w:p>
      <w:pPr>
        <w:ind w:firstLine="480"/>
        <w:pageBreakBefore w:val="0"/>
        <w:spacing w:beforeAutospacing="0" w:afterAutospacing="0"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p>
    <w:p>
      <w:pPr>
        <w:ind w:firstLine="480"/>
        <w:pageBreakBefore w:val="0"/>
        <w:spacing w:beforeAutospacing="0" w:afterAutospacing="0" w:line="400" w:lineRule="exact"/>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p>
    <w:p>
      <w:pPr>
        <w:ind w:firstLine="480"/>
        <w:pageBreakBefore w:val="0"/>
        <w:spacing w:beforeAutospacing="0" w:afterAutospacing="0"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p>
    <w:p>
      <w:pPr>
        <w:ind w:firstLine="624"/>
        <w:pageBreakBefore w:val="0"/>
        <w:spacing w:beforeAutospacing="0" w:afterAutospacing="0" w:line="588" w:lineRule="exact"/>
        <w:rPr>
          <w:rFonts w:ascii="仿宋_GB2312" w:hAnsi="Times New Roman" w:eastAsia="仿宋_GB2312"/>
          <w:spacing w:val="6"/>
          <w:sz w:val="30"/>
          <w:szCs w:val="30"/>
        </w:rPr>
      </w:pPr>
      <w:r>
        <w:rPr>
          <w:rFonts w:ascii="仿宋_GB2312" w:hAnsi="Times New Roman" w:eastAsia="仿宋_GB2312"/>
          <w:spacing w:val="6"/>
          <w:sz w:val="30"/>
          <w:szCs w:val="30"/>
        </w:rPr>
      </w:r>
      <w:r/>
    </w:p>
    <w:p>
      <w:pPr>
        <w:ind w:right="1559" w:firstLine="624"/>
        <w:jc w:val="center"/>
        <w:pageBreakBefore w:val="0"/>
        <w:spacing w:beforeAutospacing="0" w:afterAutospacing="0" w:line="400" w:lineRule="exact"/>
        <w:tabs>
          <w:tab w:val="left" w:pos="4860" w:leader="none"/>
        </w:tabs>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供应商全称（加盖CA电子公章）：</w:t>
      </w:r>
      <w:r/>
    </w:p>
    <w:p>
      <w:pPr>
        <w:ind w:right="1559" w:firstLine="480"/>
        <w:jc w:val="center"/>
        <w:pageBreakBefore w:val="0"/>
        <w:spacing w:beforeAutospacing="0" w:afterAutospacing="0" w:line="400" w:lineRule="exact"/>
        <w:tabs>
          <w:tab w:val="left" w:pos="4860" w:leader="none"/>
        </w:tabs>
        <w:rPr>
          <w:rFonts w:ascii="宋体" w:hAnsi="宋体"/>
          <w:sz w:val="24"/>
          <w:szCs w:val="21"/>
        </w:rPr>
      </w:pPr>
      <w:r>
        <w:rPr>
          <w:rFonts w:hint="eastAsia" w:ascii="宋体" w:hAnsi="宋体"/>
          <w:sz w:val="24"/>
          <w:szCs w:val="21"/>
        </w:rPr>
        <w:t xml:space="preserve">  </w:t>
      </w:r>
      <w:r>
        <w:rPr>
          <w:rFonts w:hint="eastAsia" w:ascii="宋体" w:hAnsi="宋体"/>
          <w:sz w:val="24"/>
          <w:szCs w:val="21"/>
          <w:lang w:val="en-US" w:eastAsia="zh-CN"/>
        </w:rPr>
        <w:t xml:space="preserve">                </w:t>
      </w:r>
      <w:r>
        <w:rPr>
          <w:rFonts w:hint="eastAsia" w:ascii="宋体" w:hAnsi="宋体"/>
          <w:sz w:val="24"/>
          <w:szCs w:val="21"/>
        </w:rPr>
        <w:t xml:space="preserve">日  期：</w:t>
      </w:r>
      <w:r>
        <w:rPr>
          <w:rFonts w:hint="eastAsia" w:ascii="宋体" w:hAnsi="宋体"/>
          <w:color w:val="000000"/>
          <w:sz w:val="24"/>
          <w:szCs w:val="21"/>
        </w:rPr>
        <w:t xml:space="preserve">___年____月____日</w:t>
      </w:r>
      <w:r>
        <w:rPr>
          <w:rFonts w:hint="eastAsia" w:ascii="宋体" w:hAnsi="宋体" w:eastAsia="宋体" w:cs="宋体"/>
          <w:i w:val="0"/>
          <w:iCs w:val="0"/>
          <w:caps w:val="0"/>
          <w:color w:val="000000"/>
          <w:spacing w:val="0"/>
          <w:sz w:val="24"/>
          <w:szCs w:val="24"/>
          <w:shd w:val="clear" w:color="auto" w:fill="ffffff"/>
        </w:rPr>
        <w:t xml:space="preserve"> </w:t>
      </w:r>
      <w:r/>
    </w:p>
    <w:p>
      <w:pPr>
        <w:jc w:val="center"/>
        <w:pageBreakBefore w:val="0"/>
        <w:spacing w:beforeAutospacing="0" w:afterAutospacing="0" w:line="560" w:lineRule="exact"/>
        <w:rPr>
          <w:rFonts w:hint="eastAsia" w:ascii="黑体" w:hAnsi="黑体" w:eastAsia="黑体"/>
          <w:b/>
          <w:sz w:val="32"/>
          <w:szCs w:val="32"/>
        </w:rPr>
      </w:pPr>
      <w:r>
        <w:rPr>
          <w:rFonts w:hint="eastAsia" w:ascii="黑体" w:hAnsi="黑体" w:eastAsia="黑体"/>
          <w:b/>
          <w:sz w:val="32"/>
          <w:szCs w:val="32"/>
        </w:rPr>
      </w:r>
      <w:r/>
    </w:p>
    <w:p>
      <w:pPr>
        <w:jc w:val="center"/>
        <w:pageBreakBefore w:val="0"/>
        <w:spacing w:beforeAutospacing="0" w:afterAutospacing="0" w:line="560" w:lineRule="exact"/>
        <w:rPr>
          <w:rFonts w:hint="eastAsia" w:ascii="黑体" w:hAnsi="黑体" w:eastAsia="黑体"/>
          <w:b/>
          <w:sz w:val="32"/>
          <w:szCs w:val="32"/>
        </w:rPr>
      </w:pPr>
      <w:r>
        <w:rPr>
          <w:rFonts w:hint="eastAsia" w:ascii="黑体" w:hAnsi="黑体" w:eastAsia="黑体"/>
          <w:b/>
          <w:sz w:val="32"/>
          <w:szCs w:val="32"/>
        </w:rPr>
      </w:r>
      <w:r/>
    </w:p>
    <w:p>
      <w:pPr>
        <w:jc w:val="center"/>
        <w:pageBreakBefore w:val="0"/>
        <w:spacing w:beforeAutospacing="0" w:afterAutospacing="0" w:line="560" w:lineRule="exact"/>
        <w:rPr>
          <w:rFonts w:hint="eastAsia" w:ascii="黑体" w:hAnsi="黑体" w:eastAsia="黑体"/>
          <w:b/>
          <w:sz w:val="32"/>
          <w:szCs w:val="32"/>
        </w:rPr>
      </w:pPr>
      <w:r>
        <w:rPr>
          <w:rFonts w:hint="eastAsia" w:ascii="黑体" w:hAnsi="黑体" w:eastAsia="黑体"/>
          <w:b/>
          <w:sz w:val="32"/>
          <w:szCs w:val="32"/>
        </w:rPr>
      </w:r>
      <w:r/>
    </w:p>
    <w:p>
      <w:pPr>
        <w:jc w:val="center"/>
        <w:pageBreakBefore w:val="0"/>
        <w:spacing w:beforeAutospacing="0" w:afterAutospacing="0" w:line="560" w:lineRule="exact"/>
        <w:rPr>
          <w:rFonts w:hint="eastAsia" w:ascii="黑体" w:hAnsi="黑体" w:eastAsia="黑体"/>
          <w:b/>
          <w:sz w:val="32"/>
          <w:szCs w:val="32"/>
        </w:rPr>
      </w:pPr>
      <w:r>
        <w:rPr>
          <w:rFonts w:hint="eastAsia" w:ascii="黑体" w:hAnsi="黑体" w:eastAsia="黑体"/>
          <w:b/>
          <w:sz w:val="32"/>
          <w:szCs w:val="32"/>
        </w:rPr>
      </w:r>
      <w:r/>
    </w:p>
    <w:p>
      <w:pPr>
        <w:jc w:val="center"/>
        <w:pageBreakBefore w:val="0"/>
        <w:spacing w:beforeAutospacing="0" w:afterAutospacing="0" w:line="560" w:lineRule="exact"/>
        <w:rPr>
          <w:rFonts w:hint="eastAsia" w:ascii="黑体" w:hAnsi="黑体" w:eastAsia="黑体"/>
          <w:b/>
          <w:sz w:val="32"/>
          <w:szCs w:val="32"/>
        </w:rPr>
      </w:pPr>
      <w:r>
        <w:rPr>
          <w:rFonts w:hint="eastAsia" w:ascii="黑体" w:hAnsi="黑体" w:eastAsia="黑体"/>
          <w:b/>
          <w:sz w:val="32"/>
          <w:szCs w:val="32"/>
        </w:rPr>
      </w:r>
      <w:r/>
    </w:p>
    <w:p>
      <w:pPr>
        <w:jc w:val="center"/>
        <w:pageBreakBefore w:val="0"/>
        <w:spacing w:beforeAutospacing="0" w:afterAutospacing="0" w:line="560" w:lineRule="exact"/>
        <w:rPr>
          <w:rFonts w:hint="eastAsia" w:ascii="黑体" w:hAnsi="黑体" w:eastAsia="黑体"/>
          <w:b/>
          <w:sz w:val="32"/>
          <w:szCs w:val="32"/>
        </w:rPr>
      </w:pPr>
      <w:r>
        <w:rPr>
          <w:rFonts w:hint="eastAsia" w:ascii="黑体" w:hAnsi="黑体" w:eastAsia="黑体"/>
          <w:b/>
          <w:sz w:val="32"/>
          <w:szCs w:val="32"/>
        </w:rPr>
      </w:r>
      <w:r/>
    </w:p>
    <w:p>
      <w:pPr>
        <w:jc w:val="center"/>
        <w:pageBreakBefore w:val="0"/>
        <w:spacing w:beforeAutospacing="0" w:afterAutospacing="0" w:line="560" w:lineRule="exact"/>
        <w:rPr>
          <w:rFonts w:hint="eastAsia" w:ascii="黑体" w:hAnsi="黑体" w:eastAsia="黑体"/>
          <w:b/>
          <w:sz w:val="32"/>
          <w:szCs w:val="32"/>
        </w:rPr>
      </w:pPr>
      <w:r>
        <w:rPr>
          <w:rFonts w:hint="eastAsia" w:ascii="黑体" w:hAnsi="黑体" w:eastAsia="黑体"/>
          <w:b/>
          <w:sz w:val="32"/>
          <w:szCs w:val="32"/>
        </w:rPr>
      </w:r>
      <w:r/>
    </w:p>
    <w:p>
      <w:pPr>
        <w:jc w:val="center"/>
        <w:pageBreakBefore w:val="0"/>
        <w:spacing w:beforeAutospacing="0" w:afterAutospacing="0" w:line="560" w:lineRule="exact"/>
        <w:rPr>
          <w:rFonts w:hint="eastAsia" w:ascii="黑体" w:hAnsi="黑体" w:eastAsia="黑体"/>
          <w:b/>
          <w:sz w:val="32"/>
          <w:szCs w:val="32"/>
        </w:rPr>
      </w:pPr>
      <w:r>
        <w:rPr>
          <w:rFonts w:hint="eastAsia" w:ascii="黑体" w:hAnsi="黑体" w:eastAsia="黑体"/>
          <w:b/>
          <w:sz w:val="32"/>
          <w:szCs w:val="32"/>
        </w:rPr>
      </w:r>
      <w:r/>
    </w:p>
    <w:p>
      <w:pPr>
        <w:jc w:val="center"/>
        <w:pageBreakBefore w:val="0"/>
        <w:spacing w:beforeAutospacing="0" w:afterAutospacing="0" w:line="560" w:lineRule="exact"/>
        <w:rPr>
          <w:rFonts w:hint="eastAsia" w:ascii="黑体" w:hAnsi="黑体" w:eastAsia="黑体"/>
          <w:b/>
          <w:sz w:val="32"/>
          <w:szCs w:val="32"/>
        </w:rPr>
      </w:pPr>
      <w:r>
        <w:rPr>
          <w:rFonts w:hint="eastAsia" w:ascii="黑体" w:hAnsi="黑体" w:eastAsia="黑体"/>
          <w:b/>
          <w:sz w:val="32"/>
          <w:szCs w:val="32"/>
        </w:rPr>
      </w:r>
      <w:r/>
    </w:p>
    <w:p>
      <w:pPr>
        <w:jc w:val="center"/>
        <w:pageBreakBefore w:val="0"/>
        <w:spacing w:beforeAutospacing="0" w:afterAutospacing="0" w:line="560" w:lineRule="exact"/>
        <w:rPr>
          <w:rFonts w:hint="eastAsia" w:ascii="黑体" w:hAnsi="黑体" w:eastAsia="黑体"/>
          <w:b/>
          <w:sz w:val="32"/>
          <w:szCs w:val="32"/>
        </w:rPr>
      </w:pPr>
      <w:r>
        <w:rPr>
          <w:rFonts w:hint="eastAsia" w:ascii="黑体" w:hAnsi="黑体" w:eastAsia="黑体"/>
          <w:b/>
          <w:sz w:val="32"/>
          <w:szCs w:val="32"/>
        </w:rPr>
      </w:r>
      <w:r/>
    </w:p>
    <w:p>
      <w:pPr>
        <w:jc w:val="center"/>
        <w:pageBreakBefore w:val="0"/>
        <w:spacing w:beforeAutospacing="0" w:afterAutospacing="0" w:line="560" w:lineRule="exact"/>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11</w:t>
      </w:r>
      <w:r>
        <w:rPr>
          <w:rFonts w:hint="eastAsia" w:ascii="宋体" w:hAnsi="宋体"/>
          <w:b/>
          <w:sz w:val="24"/>
          <w:szCs w:val="24"/>
        </w:rPr>
        <w:t xml:space="preserve"> 联合体协议（参考格式）（采购包号：**）</w:t>
      </w:r>
      <w:r/>
    </w:p>
    <w:p>
      <w:pPr>
        <w:pageBreakBefore w:val="0"/>
        <w:spacing w:beforeAutospacing="0" w:afterAutospacing="0" w:line="400" w:lineRule="exact"/>
        <w:rPr>
          <w:rFonts w:ascii="宋体" w:hAnsi="宋体"/>
          <w:sz w:val="24"/>
          <w:szCs w:val="21"/>
        </w:rPr>
      </w:pPr>
      <w:r>
        <w:rPr>
          <w:rFonts w:hint="eastAsia" w:ascii="宋体" w:hAnsi="宋体"/>
          <w:sz w:val="24"/>
          <w:szCs w:val="21"/>
        </w:rPr>
        <w:t xml:space="preserve">（联合体中各供应商全称）在此达成以下协议：</w:t>
      </w:r>
      <w:r/>
    </w:p>
    <w:p>
      <w:pPr>
        <w:ind w:firstLine="645"/>
        <w:pageBreakBefore w:val="0"/>
        <w:spacing w:beforeAutospacing="0" w:afterAutospacing="0"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1"/>
          <w:lang w:eastAsia="zh-CN"/>
        </w:rPr>
        <w:t xml:space="preserve">，</w:t>
      </w:r>
      <w:r>
        <w:rPr>
          <w:rFonts w:hint="eastAsia" w:ascii="宋体" w:hAnsi="宋体"/>
          <w:sz w:val="24"/>
          <w:szCs w:val="21"/>
          <w:u w:val="none"/>
          <w:lang w:val="en-US" w:eastAsia="zh-CN"/>
        </w:rPr>
        <w:t xml:space="preserve"> </w:t>
      </w:r>
      <w:r>
        <w:rPr>
          <w:rFonts w:hint="eastAsia" w:ascii="宋体" w:hAnsi="宋体"/>
          <w:sz w:val="24"/>
          <w:szCs w:val="21"/>
          <w:u w:val="single"/>
        </w:rPr>
        <w:t xml:space="preserve">   </w:t>
      </w:r>
      <w:r>
        <w:rPr>
          <w:rFonts w:hint="eastAsia" w:ascii="宋体" w:hAnsi="宋体"/>
          <w:sz w:val="24"/>
          <w:szCs w:val="21"/>
          <w:u w:val="single"/>
          <w:lang w:val="en-US" w:eastAsia="zh-CN"/>
        </w:rPr>
        <w:t xml:space="preserve"> </w:t>
      </w:r>
      <w:r>
        <w:rPr>
          <w:rFonts w:hint="eastAsia" w:ascii="宋体" w:hAnsi="宋体"/>
          <w:sz w:val="24"/>
          <w:szCs w:val="21"/>
        </w:rPr>
        <w:t xml:space="preserve">项目</w:t>
      </w:r>
      <w:r>
        <w:rPr>
          <w:rFonts w:hint="eastAsia" w:ascii="宋体" w:hAnsi="宋体"/>
          <w:sz w:val="24"/>
          <w:szCs w:val="24"/>
          <w:u w:val="none"/>
        </w:rPr>
        <w:t xml:space="preserve">（项目名称）</w:t>
      </w:r>
      <w:r>
        <w:rPr>
          <w:rFonts w:hint="eastAsia" w:ascii="宋体" w:hAnsi="宋体"/>
          <w:sz w:val="24"/>
          <w:szCs w:val="21"/>
        </w:rPr>
        <w:t xml:space="preserve">（采购包号：**）的政府采购活动，我联合体指定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pageBreakBefore w:val="0"/>
        <w:spacing w:beforeAutospacing="0" w:afterAutospacing="0"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pageBreakBefore w:val="0"/>
        <w:spacing w:beforeAutospacing="0" w:afterAutospacing="0" w:line="40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pageBreakBefore w:val="0"/>
        <w:spacing w:beforeAutospacing="0" w:afterAutospacing="0" w:line="400" w:lineRule="exact"/>
        <w:rPr>
          <w:rFonts w:hint="eastAsia" w:ascii="宋体" w:hAnsi="宋体"/>
          <w:sz w:val="24"/>
          <w:szCs w:val="21"/>
        </w:rPr>
      </w:pPr>
      <w:r>
        <w:rPr>
          <w:rFonts w:hint="eastAsia" w:ascii="宋体" w:hAnsi="宋体"/>
          <w:sz w:val="24"/>
          <w:szCs w:val="21"/>
        </w:rPr>
      </w:r>
      <w:r/>
    </w:p>
    <w:p>
      <w:pPr>
        <w:ind w:firstLine="645"/>
        <w:pageBreakBefore w:val="0"/>
        <w:spacing w:beforeAutospacing="0" w:afterAutospacing="0"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6"/>
        <w:jc w:val="right"/>
        <w:pageBreakBefore w:val="0"/>
        <w:spacing w:beforeAutospacing="0" w:afterAutospacing="0" w:line="40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6"/>
        <w:pageBreakBefore w:val="0"/>
        <w:spacing w:beforeAutospacing="0" w:afterAutospacing="0" w:line="40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hint="eastAsia" w:ascii="宋体" w:hAnsi="宋体"/>
          <w:color w:val="000000"/>
          <w:sz w:val="24"/>
          <w:szCs w:val="21"/>
        </w:rPr>
        <w:t xml:space="preserve">___年____月____日</w:t>
      </w:r>
      <w:r>
        <w:rPr>
          <w:rFonts w:hint="eastAsia" w:ascii="宋体" w:hAnsi="宋体" w:eastAsia="宋体" w:cs="宋体"/>
          <w:i w:val="0"/>
          <w:iCs w:val="0"/>
          <w:caps w:val="0"/>
          <w:color w:val="000000"/>
          <w:spacing w:val="0"/>
          <w:sz w:val="24"/>
          <w:szCs w:val="24"/>
          <w:shd w:val="clear" w:color="auto" w:fill="ffffff"/>
        </w:rPr>
        <w:t xml:space="preserve"> </w:t>
      </w:r>
      <w:r/>
    </w:p>
    <w:p>
      <w:pPr>
        <w:ind w:firstLine="645"/>
        <w:pageBreakBefore w:val="0"/>
        <w:spacing w:beforeAutospacing="0" w:afterAutospacing="0" w:line="400" w:lineRule="exact"/>
        <w:rPr>
          <w:rFonts w:ascii="宋体" w:hAnsi="宋体"/>
          <w:sz w:val="24"/>
          <w:szCs w:val="21"/>
        </w:rPr>
      </w:pPr>
      <w:r>
        <w:rPr>
          <w:rFonts w:ascii="宋体" w:hAnsi="宋体"/>
          <w:sz w:val="24"/>
          <w:szCs w:val="21"/>
        </w:rPr>
      </w:r>
      <w:r/>
    </w:p>
    <w:p>
      <w:pPr>
        <w:ind w:firstLine="645"/>
        <w:pageBreakBefore w:val="0"/>
        <w:spacing w:beforeAutospacing="0" w:afterAutospacing="0" w:line="400" w:lineRule="exact"/>
        <w:rPr>
          <w:rFonts w:ascii="宋体" w:hAnsi="宋体"/>
          <w:sz w:val="24"/>
          <w:szCs w:val="21"/>
        </w:rPr>
      </w:pPr>
      <w:r>
        <w:rPr>
          <w:rFonts w:ascii="宋体" w:hAnsi="宋体"/>
          <w:sz w:val="24"/>
          <w:szCs w:val="21"/>
        </w:rPr>
      </w:r>
      <w:r/>
    </w:p>
    <w:p>
      <w:pPr>
        <w:ind w:firstLine="645"/>
        <w:pageBreakBefore w:val="0"/>
        <w:spacing w:beforeAutospacing="0" w:afterAutospacing="0"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p>
    <w:p>
      <w:pPr>
        <w:ind w:firstLine="645"/>
        <w:pageBreakBefore w:val="0"/>
        <w:spacing w:beforeAutospacing="0" w:afterAutospacing="0" w:line="560" w:lineRule="exact"/>
        <w:rPr>
          <w:rFonts w:hint="eastAsia" w:ascii="宋体" w:hAnsi="宋体"/>
          <w:color w:val="000000"/>
          <w:sz w:val="24"/>
          <w:szCs w:val="21"/>
        </w:rPr>
      </w:pPr>
      <w:r>
        <w:rPr>
          <w:rFonts w:hint="eastAsia" w:ascii="宋体" w:hAnsi="宋体"/>
          <w:color w:val="000000"/>
          <w:sz w:val="24"/>
          <w:szCs w:val="21"/>
        </w:rPr>
      </w:r>
      <w:r/>
    </w:p>
    <w:p>
      <w:pPr>
        <w:pageBreakBefore w:val="0"/>
        <w:spacing w:beforeAutospacing="0" w:afterAutospacing="0"/>
        <w:rPr>
          <w:rFonts w:ascii="Times New Roman" w:hAnsi="Times New Roman"/>
          <w:color w:val="000000"/>
          <w:szCs w:val="21"/>
        </w:rPr>
      </w:pPr>
      <w:r>
        <w:rPr>
          <w:rFonts w:ascii="Times New Roman" w:hAnsi="Times New Roman"/>
          <w:color w:val="000000"/>
          <w:szCs w:val="21"/>
        </w:rPr>
      </w:r>
      <w:r/>
    </w:p>
    <w:p>
      <w:pPr>
        <w:pageBreakBefore w:val="0"/>
        <w:spacing w:beforeAutospacing="0" w:afterAutospacing="0"/>
        <w:rPr>
          <w:rFonts w:ascii="Times New Roman" w:hAnsi="Times New Roman"/>
          <w:color w:val="000000"/>
          <w:szCs w:val="21"/>
        </w:rPr>
      </w:pPr>
      <w:r>
        <w:rPr>
          <w:rFonts w:ascii="Times New Roman" w:hAnsi="Times New Roman"/>
          <w:color w:val="000000"/>
          <w:szCs w:val="21"/>
        </w:rPr>
      </w:r>
      <w:r/>
    </w:p>
    <w:p>
      <w:pPr>
        <w:pageBreakBefore w:val="0"/>
        <w:spacing w:beforeAutospacing="0" w:afterAutospacing="0"/>
        <w:rPr>
          <w:rFonts w:ascii="Times New Roman" w:hAnsi="Times New Roman"/>
          <w:color w:val="000000"/>
          <w:szCs w:val="21"/>
        </w:rPr>
      </w:pPr>
      <w:r>
        <w:rPr>
          <w:rFonts w:ascii="Times New Roman" w:hAnsi="Times New Roman"/>
          <w:color w:val="000000"/>
          <w:szCs w:val="21"/>
        </w:rPr>
      </w:r>
      <w:r/>
    </w:p>
    <w:p>
      <w:pPr>
        <w:pageBreakBefore w:val="0"/>
        <w:spacing w:beforeAutospacing="0" w:afterAutospacing="0"/>
        <w:rPr>
          <w:rFonts w:ascii="Times New Roman" w:hAnsi="Times New Roman"/>
          <w:color w:val="000000"/>
          <w:szCs w:val="21"/>
        </w:rPr>
      </w:pPr>
      <w:r>
        <w:rPr>
          <w:rFonts w:ascii="Times New Roman" w:hAnsi="Times New Roman"/>
          <w:color w:val="000000"/>
          <w:szCs w:val="21"/>
        </w:rPr>
      </w:r>
      <w:r/>
    </w:p>
    <w:p>
      <w:pPr>
        <w:pageBreakBefore w:val="0"/>
        <w:spacing w:beforeAutospacing="0" w:afterAutospacing="0"/>
        <w:rPr>
          <w:rFonts w:ascii="Times New Roman" w:hAnsi="Times New Roman"/>
          <w:color w:val="000000"/>
          <w:szCs w:val="21"/>
        </w:rPr>
      </w:pPr>
      <w:r>
        <w:rPr>
          <w:rFonts w:ascii="Times New Roman" w:hAnsi="Times New Roman"/>
          <w:color w:val="000000"/>
          <w:szCs w:val="21"/>
        </w:rPr>
      </w:r>
      <w:r/>
    </w:p>
    <w:p>
      <w:pPr>
        <w:pageBreakBefore w:val="0"/>
        <w:spacing w:beforeAutospacing="0" w:afterAutospacing="0"/>
        <w:rPr>
          <w:rFonts w:ascii="Times New Roman" w:hAnsi="Times New Roman"/>
          <w:color w:val="000000"/>
          <w:szCs w:val="21"/>
        </w:rPr>
      </w:pPr>
      <w:r>
        <w:rPr>
          <w:rFonts w:ascii="Times New Roman" w:hAnsi="Times New Roman"/>
          <w:color w:val="000000"/>
          <w:szCs w:val="21"/>
        </w:rPr>
      </w:r>
      <w:r/>
    </w:p>
    <w:p>
      <w:pPr>
        <w:pageBreakBefore w:val="0"/>
        <w:spacing w:beforeAutospacing="0" w:afterAutospacing="0"/>
        <w:rPr>
          <w:rFonts w:ascii="Times New Roman" w:hAnsi="Times New Roman"/>
          <w:color w:val="000000"/>
          <w:szCs w:val="21"/>
        </w:rPr>
      </w:pPr>
      <w:r>
        <w:rPr>
          <w:rFonts w:ascii="Times New Roman" w:hAnsi="Times New Roman"/>
          <w:color w:val="000000"/>
          <w:szCs w:val="21"/>
        </w:rPr>
      </w:r>
      <w:r/>
    </w:p>
    <w:p>
      <w:pPr>
        <w:pageBreakBefore w:val="0"/>
        <w:spacing w:beforeAutospacing="0" w:afterAutospacing="0"/>
        <w:rPr>
          <w:rFonts w:ascii="Times New Roman" w:hAnsi="Times New Roman"/>
          <w:color w:val="000000"/>
          <w:szCs w:val="21"/>
        </w:rPr>
      </w:pPr>
      <w:r>
        <w:rPr>
          <w:rFonts w:ascii="Times New Roman" w:hAnsi="Times New Roman"/>
          <w:color w:val="000000"/>
          <w:szCs w:val="21"/>
        </w:rPr>
      </w:r>
      <w:r/>
    </w:p>
    <w:p>
      <w:pPr>
        <w:pageBreakBefore w:val="0"/>
        <w:spacing w:beforeAutospacing="0" w:afterAutospacing="0"/>
        <w:rPr>
          <w:rFonts w:ascii="Times New Roman" w:hAnsi="Times New Roman"/>
          <w:color w:val="000000"/>
          <w:szCs w:val="21"/>
        </w:rPr>
      </w:pPr>
      <w:r>
        <w:rPr>
          <w:rFonts w:ascii="Times New Roman" w:hAnsi="Times New Roman"/>
          <w:color w:val="000000"/>
          <w:szCs w:val="21"/>
        </w:rPr>
      </w:r>
      <w:r/>
    </w:p>
    <w:p>
      <w:pPr>
        <w:pageBreakBefore w:val="0"/>
        <w:spacing w:beforeAutospacing="0" w:afterAutospacing="0"/>
        <w:rPr>
          <w:rFonts w:ascii="Times New Roman" w:hAnsi="Times New Roman"/>
          <w:color w:val="000000"/>
          <w:szCs w:val="21"/>
        </w:rPr>
      </w:pPr>
      <w:r>
        <w:rPr>
          <w:rFonts w:ascii="Times New Roman" w:hAnsi="Times New Roman"/>
          <w:color w:val="000000"/>
          <w:szCs w:val="21"/>
        </w:rPr>
      </w:r>
      <w:r/>
    </w:p>
    <w:p>
      <w:pPr>
        <w:pageBreakBefore w:val="0"/>
        <w:spacing w:beforeAutospacing="0" w:afterAutospacing="0"/>
        <w:rPr>
          <w:rFonts w:ascii="Times New Roman" w:hAnsi="Times New Roman"/>
          <w:color w:val="000000"/>
          <w:szCs w:val="21"/>
        </w:rPr>
      </w:pPr>
      <w:r>
        <w:rPr>
          <w:rFonts w:ascii="Times New Roman" w:hAnsi="Times New Roman"/>
          <w:color w:val="000000"/>
          <w:szCs w:val="21"/>
        </w:rPr>
      </w:r>
      <w:r/>
    </w:p>
    <w:p>
      <w:pPr>
        <w:pageBreakBefore w:val="0"/>
        <w:spacing w:beforeAutospacing="0" w:afterAutospacing="0"/>
        <w:rPr>
          <w:rFonts w:ascii="Times New Roman" w:hAnsi="Times New Roman"/>
          <w:color w:val="000000"/>
          <w:szCs w:val="21"/>
        </w:rPr>
      </w:pPr>
      <w:r>
        <w:rPr>
          <w:rFonts w:ascii="Times New Roman" w:hAnsi="Times New Roman"/>
          <w:color w:val="000000"/>
          <w:szCs w:val="21"/>
        </w:rPr>
      </w:r>
      <w:r/>
    </w:p>
    <w:p>
      <w:pPr>
        <w:pageBreakBefore w:val="0"/>
        <w:spacing w:beforeAutospacing="0" w:afterAutospacing="0"/>
        <w:rPr>
          <w:rFonts w:ascii="Times New Roman" w:hAnsi="Times New Roman"/>
          <w:color w:val="000000"/>
          <w:szCs w:val="21"/>
        </w:rPr>
      </w:pPr>
      <w:r>
        <w:rPr>
          <w:rFonts w:ascii="Times New Roman" w:hAnsi="Times New Roman"/>
          <w:color w:val="000000"/>
          <w:szCs w:val="21"/>
        </w:rPr>
      </w:r>
      <w:r/>
    </w:p>
    <w:p>
      <w:pPr>
        <w:pageBreakBefore w:val="0"/>
        <w:spacing w:beforeAutospacing="0" w:afterAutospacing="0"/>
        <w:rPr>
          <w:rFonts w:hint="eastAsia" w:ascii="Times New Roman" w:hAnsi="Times New Roman"/>
          <w:color w:val="000000"/>
          <w:szCs w:val="21"/>
        </w:rPr>
      </w:pPr>
      <w:r>
        <w:rPr>
          <w:rFonts w:hint="eastAsia" w:ascii="Times New Roman" w:hAnsi="Times New Roman"/>
          <w:color w:val="000000"/>
          <w:szCs w:val="21"/>
        </w:rPr>
      </w:r>
      <w:r/>
    </w:p>
    <w:p>
      <w:pPr>
        <w:jc w:val="center"/>
        <w:pageBreakBefore w:val="0"/>
        <w:spacing w:beforeAutospacing="0" w:afterAutospacing="0"/>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实质性要求响应及偏离表（采购包号：**）</w:t>
      </w:r>
      <w:r/>
    </w:p>
    <w:tbl>
      <w:tblPr>
        <w:tblStyle w:val="719"/>
        <w:tblW w:w="89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4"/>
              </w:rPr>
              <w:t xml:space="preserve">序号</w:t>
            </w:r>
            <w:r/>
          </w:p>
        </w:tc>
        <w:tc>
          <w:tcPr>
            <w:tcW w:w="3609" w:type="dxa"/>
            <w:vAlign w:val="center"/>
            <w:textDirection w:val="lrTb"/>
            <w:noWrap w:val="false"/>
          </w:tcPr>
          <w:p>
            <w:pPr>
              <w:jc w:val="center"/>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ascii="宋体" w:hAnsi="宋体"/>
                <w:color w:val="000000"/>
                <w:sz w:val="24"/>
                <w:szCs w:val="24"/>
              </w:rPr>
              <w:t xml:space="preserve">的实质性要求</w:t>
            </w:r>
            <w:r>
              <w:rPr>
                <w:rFonts w:hint="eastAsia" w:ascii="宋体" w:hAnsi="宋体"/>
                <w:b/>
                <w:bCs/>
                <w:color w:val="000000"/>
                <w:sz w:val="24"/>
                <w:szCs w:val="24"/>
              </w:rPr>
              <w:t xml:space="preserve">（</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w:t>
            </w:r>
            <w:r/>
          </w:p>
        </w:tc>
        <w:tc>
          <w:tcPr>
            <w:tcW w:w="3317" w:type="dxa"/>
            <w:vAlign w:val="center"/>
            <w:textDirection w:val="lrTb"/>
            <w:noWrap w:val="false"/>
          </w:tcPr>
          <w:p>
            <w:pPr>
              <w:jc w:val="center"/>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p>
        </w:tc>
        <w:tc>
          <w:tcPr>
            <w:tcW w:w="1526" w:type="dxa"/>
            <w:vAlign w:val="center"/>
            <w:textDirection w:val="lrTb"/>
            <w:noWrap w:val="false"/>
          </w:tcPr>
          <w:p>
            <w:pPr>
              <w:jc w:val="center"/>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vAlign w:val="top"/>
            <w:textDirection w:val="lrTb"/>
            <w:noWrap w:val="false"/>
          </w:tcPr>
          <w:p>
            <w:pPr>
              <w:jc w:val="center"/>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4"/>
              </w:rPr>
              <w:t xml:space="preserve">1</w:t>
            </w:r>
            <w:r/>
          </w:p>
        </w:tc>
        <w:tc>
          <w:tcPr>
            <w:tcW w:w="3609" w:type="dxa"/>
            <w:vAlign w:val="top"/>
            <w:textDirection w:val="lrTb"/>
            <w:noWrap w:val="false"/>
          </w:tcPr>
          <w:p>
            <w:pPr>
              <w:jc w:val="center"/>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jc w:val="center"/>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jc w:val="center"/>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4"/>
              </w:rPr>
              <w:t xml:space="preserve">2</w:t>
            </w:r>
            <w:r/>
          </w:p>
        </w:tc>
        <w:tc>
          <w:tcPr>
            <w:tcW w:w="3609" w:type="dxa"/>
            <w:vAlign w:val="top"/>
            <w:textDirection w:val="lrTb"/>
            <w:noWrap w:val="false"/>
          </w:tcPr>
          <w:p>
            <w:pPr>
              <w:jc w:val="center"/>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jc w:val="center"/>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jc w:val="center"/>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4"/>
              </w:rPr>
            </w:r>
            <w:r/>
          </w:p>
        </w:tc>
        <w:tc>
          <w:tcPr>
            <w:tcW w:w="3609" w:type="dxa"/>
            <w:vAlign w:val="top"/>
            <w:textDirection w:val="lrTb"/>
            <w:noWrap w:val="false"/>
          </w:tcPr>
          <w:p>
            <w:pPr>
              <w:jc w:val="center"/>
              <w:pageBreakBefore w:val="0"/>
              <w:spacing w:beforeAutospacing="0" w:afterAutospacing="0" w:line="400" w:lineRule="exact"/>
              <w:rPr>
                <w:rFonts w:hint="eastAsia" w:ascii="宋体" w:hAnsi="宋体"/>
                <w:color w:val="000000"/>
                <w:sz w:val="24"/>
                <w:szCs w:val="24"/>
              </w:rPr>
            </w:pPr>
            <w:r>
              <w:rPr>
                <w:rFonts w:ascii="宋体" w:hAnsi="宋体"/>
                <w:color w:val="000000"/>
                <w:sz w:val="24"/>
                <w:szCs w:val="24"/>
              </w:rPr>
              <w:t xml:space="preserve">……</w:t>
            </w:r>
            <w:r/>
          </w:p>
        </w:tc>
        <w:tc>
          <w:tcPr>
            <w:tcW w:w="3317" w:type="dxa"/>
            <w:vAlign w:val="top"/>
            <w:textDirection w:val="lrTb"/>
            <w:noWrap w:val="false"/>
          </w:tcPr>
          <w:p>
            <w:pPr>
              <w:jc w:val="center"/>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jc w:val="center"/>
              <w:pageBreakBefore w:val="0"/>
              <w:spacing w:beforeAutospacing="0" w:afterAutospacing="0" w:line="400" w:lineRule="exact"/>
              <w:rPr>
                <w:rFonts w:hint="eastAsia" w:ascii="宋体" w:hAnsi="宋体"/>
                <w:color w:val="000000"/>
                <w:sz w:val="24"/>
                <w:szCs w:val="24"/>
              </w:rPr>
            </w:pPr>
            <w:r>
              <w:rPr>
                <w:rFonts w:hint="eastAsia" w:ascii="宋体" w:hAnsi="宋体"/>
                <w:color w:val="000000"/>
                <w:sz w:val="24"/>
                <w:szCs w:val="24"/>
              </w:rPr>
            </w:r>
            <w:r/>
          </w:p>
        </w:tc>
      </w:tr>
    </w:tbl>
    <w:p>
      <w:pPr>
        <w:pageBreakBefore w:val="0"/>
        <w:spacing w:beforeAutospacing="0" w:afterAutospacing="0"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12-1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p>
    <w:p>
      <w:pPr>
        <w:pageBreakBefore w:val="0"/>
        <w:spacing w:beforeAutospacing="0" w:afterAutospacing="0" w:line="400" w:lineRule="exact"/>
        <w:rPr>
          <w:rFonts w:ascii="宋体" w:hAnsi="宋体"/>
          <w:color w:val="000000"/>
          <w:sz w:val="24"/>
          <w:szCs w:val="24"/>
        </w:rPr>
      </w:pPr>
      <w:r>
        <w:rPr>
          <w:rFonts w:ascii="宋体" w:hAnsi="宋体"/>
          <w:color w:val="000000"/>
          <w:sz w:val="24"/>
          <w:szCs w:val="24"/>
        </w:rPr>
      </w:r>
      <w:r/>
    </w:p>
    <w:p>
      <w:pPr>
        <w:pageBreakBefore w:val="0"/>
        <w:spacing w:beforeAutospacing="0" w:afterAutospacing="0"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pageBreakBefore w:val="0"/>
        <w:spacing w:beforeAutospacing="0" w:afterAutospacing="0" w:line="400" w:lineRule="exact"/>
        <w:rPr>
          <w:rFonts w:ascii="宋体" w:hAnsi="宋体"/>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w:t>
      </w: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ascii="宋体" w:hAnsi="宋体"/>
          <w:color w:val="000000"/>
          <w:sz w:val="24"/>
          <w:szCs w:val="24"/>
        </w:rPr>
        <w:t xml:space="preserve">的实质性要求</w:t>
      </w:r>
      <w:r>
        <w:rPr>
          <w:rFonts w:hint="eastAsia" w:ascii="宋体" w:hAnsi="宋体"/>
          <w:b/>
          <w:bCs/>
          <w:color w:val="000000"/>
          <w:sz w:val="24"/>
          <w:szCs w:val="24"/>
        </w:rPr>
        <w:t xml:space="preserve">（</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w:t>
      </w:r>
      <w:r>
        <w:rPr>
          <w:rFonts w:ascii="宋体" w:hAnsi="宋体"/>
          <w:color w:val="000000"/>
          <w:sz w:val="24"/>
          <w:szCs w:val="24"/>
        </w:rPr>
        <w:t xml:space="preserve">逐条做出明确响应</w:t>
      </w:r>
      <w:r>
        <w:rPr>
          <w:rFonts w:hint="eastAsia" w:ascii="宋体" w:hAnsi="宋体"/>
          <w:color w:val="000000"/>
          <w:sz w:val="24"/>
          <w:szCs w:val="24"/>
        </w:rPr>
        <w:t xml:space="preserve">。</w:t>
      </w:r>
      <w:r/>
    </w:p>
    <w:p>
      <w:pPr>
        <w:pageBreakBefore w:val="0"/>
        <w:spacing w:beforeAutospacing="0" w:afterAutospacing="0"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ageBreakBefore w:val="0"/>
        <w:spacing w:beforeAutospacing="0" w:afterAutospacing="0"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pageBreakBefore w:val="0"/>
        <w:spacing w:beforeAutospacing="0" w:afterAutospacing="0" w:line="400" w:lineRule="exact"/>
        <w:rPr>
          <w:rFonts w:hint="eastAsia" w:ascii="宋体" w:hAnsi="宋体"/>
          <w:sz w:val="24"/>
          <w:szCs w:val="24"/>
        </w:rPr>
      </w:pPr>
      <w:r>
        <w:rPr>
          <w:rFonts w:hint="eastAsia" w:ascii="宋体" w:hAnsi="宋体"/>
          <w:sz w:val="24"/>
          <w:szCs w:val="24"/>
        </w:rPr>
      </w:r>
      <w:r/>
    </w:p>
    <w:p>
      <w:pPr>
        <w:pageBreakBefore w:val="0"/>
        <w:spacing w:beforeAutospacing="0" w:afterAutospacing="0" w:line="400" w:lineRule="exact"/>
        <w:rPr>
          <w:rFonts w:hint="eastAsia" w:ascii="宋体" w:hAnsi="宋体"/>
          <w:sz w:val="24"/>
          <w:szCs w:val="24"/>
        </w:rPr>
      </w:pPr>
      <w:r>
        <w:rPr>
          <w:rFonts w:hint="eastAsia" w:ascii="宋体" w:hAnsi="宋体"/>
          <w:sz w:val="24"/>
          <w:szCs w:val="24"/>
        </w:rPr>
      </w:r>
      <w:r/>
    </w:p>
    <w:p>
      <w:pPr>
        <w:pageBreakBefore w:val="0"/>
        <w:spacing w:beforeAutospacing="0" w:afterAutospacing="0" w:line="400" w:lineRule="exact"/>
        <w:rPr>
          <w:rFonts w:hint="eastAsia" w:ascii="宋体" w:hAnsi="宋体"/>
          <w:sz w:val="24"/>
          <w:szCs w:val="24"/>
        </w:rPr>
      </w:pPr>
      <w:r>
        <w:rPr>
          <w:rFonts w:hint="eastAsia" w:ascii="宋体" w:hAnsi="宋体"/>
          <w:sz w:val="24"/>
          <w:szCs w:val="24"/>
        </w:rPr>
      </w:r>
      <w:r/>
    </w:p>
    <w:p>
      <w:pPr>
        <w:pageBreakBefore w:val="0"/>
        <w:spacing w:beforeAutospacing="0" w:afterAutospacing="0" w:line="400" w:lineRule="exact"/>
        <w:rPr>
          <w:rFonts w:hint="eastAsia" w:ascii="宋体" w:hAnsi="宋体"/>
          <w:sz w:val="24"/>
          <w:szCs w:val="24"/>
        </w:rPr>
      </w:pPr>
      <w:r>
        <w:rPr>
          <w:rFonts w:hint="eastAsia" w:ascii="宋体" w:hAnsi="宋体"/>
          <w:sz w:val="24"/>
          <w:szCs w:val="24"/>
        </w:rPr>
      </w:r>
      <w:r/>
    </w:p>
    <w:p>
      <w:pPr>
        <w:pageBreakBefore w:val="0"/>
        <w:spacing w:beforeAutospacing="0" w:afterAutospacing="0" w:line="400" w:lineRule="exact"/>
        <w:rPr>
          <w:rFonts w:hint="eastAsia" w:ascii="宋体" w:hAnsi="宋体"/>
          <w:sz w:val="24"/>
          <w:szCs w:val="24"/>
        </w:rPr>
      </w:pPr>
      <w:r>
        <w:rPr>
          <w:rFonts w:hint="eastAsia" w:ascii="宋体" w:hAnsi="宋体"/>
          <w:sz w:val="24"/>
          <w:szCs w:val="24"/>
        </w:rPr>
      </w:r>
      <w:r/>
    </w:p>
    <w:p>
      <w:pPr>
        <w:pageBreakBefore w:val="0"/>
        <w:spacing w:beforeAutospacing="0" w:afterAutospacing="0" w:line="400" w:lineRule="exact"/>
        <w:rPr>
          <w:rFonts w:hint="eastAsia" w:ascii="宋体" w:hAnsi="宋体"/>
          <w:sz w:val="24"/>
          <w:szCs w:val="24"/>
        </w:rPr>
      </w:pPr>
      <w:r>
        <w:rPr>
          <w:rFonts w:hint="eastAsia" w:ascii="宋体" w:hAnsi="宋体"/>
          <w:sz w:val="24"/>
          <w:szCs w:val="24"/>
        </w:rPr>
      </w:r>
      <w:r/>
    </w:p>
    <w:p>
      <w:pPr>
        <w:pageBreakBefore w:val="0"/>
        <w:spacing w:beforeAutospacing="0" w:afterAutospacing="0" w:line="400" w:lineRule="exact"/>
        <w:rPr>
          <w:rFonts w:hint="eastAsia" w:ascii="宋体" w:hAnsi="宋体"/>
          <w:sz w:val="24"/>
          <w:szCs w:val="24"/>
        </w:rPr>
      </w:pPr>
      <w:r>
        <w:rPr>
          <w:rFonts w:hint="eastAsia" w:ascii="宋体" w:hAnsi="宋体"/>
          <w:sz w:val="24"/>
          <w:szCs w:val="24"/>
        </w:rPr>
      </w:r>
      <w:r/>
    </w:p>
    <w:p>
      <w:pPr>
        <w:pageBreakBefore w:val="0"/>
        <w:spacing w:beforeAutospacing="0" w:afterAutospacing="0" w:line="400" w:lineRule="exact"/>
        <w:rPr>
          <w:rFonts w:hint="eastAsia" w:ascii="宋体" w:hAnsi="宋体"/>
          <w:sz w:val="24"/>
          <w:szCs w:val="24"/>
        </w:rPr>
      </w:pPr>
      <w:r>
        <w:rPr>
          <w:rFonts w:hint="eastAsia" w:ascii="宋体" w:hAnsi="宋体"/>
          <w:sz w:val="24"/>
          <w:szCs w:val="24"/>
        </w:rPr>
      </w:r>
      <w:r/>
    </w:p>
    <w:p>
      <w:pPr>
        <w:pageBreakBefore w:val="0"/>
        <w:spacing w:beforeAutospacing="0" w:afterAutospacing="0" w:line="400" w:lineRule="exact"/>
        <w:rPr>
          <w:rFonts w:hint="eastAsia" w:ascii="宋体" w:hAnsi="宋体"/>
          <w:sz w:val="24"/>
          <w:szCs w:val="24"/>
        </w:rPr>
      </w:pPr>
      <w:r>
        <w:rPr>
          <w:rFonts w:hint="eastAsia" w:ascii="宋体" w:hAnsi="宋体"/>
          <w:sz w:val="24"/>
          <w:szCs w:val="24"/>
        </w:rPr>
      </w:r>
      <w:r/>
    </w:p>
    <w:p>
      <w:pPr>
        <w:pageBreakBefore w:val="0"/>
        <w:spacing w:beforeAutospacing="0" w:afterAutospacing="0" w:line="400" w:lineRule="exact"/>
        <w:rPr>
          <w:rFonts w:hint="eastAsia" w:ascii="宋体" w:hAnsi="宋体"/>
          <w:sz w:val="24"/>
          <w:szCs w:val="24"/>
        </w:rPr>
      </w:pPr>
      <w:r>
        <w:rPr>
          <w:rFonts w:hint="eastAsia" w:ascii="宋体" w:hAnsi="宋体"/>
          <w:sz w:val="24"/>
          <w:szCs w:val="24"/>
        </w:rPr>
      </w:r>
      <w:r/>
    </w:p>
    <w:p>
      <w:pPr>
        <w:pageBreakBefore w:val="0"/>
        <w:spacing w:beforeAutospacing="0" w:afterAutospacing="0" w:line="400" w:lineRule="exact"/>
        <w:rPr>
          <w:rFonts w:hint="eastAsia" w:ascii="宋体" w:hAnsi="宋体"/>
          <w:sz w:val="24"/>
          <w:szCs w:val="24"/>
        </w:rPr>
      </w:pPr>
      <w:r>
        <w:rPr>
          <w:rFonts w:hint="eastAsia" w:ascii="宋体" w:hAnsi="宋体"/>
          <w:sz w:val="24"/>
          <w:szCs w:val="24"/>
        </w:rPr>
      </w:r>
      <w:r/>
    </w:p>
    <w:p>
      <w:pPr>
        <w:pageBreakBefore w:val="0"/>
        <w:spacing w:beforeAutospacing="0" w:afterAutospacing="0" w:line="400" w:lineRule="exact"/>
        <w:rPr>
          <w:rFonts w:hint="eastAsia" w:ascii="宋体" w:hAnsi="宋体"/>
          <w:sz w:val="24"/>
          <w:szCs w:val="24"/>
        </w:rPr>
      </w:pPr>
      <w:r>
        <w:rPr>
          <w:rFonts w:hint="eastAsia" w:ascii="宋体" w:hAnsi="宋体"/>
          <w:sz w:val="24"/>
          <w:szCs w:val="24"/>
        </w:rPr>
      </w:r>
      <w:r/>
    </w:p>
    <w:p>
      <w:pPr>
        <w:pageBreakBefore w:val="0"/>
        <w:spacing w:beforeAutospacing="0" w:afterAutospacing="0" w:line="400" w:lineRule="exact"/>
        <w:rPr>
          <w:rFonts w:hint="eastAsia" w:ascii="宋体" w:hAnsi="宋体"/>
          <w:sz w:val="24"/>
          <w:szCs w:val="24"/>
        </w:rPr>
      </w:pPr>
      <w:r>
        <w:rPr>
          <w:rFonts w:hint="eastAsia" w:ascii="宋体" w:hAnsi="宋体"/>
          <w:sz w:val="24"/>
          <w:szCs w:val="24"/>
        </w:rPr>
      </w:r>
      <w:r/>
    </w:p>
    <w:p>
      <w:pPr>
        <w:pageBreakBefore w:val="0"/>
        <w:spacing w:beforeAutospacing="0" w:afterAutospacing="0" w:line="400" w:lineRule="exact"/>
        <w:rPr>
          <w:rFonts w:hint="eastAsia" w:ascii="宋体" w:hAnsi="宋体"/>
          <w:sz w:val="24"/>
          <w:szCs w:val="24"/>
        </w:rPr>
      </w:pPr>
      <w:r>
        <w:rPr>
          <w:rFonts w:hint="eastAsia" w:ascii="宋体" w:hAnsi="宋体"/>
          <w:sz w:val="24"/>
          <w:szCs w:val="24"/>
        </w:rPr>
      </w:r>
      <w:r/>
    </w:p>
    <w:p>
      <w:pPr>
        <w:pageBreakBefore w:val="0"/>
        <w:spacing w:beforeAutospacing="0" w:afterAutospacing="0" w:line="400" w:lineRule="exact"/>
        <w:rPr>
          <w:rFonts w:hint="eastAsia" w:ascii="宋体" w:hAnsi="宋体"/>
          <w:sz w:val="24"/>
          <w:szCs w:val="24"/>
        </w:rPr>
      </w:pPr>
      <w:r>
        <w:rPr>
          <w:rFonts w:hint="eastAsia" w:ascii="宋体" w:hAnsi="宋体"/>
          <w:sz w:val="24"/>
          <w:szCs w:val="24"/>
        </w:rPr>
      </w:r>
      <w:r/>
    </w:p>
    <w:p>
      <w:pPr>
        <w:pageBreakBefore w:val="0"/>
        <w:spacing w:beforeAutospacing="0" w:afterAutospacing="0" w:line="400" w:lineRule="exact"/>
        <w:rPr>
          <w:rFonts w:hint="eastAsia" w:ascii="宋体" w:hAnsi="宋体"/>
          <w:sz w:val="24"/>
          <w:szCs w:val="24"/>
        </w:rPr>
      </w:pPr>
      <w:r>
        <w:rPr>
          <w:rFonts w:hint="eastAsia" w:ascii="宋体" w:hAnsi="宋体"/>
          <w:sz w:val="24"/>
          <w:szCs w:val="24"/>
        </w:rPr>
      </w:r>
      <w:r/>
    </w:p>
    <w:p>
      <w:pPr>
        <w:pageBreakBefore w:val="0"/>
        <w:spacing w:beforeAutospacing="0" w:afterAutospacing="0" w:line="400" w:lineRule="exact"/>
        <w:rPr>
          <w:rFonts w:hint="eastAsia" w:ascii="宋体" w:hAnsi="宋体"/>
          <w:sz w:val="24"/>
          <w:szCs w:val="24"/>
        </w:rPr>
      </w:pPr>
      <w:r>
        <w:rPr>
          <w:rFonts w:hint="eastAsia" w:ascii="宋体" w:hAnsi="宋体"/>
          <w:sz w:val="24"/>
          <w:szCs w:val="24"/>
        </w:rPr>
      </w:r>
      <w:r/>
    </w:p>
    <w:p>
      <w:pPr>
        <w:pageBreakBefore w:val="0"/>
        <w:spacing w:beforeAutospacing="0" w:afterAutospacing="0" w:line="400" w:lineRule="exact"/>
        <w:rPr>
          <w:rFonts w:hint="eastAsia" w:ascii="宋体" w:hAnsi="宋体"/>
          <w:sz w:val="24"/>
          <w:szCs w:val="24"/>
        </w:rPr>
      </w:pPr>
      <w:r>
        <w:rPr>
          <w:rFonts w:hint="eastAsia" w:ascii="宋体" w:hAnsi="宋体"/>
          <w:sz w:val="24"/>
          <w:szCs w:val="24"/>
        </w:rPr>
      </w:r>
      <w:r/>
    </w:p>
    <w:p>
      <w:pPr>
        <w:jc w:val="center"/>
        <w:pageBreakBefore w:val="0"/>
        <w:spacing w:beforeAutospacing="0" w:afterAutospacing="0"/>
        <w:rPr>
          <w:rFonts w:hint="eastAsia" w:ascii="宋体" w:hAnsi="宋体" w:eastAsia="宋体" w:cs="宋体"/>
          <w:i w:val="0"/>
          <w:iCs w:val="0"/>
          <w:caps w:val="0"/>
          <w:color w:val="000000"/>
          <w:spacing w:val="0"/>
          <w:sz w:val="24"/>
          <w:szCs w:val="24"/>
        </w:rPr>
      </w:pPr>
      <w:r>
        <w:rPr>
          <w:rFonts w:hint="eastAsia" w:ascii="宋体" w:hAnsi="宋体" w:eastAsia="宋体" w:cs="宋体"/>
          <w:b/>
          <w:color w:val="000000"/>
          <w:sz w:val="24"/>
          <w:szCs w:val="24"/>
        </w:rPr>
        <w:t xml:space="preserve">附件1</w:t>
      </w:r>
      <w:r>
        <w:rPr>
          <w:rFonts w:hint="eastAsia" w:ascii="宋体" w:hAnsi="宋体" w:eastAsia="宋体" w:cs="宋体"/>
          <w:b/>
          <w:color w:val="000000"/>
          <w:sz w:val="24"/>
          <w:szCs w:val="24"/>
          <w:lang w:val="en-US" w:eastAsia="zh-CN"/>
        </w:rPr>
        <w:t xml:space="preserve">3</w:t>
      </w:r>
      <w:r>
        <w:rPr>
          <w:rFonts w:hint="eastAsia" w:ascii="宋体" w:hAnsi="宋体" w:eastAsia="宋体" w:cs="宋体"/>
          <w:b/>
          <w:color w:val="000000"/>
          <w:sz w:val="24"/>
          <w:szCs w:val="24"/>
        </w:rPr>
        <w:t xml:space="preserve">  关于符合本国产品标准的声明函（采购包号：**）</w:t>
      </w:r>
      <w:r/>
    </w:p>
    <w:p>
      <w:pPr>
        <w:pStyle w:val="959"/>
        <w:ind w:left="0" w:right="0" w:firstLine="420"/>
        <w:keepLines w:val="0"/>
        <w:keepNext w:val="0"/>
        <w:pageBreakBefore w:val="0"/>
        <w:spacing w:before="0" w:beforeAutospacing="0" w:after="0" w:afterAutospacing="0" w:line="0" w:lineRule="atLeast"/>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59"/>
        <w:ind w:left="0" w:right="0" w:firstLine="420"/>
        <w:keepLines w:val="0"/>
        <w:keepNext w:val="0"/>
        <w:pageBreakBefore w:val="0"/>
        <w:spacing w:before="0" w:beforeAutospacing="0" w:after="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1.</w:t>
      </w:r>
      <w:r>
        <w:rPr>
          <w:rStyle w:val="910"/>
          <w:rFonts w:hint="eastAsia" w:ascii="宋体" w:hAnsi="宋体" w:eastAsia="宋体" w:cs="宋体"/>
          <w:i w:val="0"/>
          <w:iCs w:val="0"/>
          <w:caps w:val="0"/>
          <w:color w:val="000000"/>
          <w:spacing w:val="0"/>
          <w:sz w:val="24"/>
          <w:szCs w:val="24"/>
          <w:u w:val="single"/>
          <w:shd w:val="clear" w:color="auto" w:fill="ffffff"/>
        </w:rPr>
        <w:t xml:space="preserve">（产品名称1）</w:t>
      </w:r>
      <w:r>
        <w:rPr>
          <w:rStyle w:val="910"/>
          <w:rFonts w:hint="eastAsia" w:ascii="宋体" w:hAnsi="宋体" w:eastAsia="宋体" w:cs="宋体"/>
          <w:i w:val="0"/>
          <w:iCs w:val="0"/>
          <w:caps w:val="0"/>
          <w:color w:val="000000"/>
          <w:spacing w:val="0"/>
          <w:sz w:val="24"/>
          <w:szCs w:val="24"/>
          <w:u w:val="none"/>
          <w:shd w:val="clear" w:color="auto" w:fill="ffffff"/>
          <w:vertAlign w:val="superscript"/>
        </w:rPr>
        <w:t xml:space="preserve">1</w:t>
      </w:r>
      <w:r>
        <w:rPr>
          <w:rFonts w:hint="eastAsia" w:ascii="宋体" w:hAnsi="宋体" w:eastAsia="宋体" w:cs="宋体"/>
          <w:i w:val="0"/>
          <w:iCs w:val="0"/>
          <w:caps w:val="0"/>
          <w:color w:val="000000"/>
          <w:spacing w:val="0"/>
          <w:sz w:val="24"/>
          <w:szCs w:val="24"/>
          <w:shd w:val="clear" w:color="auto" w:fill="ffffff"/>
        </w:rPr>
        <w:t xml:space="preserve">，生产厂为</w:t>
      </w:r>
      <w:r>
        <w:rPr>
          <w:rStyle w:val="910"/>
          <w:rFonts w:hint="eastAsia" w:ascii="宋体" w:hAnsi="宋体" w:eastAsia="宋体" w:cs="宋体"/>
          <w:i w:val="0"/>
          <w:iCs w:val="0"/>
          <w:caps w:val="0"/>
          <w:color w:val="000000"/>
          <w:spacing w:val="0"/>
          <w:sz w:val="24"/>
          <w:szCs w:val="24"/>
          <w:u w:val="single"/>
          <w:shd w:val="clear" w:color="auto" w:fill="ffffff"/>
        </w:rPr>
        <w:t xml:space="preserve">（厂名）</w:t>
      </w:r>
      <w:r>
        <w:rPr>
          <w:rStyle w:val="910"/>
          <w:rFonts w:hint="eastAsia" w:ascii="宋体" w:hAnsi="宋体" w:eastAsia="宋体" w:cs="宋体"/>
          <w:i w:val="0"/>
          <w:iCs w:val="0"/>
          <w:caps w:val="0"/>
          <w:color w:val="000000"/>
          <w:spacing w:val="0"/>
          <w:sz w:val="24"/>
          <w:szCs w:val="24"/>
          <w:u w:val="none"/>
          <w:shd w:val="clear" w:color="auto" w:fill="ffffff"/>
          <w:vertAlign w:val="superscript"/>
        </w:rPr>
        <w:t xml:space="preserve">2</w:t>
      </w:r>
      <w:r>
        <w:rPr>
          <w:rFonts w:hint="eastAsia" w:ascii="宋体" w:hAnsi="宋体" w:eastAsia="宋体" w:cs="宋体"/>
          <w:i w:val="0"/>
          <w:iCs w:val="0"/>
          <w:caps w:val="0"/>
          <w:color w:val="000000"/>
          <w:spacing w:val="0"/>
          <w:sz w:val="24"/>
          <w:szCs w:val="24"/>
          <w:shd w:val="clear" w:color="auto" w:fill="ffffff"/>
        </w:rPr>
        <w:t xml:space="preserve">，厂址为</w:t>
      </w:r>
      <w:r>
        <w:rPr>
          <w:rStyle w:val="910"/>
          <w:rFonts w:hint="eastAsia" w:ascii="宋体" w:hAnsi="宋体" w:eastAsia="宋体" w:cs="宋体"/>
          <w:i w:val="0"/>
          <w:iCs w:val="0"/>
          <w:caps w:val="0"/>
          <w:color w:val="000000"/>
          <w:spacing w:val="0"/>
          <w:sz w:val="24"/>
          <w:szCs w:val="24"/>
          <w:u w:val="single"/>
          <w:shd w:val="clear" w:color="auto" w:fill="ffffff"/>
        </w:rPr>
        <w:t xml:space="preserve">（生产厂址）</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10"/>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的中国境内生产的组件成本占比≥</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10"/>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10"/>
          <w:rFonts w:hint="eastAsia" w:ascii="宋体" w:hAnsi="宋体" w:eastAsia="宋体" w:cs="宋体"/>
          <w:i w:val="0"/>
          <w:iCs w:val="0"/>
          <w:caps w:val="0"/>
          <w:color w:val="000000"/>
          <w:spacing w:val="0"/>
          <w:sz w:val="24"/>
          <w:szCs w:val="24"/>
          <w:u w:val="none"/>
          <w:shd w:val="clear" w:color="auto" w:fill="ffffff"/>
          <w:vertAlign w:val="superscript"/>
        </w:rPr>
        <w:t xml:space="preserve">3</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10"/>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10"/>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10"/>
          <w:rFonts w:hint="eastAsia" w:ascii="宋体" w:hAnsi="宋体" w:eastAsia="宋体" w:cs="宋体"/>
          <w:i w:val="0"/>
          <w:iCs w:val="0"/>
          <w:caps w:val="0"/>
          <w:color w:val="000000"/>
          <w:spacing w:val="0"/>
          <w:sz w:val="24"/>
          <w:szCs w:val="24"/>
          <w:u w:val="none"/>
          <w:shd w:val="clear" w:color="auto" w:fill="ffffff"/>
          <w:vertAlign w:val="superscript"/>
        </w:rPr>
        <w:t xml:space="preserve">4</w:t>
      </w:r>
      <w:r>
        <w:rPr>
          <w:rFonts w:hint="eastAsia" w:ascii="宋体" w:hAnsi="宋体" w:eastAsia="宋体" w:cs="宋体"/>
          <w:i w:val="0"/>
          <w:iCs w:val="0"/>
          <w:caps w:val="0"/>
          <w:color w:val="000000"/>
          <w:spacing w:val="0"/>
          <w:sz w:val="24"/>
          <w:szCs w:val="24"/>
          <w:shd w:val="clear" w:color="auto" w:fill="ffffff"/>
        </w:rPr>
        <w:t xml:space="preserve">在中国境内生产。</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10"/>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10"/>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10"/>
          <w:rFonts w:hint="eastAsia" w:ascii="宋体" w:hAnsi="宋体" w:eastAsia="宋体" w:cs="宋体"/>
          <w:i w:val="0"/>
          <w:iCs w:val="0"/>
          <w:caps w:val="0"/>
          <w:color w:val="000000"/>
          <w:spacing w:val="0"/>
          <w:sz w:val="24"/>
          <w:szCs w:val="24"/>
          <w:u w:val="none"/>
          <w:shd w:val="clear" w:color="auto" w:fill="ffffff"/>
          <w:vertAlign w:val="superscript"/>
        </w:rPr>
        <w:t xml:space="preserve">5</w:t>
      </w:r>
      <w:r>
        <w:rPr>
          <w:rFonts w:hint="eastAsia" w:ascii="宋体" w:hAnsi="宋体" w:eastAsia="宋体" w:cs="宋体"/>
          <w:i w:val="0"/>
          <w:iCs w:val="0"/>
          <w:caps w:val="0"/>
          <w:color w:val="000000"/>
          <w:spacing w:val="0"/>
          <w:sz w:val="24"/>
          <w:szCs w:val="24"/>
          <w:shd w:val="clear" w:color="auto" w:fill="ffffff"/>
        </w:rPr>
        <w:t xml:space="preserve">在中国境内完成。</w:t>
      </w:r>
      <w:r/>
    </w:p>
    <w:p>
      <w:pPr>
        <w:pStyle w:val="959"/>
        <w:ind w:left="0" w:right="0" w:firstLine="420"/>
        <w:keepLines w:val="0"/>
        <w:keepNext w:val="0"/>
        <w:pageBreakBefore w:val="0"/>
        <w:spacing w:before="0" w:beforeAutospacing="0" w:after="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2</w:t>
      </w:r>
      <w:r>
        <w:rPr>
          <w:rFonts w:hint="eastAsia" w:ascii="宋体" w:hAnsi="宋体" w:eastAsia="宋体" w:cs="宋体"/>
          <w:i w:val="0"/>
          <w:iCs w:val="0"/>
          <w:caps w:val="0"/>
          <w:color w:val="000000"/>
          <w:spacing w:val="0"/>
          <w:sz w:val="24"/>
          <w:szCs w:val="24"/>
          <w:shd w:val="clear" w:color="auto" w:fill="ffffff"/>
        </w:rPr>
        <w:t xml:space="preserve">.</w:t>
      </w:r>
      <w:r>
        <w:rPr>
          <w:rStyle w:val="910"/>
          <w:rFonts w:hint="eastAsia" w:ascii="宋体" w:hAnsi="宋体" w:eastAsia="宋体" w:cs="宋体"/>
          <w:i w:val="0"/>
          <w:iCs w:val="0"/>
          <w:caps w:val="0"/>
          <w:color w:val="000000"/>
          <w:spacing w:val="0"/>
          <w:sz w:val="24"/>
          <w:szCs w:val="24"/>
          <w:u w:val="single"/>
          <w:shd w:val="clear" w:color="auto" w:fill="ffffff"/>
        </w:rPr>
        <w:t xml:space="preserve">（产品名称</w:t>
      </w:r>
      <w:r>
        <w:rPr>
          <w:rStyle w:val="910"/>
          <w:rFonts w:hint="eastAsia" w:ascii="宋体" w:hAnsi="宋体" w:eastAsia="宋体" w:cs="宋体"/>
          <w:i w:val="0"/>
          <w:iCs w:val="0"/>
          <w:caps w:val="0"/>
          <w:color w:val="000000"/>
          <w:spacing w:val="0"/>
          <w:sz w:val="24"/>
          <w:szCs w:val="24"/>
          <w:u w:val="single"/>
          <w:shd w:val="clear" w:color="auto" w:fill="ffffff"/>
          <w:lang w:val="en-US" w:eastAsia="zh-CN"/>
        </w:rPr>
        <w:t xml:space="preserve">2</w:t>
      </w:r>
      <w:r>
        <w:rPr>
          <w:rStyle w:val="910"/>
          <w:rFonts w:hint="eastAsia" w:ascii="宋体" w:hAnsi="宋体" w:eastAsia="宋体" w:cs="宋体"/>
          <w:i w:val="0"/>
          <w:iCs w:val="0"/>
          <w:caps w:val="0"/>
          <w:color w:val="000000"/>
          <w:spacing w:val="0"/>
          <w:sz w:val="24"/>
          <w:szCs w:val="24"/>
          <w:u w:val="single"/>
          <w:shd w:val="clear" w:color="auto" w:fill="ffffff"/>
        </w:rPr>
        <w:t xml:space="preserve">）</w:t>
      </w:r>
      <w:r>
        <w:rPr>
          <w:rFonts w:hint="eastAsia" w:ascii="宋体" w:hAnsi="宋体" w:eastAsia="宋体" w:cs="宋体"/>
          <w:i w:val="0"/>
          <w:iCs w:val="0"/>
          <w:caps w:val="0"/>
          <w:color w:val="000000"/>
          <w:spacing w:val="0"/>
          <w:sz w:val="24"/>
          <w:szCs w:val="24"/>
          <w:shd w:val="clear" w:color="auto" w:fill="ffffff"/>
        </w:rPr>
        <w:t xml:space="preserve">，生产厂为</w:t>
      </w:r>
      <w:r>
        <w:rPr>
          <w:rStyle w:val="910"/>
          <w:rFonts w:hint="eastAsia" w:ascii="宋体" w:hAnsi="宋体" w:eastAsia="宋体" w:cs="宋体"/>
          <w:i w:val="0"/>
          <w:iCs w:val="0"/>
          <w:caps w:val="0"/>
          <w:color w:val="000000"/>
          <w:spacing w:val="0"/>
          <w:sz w:val="24"/>
          <w:szCs w:val="24"/>
          <w:u w:val="single"/>
          <w:shd w:val="clear" w:color="auto" w:fill="ffffff"/>
        </w:rPr>
        <w:t xml:space="preserve">（厂名）</w:t>
      </w:r>
      <w:r>
        <w:rPr>
          <w:rFonts w:hint="eastAsia" w:ascii="宋体" w:hAnsi="宋体" w:eastAsia="宋体" w:cs="宋体"/>
          <w:i w:val="0"/>
          <w:iCs w:val="0"/>
          <w:caps w:val="0"/>
          <w:color w:val="000000"/>
          <w:spacing w:val="0"/>
          <w:sz w:val="24"/>
          <w:szCs w:val="24"/>
          <w:shd w:val="clear" w:color="auto" w:fill="ffffff"/>
        </w:rPr>
        <w:t xml:space="preserve">，厂址为</w:t>
      </w:r>
      <w:r>
        <w:rPr>
          <w:rStyle w:val="910"/>
          <w:rFonts w:hint="eastAsia" w:ascii="宋体" w:hAnsi="宋体" w:eastAsia="宋体" w:cs="宋体"/>
          <w:i w:val="0"/>
          <w:iCs w:val="0"/>
          <w:caps w:val="0"/>
          <w:color w:val="000000"/>
          <w:spacing w:val="0"/>
          <w:sz w:val="24"/>
          <w:szCs w:val="24"/>
          <w:u w:val="single"/>
          <w:shd w:val="clear" w:color="auto" w:fill="ffffff"/>
        </w:rPr>
        <w:t xml:space="preserve">（生产厂址）</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10"/>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的中国境内生产的组件成本占比≥</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10"/>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10"/>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10"/>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在中国境内生产。</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10"/>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10"/>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在中国境内完成。</w:t>
      </w:r>
      <w:r/>
    </w:p>
    <w:p>
      <w:pPr>
        <w:pStyle w:val="959"/>
        <w:ind w:left="0" w:right="0" w:firstLine="420"/>
        <w:keepLines w:val="0"/>
        <w:keepNext w:val="0"/>
        <w:pageBreakBefore w:val="0"/>
        <w:spacing w:before="0" w:beforeAutospacing="0" w:after="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w:t>
      </w:r>
      <w:r/>
    </w:p>
    <w:p>
      <w:pPr>
        <w:pStyle w:val="959"/>
        <w:ind w:left="0" w:right="0" w:firstLine="420"/>
        <w:keepLines w:val="0"/>
        <w:keepNext w:val="0"/>
        <w:pageBreakBefore w:val="0"/>
        <w:spacing w:before="0" w:beforeAutospacing="0" w:after="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本公司（单位）对上述声明内容的真实性负责。如有虚假，愿承担相应法律责任。</w:t>
      </w:r>
      <w:r/>
    </w:p>
    <w:p>
      <w:pPr>
        <w:pStyle w:val="959"/>
        <w:ind w:left="0" w:right="0" w:firstLine="0"/>
        <w:keepLines w:val="0"/>
        <w:keepNext w:val="0"/>
        <w:pageBreakBefore w:val="0"/>
        <w:spacing w:before="0" w:beforeAutospacing="0" w:after="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r>
      <w:r/>
    </w:p>
    <w:p>
      <w:pPr>
        <w:pStyle w:val="959"/>
        <w:ind w:left="0" w:right="0" w:firstLine="0"/>
        <w:jc w:val="right"/>
        <w:keepLines w:val="0"/>
        <w:keepNext w:val="0"/>
        <w:pageBreakBefore w:val="0"/>
        <w:spacing w:before="0" w:beforeAutospacing="0" w:after="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公司（单位）名称（</w:t>
      </w:r>
      <w:r>
        <w:rPr>
          <w:rFonts w:hint="eastAsia" w:ascii="宋体" w:hAnsi="宋体" w:eastAsia="宋体" w:cs="宋体"/>
          <w:i w:val="0"/>
          <w:iCs w:val="0"/>
          <w:caps w:val="0"/>
          <w:color w:val="000000"/>
          <w:spacing w:val="0"/>
          <w:sz w:val="24"/>
          <w:szCs w:val="24"/>
          <w:shd w:val="clear" w:color="auto" w:fill="ffffff"/>
          <w:lang w:eastAsia="zh-CN"/>
        </w:rPr>
        <w:t xml:space="preserve">加盖</w:t>
      </w:r>
      <w:r>
        <w:rPr>
          <w:rFonts w:hint="eastAsia" w:ascii="宋体" w:hAnsi="宋体" w:eastAsia="宋体" w:cs="宋体"/>
          <w:i w:val="0"/>
          <w:iCs w:val="0"/>
          <w:caps w:val="0"/>
          <w:color w:val="000000"/>
          <w:spacing w:val="0"/>
          <w:sz w:val="24"/>
          <w:szCs w:val="24"/>
          <w:shd w:val="clear" w:color="auto" w:fill="ffffff"/>
          <w:lang w:val="en-US" w:eastAsia="zh-CN"/>
        </w:rPr>
        <w:t xml:space="preserve">CA电子公章</w:t>
      </w:r>
      <w:r>
        <w:rPr>
          <w:rFonts w:hint="eastAsia" w:ascii="宋体" w:hAnsi="宋体" w:eastAsia="宋体" w:cs="宋体"/>
          <w:i w:val="0"/>
          <w:iCs w:val="0"/>
          <w:caps w:val="0"/>
          <w:color w:val="000000"/>
          <w:spacing w:val="0"/>
          <w:sz w:val="24"/>
          <w:szCs w:val="24"/>
          <w:shd w:val="clear" w:color="auto" w:fill="ffffff"/>
        </w:rPr>
        <w:t xml:space="preserve">）：　        </w:t>
      </w:r>
      <w:r/>
    </w:p>
    <w:p>
      <w:pPr>
        <w:pStyle w:val="959"/>
        <w:ind w:left="0" w:right="0" w:firstLine="0"/>
        <w:jc w:val="center"/>
        <w:keepLines w:val="0"/>
        <w:keepNext w:val="0"/>
        <w:pageBreakBefore w:val="0"/>
        <w:spacing w:before="0" w:beforeAutospacing="0" w:after="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日期：</w:t>
      </w:r>
      <w:r>
        <w:rPr>
          <w:rFonts w:hint="eastAsia" w:ascii="宋体" w:hAnsi="宋体"/>
          <w:color w:val="000000"/>
          <w:sz w:val="24"/>
          <w:szCs w:val="21"/>
        </w:rPr>
        <w:t xml:space="preserve">___年____月____日</w:t>
      </w:r>
      <w:r>
        <w:rPr>
          <w:rFonts w:hint="eastAsia" w:ascii="宋体" w:hAnsi="宋体" w:eastAsia="宋体" w:cs="宋体"/>
          <w:i w:val="0"/>
          <w:iCs w:val="0"/>
          <w:caps w:val="0"/>
          <w:color w:val="000000"/>
          <w:spacing w:val="0"/>
          <w:sz w:val="24"/>
          <w:szCs w:val="24"/>
          <w:shd w:val="clear" w:color="auto" w:fill="ffffff"/>
        </w:rPr>
        <w:t xml:space="preserve">        </w:t>
      </w:r>
      <w:r/>
    </w:p>
    <w:p>
      <w:pPr>
        <w:pStyle w:val="959"/>
        <w:ind w:left="0" w:right="0" w:firstLine="0"/>
        <w:jc w:val="left"/>
        <w:keepLines w:val="0"/>
        <w:keepNext w:val="0"/>
        <w:pageBreakBefore w:val="0"/>
        <w:spacing w:before="0" w:beforeAutospacing="0" w:after="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__________________</w:t>
      </w:r>
      <w:r/>
    </w:p>
    <w:p>
      <w:pPr>
        <w:pStyle w:val="959"/>
        <w:ind w:right="0"/>
        <w:keepLines w:val="0"/>
        <w:keepNext w:val="0"/>
        <w:pageBreakBefore w:val="0"/>
        <w:spacing w:before="0" w:beforeAutospacing="0" w:after="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1.产品如有型号，请在“产品名称”栏一并填写。</w:t>
      </w:r>
      <w:r/>
    </w:p>
    <w:p>
      <w:pPr>
        <w:pStyle w:val="959"/>
        <w:ind w:right="0"/>
        <w:keepLines w:val="0"/>
        <w:keepNext w:val="0"/>
        <w:pageBreakBefore w:val="0"/>
        <w:spacing w:before="0" w:beforeAutospacing="0" w:after="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2.生产厂名与厂址应与生产厂营业执照载明的相关信息保持一致。</w:t>
      </w:r>
      <w:r/>
    </w:p>
    <w:p>
      <w:pPr>
        <w:pStyle w:val="959"/>
        <w:ind w:right="0"/>
        <w:keepLines w:val="0"/>
        <w:keepNext w:val="0"/>
        <w:pageBreakBefore w:val="0"/>
        <w:spacing w:before="0" w:beforeAutospacing="0" w:after="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3.该产品的中国境内生产的组件成本占比相关要求实施前，“规定比例”栏可不填，下同。</w:t>
      </w:r>
      <w:r/>
    </w:p>
    <w:p>
      <w:pPr>
        <w:pStyle w:val="959"/>
        <w:ind w:right="0"/>
        <w:keepLines w:val="0"/>
        <w:keepNext w:val="0"/>
        <w:pageBreakBefore w:val="0"/>
        <w:spacing w:before="0" w:beforeAutospacing="0" w:after="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4.该产品的关键组件要求实施前，“关键组件”栏可不填，下同。</w:t>
      </w:r>
      <w:r/>
    </w:p>
    <w:p>
      <w:pPr>
        <w:pStyle w:val="959"/>
        <w:ind w:right="0"/>
        <w:keepLines w:val="0"/>
        <w:keepNext w:val="0"/>
        <w:pageBreakBefore w:val="0"/>
        <w:spacing w:before="0" w:beforeAutospacing="0" w:after="0" w:afterAutospacing="0" w:line="0" w:lineRule="atLeast"/>
        <w:shd w:val="clear" w:color="auto" w:fill="auto"/>
        <w:widowControl/>
        <w:rPr>
          <w:rFonts w:hint="eastAsia" w:ascii="宋体" w:hAnsi="宋体" w:eastAsia="宋体" w:cs="宋体"/>
          <w:i w:val="0"/>
          <w:iCs w:val="0"/>
          <w:caps w:val="0"/>
          <w:color w:val="000000"/>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5.该产品的关键工序要求实施前，“关键工序”栏可不填，下同。</w:t>
      </w:r>
      <w:r/>
    </w:p>
    <w:p>
      <w:pPr>
        <w:pStyle w:val="959"/>
        <w:ind w:right="0"/>
        <w:keepLines w:val="0"/>
        <w:keepNext w:val="0"/>
        <w:pageBreakBefore w:val="0"/>
        <w:spacing w:before="0" w:beforeAutospacing="0" w:after="0" w:afterAutospacing="0" w:line="0" w:lineRule="atLeast"/>
        <w:shd w:val="clear" w:color="auto" w:fill="auto"/>
        <w:widowControl/>
        <w:rPr>
          <w:rFonts w:hint="eastAsia" w:ascii="宋体" w:hAnsi="宋体" w:eastAsia="宋体" w:cs="宋体"/>
          <w:i w:val="0"/>
          <w:iCs w:val="0"/>
          <w:caps w:val="0"/>
          <w:color w:val="000000"/>
          <w:spacing w:val="0"/>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6.《声明函》中标注“</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10"/>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lang w:val="en-US" w:eastAsia="zh-CN"/>
        </w:rPr>
        <w:t xml:space="preserve">”的地方无需填写。</w:t>
      </w:r>
      <w:r/>
    </w:p>
    <w:p>
      <w:pPr>
        <w:pageBreakBefore w:val="0"/>
        <w:spacing w:beforeAutospacing="0" w:afterAutospacing="0"/>
        <w:rPr>
          <w:rFonts w:hint="eastAsia" w:ascii="Times New Roman" w:hAnsi="Times New Roman" w:eastAsia="宋体" w:cs="Times New Roman"/>
          <w:highlight w:val="cyan"/>
          <w:lang w:val="en-US" w:eastAsia="zh-CN"/>
        </w:rPr>
        <w:outlineLvl w:val="1"/>
      </w:pPr>
      <w:r>
        <w:rPr>
          <w:rFonts w:hint="eastAsia" w:ascii="宋体" w:hAnsi="宋体" w:eastAsia="宋体" w:cs="宋体"/>
          <w:i w:val="0"/>
          <w:iCs w:val="0"/>
          <w:caps w:val="0"/>
          <w:color w:val="000000"/>
          <w:spacing w:val="0"/>
          <w:sz w:val="24"/>
          <w:szCs w:val="24"/>
          <w:shd w:val="clear" w:color="auto" w:fill="ffffff"/>
          <w:lang w:val="en-US" w:eastAsia="zh-CN"/>
        </w:rPr>
        <w:br w:type="page" w:clear="all"/>
      </w:r>
      <w:r>
        <w:rPr>
          <w:rFonts w:ascii="Times New Roman" w:hAnsi="Times New Roman" w:cs="Times New Roman"/>
          <w:b/>
          <w:bCs/>
          <w:highlight w:val="cyan"/>
        </w:rPr>
        <w:t xml:space="preserve">附件十</w:t>
      </w:r>
      <w:r>
        <w:rPr>
          <w:rFonts w:ascii="Times New Roman" w:hAnsi="Times New Roman" w:cs="Times New Roman"/>
          <w:b/>
          <w:bCs/>
          <w:highlight w:val="cyan"/>
          <w:lang w:val="en-US" w:eastAsia="zh-CN"/>
        </w:rPr>
        <w:t xml:space="preserve">四</w:t>
      </w:r>
      <w:r>
        <w:rPr>
          <w:rFonts w:ascii="Times New Roman" w:hAnsi="Times New Roman" w:cs="Times New Roman"/>
          <w:b/>
          <w:bCs/>
          <w:highlight w:val="cyan"/>
        </w:rPr>
        <w:t xml:space="preserve">、投标人参加本次政府采购活动前3年内无涉及行贿等重大违法案件</w:t>
      </w:r>
      <w:r>
        <w:rPr>
          <w:rFonts w:hint="eastAsia" w:ascii="Times New Roman" w:hAnsi="Times New Roman" w:cs="Times New Roman"/>
          <w:b/>
          <w:bCs/>
          <w:highlight w:val="cyan"/>
          <w:lang w:val="en-US" w:eastAsia="zh-CN"/>
        </w:rPr>
        <w:t xml:space="preserve">声明</w:t>
      </w:r>
      <w:r/>
    </w:p>
    <w:p>
      <w:pPr>
        <w:pageBreakBefore w:val="0"/>
        <w:spacing w:beforeAutospacing="0" w:afterAutospacing="0"/>
        <w:rPr>
          <w:rFonts w:ascii="Times New Roman" w:hAnsi="Times New Roman" w:cs="Times New Roman"/>
          <w:b/>
          <w:bCs/>
          <w:highlight w:val="cyan"/>
        </w:rPr>
      </w:pPr>
      <w:r>
        <w:rPr>
          <w:rFonts w:ascii="Times New Roman" w:hAnsi="Times New Roman" w:cs="Times New Roman"/>
          <w:b/>
          <w:bCs/>
          <w:highlight w:val="cyan"/>
        </w:rPr>
      </w:r>
      <w:r/>
    </w:p>
    <w:p>
      <w:pPr>
        <w:jc w:val="center"/>
        <w:pageBreakBefore w:val="0"/>
        <w:spacing w:beforeAutospacing="0" w:afterAutospacing="0"/>
        <w:rPr>
          <w:rFonts w:ascii="Times New Roman" w:hAnsi="Times New Roman" w:cs="Times New Roman"/>
          <w:sz w:val="36"/>
          <w:szCs w:val="36"/>
          <w:highlight w:val="cyan"/>
        </w:rPr>
      </w:pPr>
      <w:r>
        <w:rPr>
          <w:rFonts w:ascii="Times New Roman" w:hAnsi="Times New Roman" w:cs="Times New Roman"/>
          <w:sz w:val="36"/>
          <w:szCs w:val="36"/>
          <w:highlight w:val="cyan"/>
        </w:rPr>
        <w:t xml:space="preserve">无涉及行贿等重大违法案件声明格式</w:t>
      </w:r>
      <w:r/>
    </w:p>
    <w:p>
      <w:pPr>
        <w:pStyle w:val="959"/>
        <w:pageBreakBefore w:val="0"/>
        <w:spacing w:before="0" w:beforeAutospacing="0" w:after="0" w:afterAutospacing="0" w:line="0" w:lineRule="atLeast"/>
        <w:shd w:val="clear" w:color="auto" w:fill="auto"/>
        <w:widowControl/>
        <w:rPr>
          <w:rFonts w:hint="eastAsia" w:ascii="宋体" w:hAnsi="宋体" w:eastAsia="宋体" w:cs="宋体"/>
          <w:color w:val="000000"/>
          <w:highlight w:val="none"/>
          <w:shd w:val="clear" w:color="auto" w:fill="ffffff"/>
        </w:rPr>
        <w:pBdr>
          <w:top w:val="none" w:color="000000" w:sz="0" w:space="0"/>
          <w:left w:val="none" w:color="000000" w:sz="0" w:space="0"/>
          <w:bottom w:val="none" w:color="000000" w:sz="0" w:space="0"/>
          <w:right w:val="none" w:color="000000" w:sz="0" w:space="0"/>
        </w:pBdr>
      </w:pPr>
      <w:r>
        <w:rPr>
          <w:rFonts w:ascii="Times New Roman" w:hAnsi="Times New Roman" w:cs="Times New Roman"/>
          <w:highlight w:val="cyan"/>
        </w:rPr>
        <w:t xml:space="preserve">   </w:t>
      </w:r>
      <w:r>
        <w:rPr>
          <w:rFonts w:hint="eastAsia" w:ascii="宋体" w:hAnsi="宋体" w:eastAsia="宋体" w:cs="宋体"/>
          <w:color w:val="000000"/>
          <w:highlight w:val="none"/>
          <w:shd w:val="clear" w:color="auto" w:fill="ffffff"/>
        </w:rPr>
        <w:t xml:space="preserve">：</w:t>
      </w:r>
      <w:r/>
    </w:p>
    <w:p>
      <w:pPr>
        <w:pStyle w:val="959"/>
        <w:pageBreakBefore w:val="0"/>
        <w:spacing w:before="0" w:beforeAutospacing="0" w:after="0" w:afterAutospacing="0" w:line="0" w:lineRule="atLeast"/>
        <w:shd w:val="clear" w:color="auto" w:fill="auto"/>
        <w:widowControl/>
        <w:rPr>
          <w:rFonts w:hint="eastAsia" w:ascii="宋体" w:hAnsi="宋体" w:eastAsia="宋体" w:cs="宋体"/>
          <w:color w:val="000000"/>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shd w:val="clear" w:color="auto" w:fill="ffffff"/>
        </w:rPr>
        <w:t xml:space="preserve">我单位（供应商名称）郑重声明：</w:t>
      </w:r>
      <w:r/>
    </w:p>
    <w:p>
      <w:pPr>
        <w:pStyle w:val="959"/>
        <w:pageBreakBefore w:val="0"/>
        <w:spacing w:before="0" w:beforeAutospacing="0" w:after="0" w:afterAutospacing="0" w:line="0" w:lineRule="atLeast"/>
        <w:shd w:val="clear" w:color="auto" w:fill="auto"/>
        <w:widowControl/>
        <w:rPr>
          <w:rFonts w:hint="eastAsia" w:ascii="宋体" w:hAnsi="宋体" w:eastAsia="宋体" w:cs="宋体"/>
          <w:color w:val="000000"/>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shd w:val="clear" w:color="auto" w:fill="ffffff"/>
        </w:rPr>
        <w:t xml:space="preserve">参加本次政府采购活动前3年内</w:t>
      </w:r>
      <w:r>
        <w:rPr>
          <w:rFonts w:hint="eastAsia" w:ascii="宋体" w:hAnsi="宋体" w:eastAsia="宋体" w:cs="宋体"/>
          <w:color w:val="000000"/>
          <w:highlight w:val="none"/>
          <w:u w:val="none"/>
          <w:shd w:val="clear" w:color="auto" w:fill="ffffff"/>
          <w:lang w:val="en-US" w:eastAsia="zh-CN"/>
        </w:rPr>
        <w:t xml:space="preserve">           </w:t>
      </w:r>
      <w:r>
        <w:rPr>
          <w:rFonts w:hint="eastAsia" w:ascii="宋体" w:hAnsi="宋体" w:eastAsia="宋体" w:cs="宋体"/>
          <w:color w:val="000000"/>
          <w:highlight w:val="none"/>
          <w:shd w:val="clear" w:color="auto" w:fill="ffffff"/>
        </w:rPr>
        <w:t xml:space="preserve">（在下划线上如实填写：有或没有）涉及行贿等重大违法案件。</w:t>
      </w:r>
      <w:r/>
    </w:p>
    <w:p>
      <w:pPr>
        <w:pageBreakBefore w:val="0"/>
        <w:spacing w:beforeAutospacing="0" w:afterAutospacing="0"/>
        <w:rPr>
          <w:rFonts w:ascii="Times New Roman" w:hAnsi="Times New Roman" w:cs="Times New Roman"/>
          <w:highlight w:val="cyan"/>
        </w:rPr>
      </w:pPr>
      <w:r>
        <w:rPr>
          <w:rFonts w:ascii="Times New Roman" w:hAnsi="Times New Roman" w:cs="Times New Roman"/>
          <w:highlight w:val="cyan"/>
        </w:rPr>
      </w:r>
      <w:r/>
    </w:p>
    <w:p>
      <w:pPr>
        <w:pageBreakBefore w:val="0"/>
        <w:spacing w:beforeAutospacing="0" w:afterAutospacing="0"/>
        <w:rPr>
          <w:rFonts w:ascii="Times New Roman" w:hAnsi="Times New Roman" w:cs="Times New Roman"/>
          <w:highlight w:val="cyan"/>
        </w:rPr>
      </w:pPr>
      <w:r>
        <w:rPr>
          <w:rFonts w:ascii="Times New Roman" w:hAnsi="Times New Roman" w:cs="Times New Roman"/>
          <w:highlight w:val="cyan"/>
        </w:rPr>
      </w:r>
      <w:r/>
    </w:p>
    <w:p>
      <w:pPr>
        <w:pStyle w:val="959"/>
        <w:ind w:left="0" w:right="0" w:firstLine="0"/>
        <w:jc w:val="right"/>
        <w:keepLines w:val="0"/>
        <w:keepNext w:val="0"/>
        <w:pageBreakBefore w:val="0"/>
        <w:spacing w:before="0" w:beforeAutospacing="0" w:after="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公司（单位）名称（</w:t>
      </w:r>
      <w:r>
        <w:rPr>
          <w:rFonts w:hint="eastAsia" w:ascii="宋体" w:hAnsi="宋体" w:eastAsia="宋体" w:cs="宋体"/>
          <w:i w:val="0"/>
          <w:iCs w:val="0"/>
          <w:caps w:val="0"/>
          <w:color w:val="000000"/>
          <w:spacing w:val="0"/>
          <w:sz w:val="24"/>
          <w:szCs w:val="24"/>
          <w:shd w:val="clear" w:color="auto" w:fill="ffffff"/>
          <w:lang w:eastAsia="zh-CN"/>
        </w:rPr>
        <w:t xml:space="preserve">加盖</w:t>
      </w:r>
      <w:r>
        <w:rPr>
          <w:rFonts w:hint="eastAsia" w:ascii="宋体" w:hAnsi="宋体" w:eastAsia="宋体" w:cs="宋体"/>
          <w:i w:val="0"/>
          <w:iCs w:val="0"/>
          <w:caps w:val="0"/>
          <w:color w:val="000000"/>
          <w:spacing w:val="0"/>
          <w:sz w:val="24"/>
          <w:szCs w:val="24"/>
          <w:shd w:val="clear" w:color="auto" w:fill="ffffff"/>
          <w:lang w:val="en-US" w:eastAsia="zh-CN"/>
        </w:rPr>
        <w:t xml:space="preserve">CA电子公章</w:t>
      </w:r>
      <w:r>
        <w:rPr>
          <w:rFonts w:hint="eastAsia" w:ascii="宋体" w:hAnsi="宋体" w:eastAsia="宋体" w:cs="宋体"/>
          <w:i w:val="0"/>
          <w:iCs w:val="0"/>
          <w:caps w:val="0"/>
          <w:color w:val="000000"/>
          <w:spacing w:val="0"/>
          <w:sz w:val="24"/>
          <w:szCs w:val="24"/>
          <w:shd w:val="clear" w:color="auto" w:fill="ffffff"/>
        </w:rPr>
        <w:t xml:space="preserve">）：　        </w:t>
      </w:r>
      <w:r/>
    </w:p>
    <w:p>
      <w:pPr>
        <w:pStyle w:val="959"/>
        <w:ind w:left="0" w:right="0" w:firstLine="0"/>
        <w:jc w:val="center"/>
        <w:keepLines w:val="0"/>
        <w:keepNext w:val="0"/>
        <w:pageBreakBefore w:val="0"/>
        <w:spacing w:before="0" w:beforeAutospacing="0" w:after="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日期：</w:t>
      </w:r>
      <w:r>
        <w:rPr>
          <w:rFonts w:hint="eastAsia" w:ascii="宋体" w:hAnsi="宋体"/>
          <w:color w:val="000000"/>
          <w:sz w:val="24"/>
          <w:szCs w:val="21"/>
        </w:rPr>
        <w:t xml:space="preserve">___年____月____日</w:t>
      </w:r>
      <w:r>
        <w:rPr>
          <w:rFonts w:hint="eastAsia" w:ascii="宋体" w:hAnsi="宋体" w:eastAsia="宋体" w:cs="宋体"/>
          <w:i w:val="0"/>
          <w:iCs w:val="0"/>
          <w:caps w:val="0"/>
          <w:color w:val="000000"/>
          <w:spacing w:val="0"/>
          <w:sz w:val="24"/>
          <w:szCs w:val="24"/>
          <w:shd w:val="clear" w:color="auto" w:fill="ffffff"/>
        </w:rPr>
        <w:t xml:space="preserve">        </w:t>
      </w:r>
      <w:r/>
    </w:p>
    <w:p>
      <w:pPr>
        <w:pStyle w:val="959"/>
        <w:ind w:right="0"/>
        <w:keepLines w:val="0"/>
        <w:keepNext w:val="0"/>
        <w:pageBreakBefore w:val="0"/>
        <w:spacing w:before="0" w:beforeAutospacing="0" w:after="0" w:afterAutospacing="0" w:line="0" w:lineRule="atLeast"/>
        <w:shd w:val="clear" w:color="auto" w:fill="auto"/>
        <w:widowControl/>
        <w:rPr>
          <w:rFonts w:hint="eastAsia" w:ascii="宋体" w:hAnsi="宋体" w:eastAsia="宋体" w:cs="宋体"/>
          <w:i w:val="0"/>
          <w:iCs w:val="0"/>
          <w:caps w:val="0"/>
          <w:color w:val="000000"/>
          <w:spacing w:val="0"/>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r>
      <w:r/>
    </w:p>
    <w:p>
      <w:pPr>
        <w:jc w:val="center"/>
        <w:pageBreakBefore w:val="0"/>
        <w:spacing w:beforeAutospacing="0" w:afterAutospacing="0"/>
        <w:rPr>
          <w:rFonts w:ascii="黑体" w:hAnsi="黑体" w:eastAsia="黑体"/>
          <w:b/>
          <w:color w:val="000000"/>
          <w:sz w:val="32"/>
          <w:szCs w:val="32"/>
        </w:rPr>
      </w:pPr>
      <w:r>
        <w:rPr>
          <w:rFonts w:ascii="黑体" w:hAnsi="黑体" w:eastAsia="黑体"/>
          <w:b/>
          <w:color w:val="000000"/>
          <w:sz w:val="32"/>
          <w:szCs w:val="32"/>
        </w:rPr>
      </w:r>
      <w:r/>
    </w:p>
    <w:p>
      <w:pPr>
        <w:jc w:val="center"/>
        <w:pageBreakBefore w:val="0"/>
        <w:spacing w:beforeAutospacing="0" w:afterAutospacing="0"/>
        <w:rPr>
          <w:rFonts w:ascii="黑体" w:hAnsi="黑体" w:eastAsia="黑体"/>
          <w:b/>
          <w:color w:val="000000"/>
          <w:sz w:val="32"/>
          <w:szCs w:val="32"/>
        </w:rPr>
      </w:pPr>
      <w:r>
        <w:rPr>
          <w:rFonts w:ascii="黑体" w:hAnsi="黑体" w:eastAsia="黑体"/>
          <w:b/>
          <w:color w:val="000000"/>
          <w:sz w:val="32"/>
          <w:szCs w:val="32"/>
        </w:rPr>
      </w:r>
      <w:r/>
    </w:p>
    <w:p>
      <w:pPr>
        <w:jc w:val="center"/>
        <w:pageBreakBefore w:val="0"/>
        <w:spacing w:beforeAutospacing="0" w:afterAutospacing="0"/>
        <w:rPr>
          <w:rFonts w:ascii="黑体" w:hAnsi="黑体" w:eastAsia="黑体"/>
          <w:b/>
          <w:color w:val="000000"/>
          <w:sz w:val="32"/>
          <w:szCs w:val="32"/>
        </w:rPr>
      </w:pPr>
      <w:r>
        <w:rPr>
          <w:rFonts w:ascii="黑体" w:hAnsi="黑体" w:eastAsia="黑体"/>
          <w:b/>
          <w:color w:val="000000"/>
          <w:sz w:val="32"/>
          <w:szCs w:val="32"/>
        </w:rPr>
      </w:r>
      <w:r/>
    </w:p>
    <w:p>
      <w:pPr>
        <w:jc w:val="center"/>
        <w:pageBreakBefore w:val="0"/>
        <w:spacing w:beforeAutospacing="0" w:afterAutospacing="0"/>
        <w:rPr>
          <w:rFonts w:ascii="黑体" w:hAnsi="黑体" w:eastAsia="黑体"/>
          <w:b/>
          <w:color w:val="000000"/>
          <w:sz w:val="32"/>
          <w:szCs w:val="32"/>
        </w:rPr>
      </w:pPr>
      <w:r>
        <w:rPr>
          <w:rFonts w:ascii="黑体" w:hAnsi="黑体" w:eastAsia="黑体"/>
          <w:b/>
          <w:color w:val="000000"/>
          <w:sz w:val="32"/>
          <w:szCs w:val="32"/>
        </w:rPr>
      </w:r>
      <w:bookmarkEnd w:id="175"/>
      <w:r/>
      <w:r/>
    </w:p>
    <w:p>
      <w:pPr>
        <w:jc w:val="center"/>
        <w:pageBreakBefore w:val="0"/>
        <w:spacing w:beforeAutospacing="0" w:afterAutospacing="0"/>
        <w:rPr>
          <w:rFonts w:hint="eastAsia" w:ascii="黑体" w:hAnsi="黑体" w:eastAsia="黑体"/>
          <w:b/>
          <w:color w:val="000000"/>
          <w:sz w:val="32"/>
          <w:szCs w:val="32"/>
        </w:rPr>
      </w:pPr>
      <w:r>
        <w:rPr>
          <w:rFonts w:hint="eastAsia" w:ascii="黑体" w:hAnsi="黑体" w:eastAsia="黑体"/>
          <w:b/>
          <w:color w:val="000000"/>
          <w:sz w:val="32"/>
          <w:szCs w:val="32"/>
        </w:rPr>
      </w:r>
      <w:r/>
    </w:p>
    <w:p>
      <w:pPr>
        <w:pageBreakBefore w:val="0"/>
        <w:spacing w:beforeAutospacing="0" w:afterAutospacing="0"/>
        <w:rPr>
          <w:rFonts w:hint="eastAsia" w:ascii="宋体" w:hAnsi="宋体" w:cs="仿宋"/>
          <w:b/>
          <w:bCs/>
          <w:color w:val="000000"/>
          <w:sz w:val="32"/>
          <w:szCs w:val="32"/>
        </w:rPr>
      </w:pPr>
      <w:r>
        <w:rPr>
          <w:rFonts w:hint="eastAsia" w:ascii="宋体" w:hAnsi="宋体" w:cs="仿宋"/>
          <w:b/>
          <w:bCs/>
          <w:color w:val="000000"/>
          <w:sz w:val="32"/>
          <w:szCs w:val="32"/>
        </w:rPr>
      </w:r>
      <w:r/>
    </w:p>
    <w:p>
      <w:pPr>
        <w:pageBreakBefore w:val="0"/>
        <w:spacing w:beforeAutospacing="0" w:afterAutospacing="0"/>
        <w:rPr>
          <w:rFonts w:hint="eastAsia" w:ascii="宋体" w:hAnsi="宋体" w:cs="仿宋"/>
          <w:b/>
          <w:bCs/>
          <w:color w:val="000000"/>
          <w:sz w:val="32"/>
          <w:szCs w:val="32"/>
        </w:rPr>
      </w:pPr>
      <w:r>
        <w:rPr>
          <w:rFonts w:hint="eastAsia" w:ascii="宋体" w:hAnsi="宋体" w:cs="仿宋"/>
          <w:b/>
          <w:bCs/>
          <w:color w:val="000000"/>
          <w:sz w:val="32"/>
          <w:szCs w:val="32"/>
        </w:rPr>
      </w:r>
      <w:r/>
    </w:p>
    <w:p>
      <w:pPr>
        <w:pageBreakBefore w:val="0"/>
        <w:spacing w:beforeAutospacing="0" w:afterAutospacing="0"/>
        <w:rPr>
          <w:rFonts w:hint="eastAsia" w:ascii="宋体" w:hAnsi="宋体" w:cs="仿宋"/>
          <w:b/>
          <w:bCs/>
          <w:color w:val="000000"/>
          <w:sz w:val="32"/>
          <w:szCs w:val="32"/>
        </w:rPr>
      </w:pPr>
      <w:r>
        <w:rPr>
          <w:rFonts w:hint="eastAsia" w:ascii="宋体" w:hAnsi="宋体" w:cs="仿宋"/>
          <w:b/>
          <w:bCs/>
          <w:color w:val="000000"/>
          <w:sz w:val="32"/>
          <w:szCs w:val="32"/>
        </w:rPr>
      </w:r>
      <w:r/>
    </w:p>
    <w:p>
      <w:pPr>
        <w:pageBreakBefore w:val="0"/>
        <w:spacing w:beforeAutospacing="0" w:afterAutospacing="0"/>
        <w:rPr>
          <w:rFonts w:hint="eastAsia" w:ascii="宋体" w:hAnsi="宋体" w:cs="仿宋"/>
          <w:b/>
          <w:bCs/>
          <w:color w:val="000000"/>
          <w:sz w:val="32"/>
          <w:szCs w:val="32"/>
        </w:rPr>
      </w:pPr>
      <w:r>
        <w:rPr>
          <w:rFonts w:hint="eastAsia" w:ascii="宋体" w:hAnsi="宋体" w:cs="仿宋"/>
          <w:b/>
          <w:bCs/>
          <w:color w:val="000000"/>
          <w:sz w:val="32"/>
          <w:szCs w:val="32"/>
        </w:rPr>
      </w:r>
      <w:r/>
    </w:p>
    <w:p>
      <w:pPr>
        <w:jc w:val="center"/>
        <w:pageBreakBefore w:val="0"/>
        <w:spacing w:beforeAutospacing="0" w:afterAutospacing="0"/>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pageBreakBefore w:val="0"/>
        <w:spacing w:beforeAutospacing="0" w:afterAutospacing="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pageBreakBefore w:val="0"/>
        <w:spacing w:beforeAutospacing="0" w:afterAutospacing="0"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pageBreakBefore w:val="0"/>
        <w:spacing w:beforeAutospacing="0" w:afterAutospacing="0"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pageBreakBefore w:val="0"/>
        <w:spacing w:beforeAutospacing="0" w:afterAutospacing="0"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pageBreakBefore w:val="0"/>
        <w:spacing w:beforeAutospacing="0" w:afterAutospacing="0"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pageBreakBefore w:val="0"/>
        <w:spacing w:beforeAutospacing="0" w:afterAutospacing="0"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pageBreakBefore w:val="0"/>
        <w:spacing w:beforeAutospacing="0" w:afterAutospacing="0"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pageBreakBefore w:val="0"/>
        <w:spacing w:beforeAutospacing="0" w:afterAutospacing="0"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pageBreakBefore w:val="0"/>
        <w:spacing w:beforeAutospacing="0" w:afterAutospacing="0"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pageBreakBefore w:val="0"/>
        <w:spacing w:beforeAutospacing="0" w:afterAutospacing="0"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pageBreakBefore w:val="0"/>
        <w:spacing w:beforeAutospacing="0" w:afterAutospacing="0"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pageBreakBefore w:val="0"/>
        <w:spacing w:beforeAutospacing="0" w:afterAutospacing="0"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pageBreakBefore w:val="0"/>
        <w:spacing w:beforeAutospacing="0" w:afterAutospacing="0"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pageBreakBefore w:val="0"/>
        <w:spacing w:beforeAutospacing="0" w:afterAutospacing="0"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pageBreakBefore w:val="0"/>
        <w:spacing w:beforeAutospacing="0" w:afterAutospacing="0"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pageBreakBefore w:val="0"/>
        <w:spacing w:beforeAutospacing="0" w:afterAutospacing="0"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pageBreakBefore w:val="0"/>
        <w:spacing w:beforeAutospacing="0" w:afterAutospacing="0"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pageBreakBefore w:val="0"/>
        <w:spacing w:beforeAutospacing="0" w:afterAutospacing="0"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pageBreakBefore w:val="0"/>
        <w:spacing w:beforeAutospacing="0" w:afterAutospacing="0"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pageBreakBefore w:val="0"/>
        <w:spacing w:beforeAutospacing="0" w:afterAutospacing="0" w:line="360" w:lineRule="auto"/>
        <w:rPr>
          <w:rFonts w:ascii="宋体" w:hAnsi="宋体" w:cs="仿宋"/>
          <w:color w:val="000000"/>
          <w:sz w:val="24"/>
          <w:szCs w:val="24"/>
        </w:rPr>
      </w:pPr>
      <w:r>
        <w:rPr>
          <w:rFonts w:hint="eastAsia" w:ascii="宋体" w:hAnsi="宋体" w:cs="仿宋"/>
          <w:color w:val="000000"/>
          <w:sz w:val="24"/>
          <w:szCs w:val="24"/>
        </w:rPr>
        <w:t xml:space="preserve">……</w:t>
      </w:r>
      <w:r/>
    </w:p>
    <w:p>
      <w:pPr>
        <w:pageBreakBefore w:val="0"/>
        <w:spacing w:beforeAutospacing="0" w:afterAutospacing="0"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pageBreakBefore w:val="0"/>
        <w:spacing w:beforeAutospacing="0" w:afterAutospacing="0"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pageBreakBefore w:val="0"/>
        <w:spacing w:beforeAutospacing="0" w:afterAutospacing="0"/>
        <w:rPr>
          <w:rFonts w:ascii="宋体" w:hAnsi="宋体"/>
          <w:color w:val="000000"/>
          <w:sz w:val="24"/>
          <w:szCs w:val="24"/>
        </w:rPr>
      </w:pPr>
      <w:r>
        <w:rPr>
          <w:rFonts w:hint="eastAsia" w:ascii="宋体" w:hAnsi="宋体"/>
          <w:color w:val="000000"/>
          <w:sz w:val="24"/>
          <w:szCs w:val="24"/>
        </w:rPr>
        <w:t xml:space="preserve">签字(签章)：                   公章：                      </w:t>
      </w:r>
      <w:r/>
    </w:p>
    <w:p>
      <w:pPr>
        <w:pageBreakBefore w:val="0"/>
        <w:spacing w:beforeAutospacing="0" w:afterAutospacing="0"/>
        <w:rPr>
          <w:rFonts w:ascii="宋体" w:hAnsi="宋体"/>
          <w:color w:val="000000"/>
          <w:sz w:val="24"/>
          <w:szCs w:val="24"/>
        </w:rPr>
      </w:pPr>
      <w:r>
        <w:rPr>
          <w:rFonts w:hint="eastAsia" w:ascii="宋体" w:hAnsi="宋体"/>
          <w:color w:val="000000"/>
          <w:sz w:val="24"/>
          <w:szCs w:val="24"/>
        </w:rPr>
        <w:t xml:space="preserve">日期：    </w:t>
      </w:r>
      <w:r/>
    </w:p>
    <w:p>
      <w:pPr>
        <w:pageBreakBefore w:val="0"/>
        <w:spacing w:beforeAutospacing="0" w:afterAutospacing="0"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pageBreakBefore w:val="0"/>
        <w:spacing w:beforeAutospacing="0" w:afterAutospacing="0"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pageBreakBefore w:val="0"/>
        <w:spacing w:beforeAutospacing="0" w:afterAutospacing="0"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pageBreakBefore w:val="0"/>
        <w:spacing w:beforeAutospacing="0" w:afterAutospacing="0"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pageBreakBefore w:val="0"/>
        <w:spacing w:beforeAutospacing="0" w:afterAutospacing="0"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pageBreakBefore w:val="0"/>
        <w:spacing w:beforeAutospacing="0" w:afterAutospacing="0"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pageBreakBefore w:val="0"/>
        <w:spacing w:beforeAutospacing="0" w:afterAutospacing="0"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80"/>
        <w:jc w:val="left"/>
        <w:pageBreakBefore w:val="0"/>
        <w:spacing w:beforeAutospacing="0" w:afterAutospacing="0" w:line="400" w:lineRule="exact"/>
        <w:widowControl/>
        <w:rPr>
          <w:rFonts w:ascii="宋体" w:hAnsi="宋体"/>
          <w:color w:val="000000"/>
          <w:sz w:val="24"/>
          <w:szCs w:val="24"/>
        </w:rPr>
      </w:pPr>
      <w:r>
        <w:rPr>
          <w:rFonts w:ascii="宋体" w:hAnsi="宋体"/>
          <w:color w:val="000000"/>
          <w:sz w:val="24"/>
          <w:szCs w:val="24"/>
        </w:rPr>
      </w:r>
      <w:r/>
    </w:p>
    <w:p>
      <w:pPr>
        <w:ind w:firstLine="480"/>
        <w:jc w:val="left"/>
        <w:pageBreakBefore w:val="0"/>
        <w:spacing w:beforeAutospacing="0" w:afterAutospacing="0" w:line="400" w:lineRule="exact"/>
        <w:widowControl/>
        <w:rPr>
          <w:rFonts w:ascii="宋体" w:hAnsi="宋体"/>
          <w:color w:val="000000"/>
          <w:sz w:val="24"/>
          <w:szCs w:val="24"/>
        </w:rPr>
      </w:pPr>
      <w:r>
        <w:rPr>
          <w:rFonts w:ascii="宋体" w:hAnsi="宋体"/>
          <w:color w:val="000000"/>
          <w:sz w:val="24"/>
          <w:szCs w:val="24"/>
        </w:rPr>
      </w:r>
      <w:r/>
    </w:p>
    <w:p>
      <w:pPr>
        <w:ind w:firstLine="480"/>
        <w:jc w:val="left"/>
        <w:pageBreakBefore w:val="0"/>
        <w:spacing w:beforeAutospacing="0" w:afterAutospacing="0" w:line="400" w:lineRule="exact"/>
        <w:widowControl/>
        <w:rPr>
          <w:rFonts w:ascii="宋体" w:hAnsi="宋体"/>
          <w:color w:val="000000"/>
          <w:sz w:val="24"/>
          <w:szCs w:val="24"/>
        </w:rPr>
      </w:pPr>
      <w:r>
        <w:rPr>
          <w:rFonts w:ascii="宋体" w:hAnsi="宋体"/>
          <w:color w:val="000000"/>
          <w:sz w:val="24"/>
          <w:szCs w:val="24"/>
        </w:rPr>
      </w:r>
      <w:r/>
    </w:p>
    <w:p>
      <w:pPr>
        <w:ind w:firstLine="480"/>
        <w:jc w:val="left"/>
        <w:pageBreakBefore w:val="0"/>
        <w:spacing w:beforeAutospacing="0" w:afterAutospacing="0" w:line="400" w:lineRule="exact"/>
        <w:widowControl/>
        <w:rPr>
          <w:rFonts w:ascii="宋体" w:hAnsi="宋体"/>
          <w:color w:val="000000"/>
          <w:sz w:val="24"/>
          <w:szCs w:val="24"/>
        </w:rPr>
      </w:pPr>
      <w:r>
        <w:rPr>
          <w:rFonts w:ascii="宋体" w:hAnsi="宋体"/>
          <w:color w:val="000000"/>
          <w:sz w:val="24"/>
          <w:szCs w:val="24"/>
        </w:rPr>
      </w:r>
      <w:r/>
    </w:p>
    <w:p>
      <w:pPr>
        <w:ind w:firstLine="480"/>
        <w:jc w:val="left"/>
        <w:pageBreakBefore w:val="0"/>
        <w:spacing w:beforeAutospacing="0" w:afterAutospacing="0" w:line="400" w:lineRule="exact"/>
        <w:widowControl/>
        <w:rPr>
          <w:rFonts w:ascii="宋体" w:hAnsi="宋体"/>
          <w:color w:val="000000"/>
          <w:sz w:val="24"/>
          <w:szCs w:val="24"/>
        </w:rPr>
      </w:pPr>
      <w:r>
        <w:rPr>
          <w:rFonts w:ascii="宋体" w:hAnsi="宋体"/>
          <w:color w:val="000000"/>
          <w:sz w:val="24"/>
          <w:szCs w:val="24"/>
        </w:rPr>
      </w:r>
      <w:r/>
    </w:p>
    <w:p>
      <w:pPr>
        <w:ind w:firstLine="480"/>
        <w:jc w:val="left"/>
        <w:pageBreakBefore w:val="0"/>
        <w:spacing w:beforeAutospacing="0" w:afterAutospacing="0" w:line="400" w:lineRule="exact"/>
        <w:widowControl/>
        <w:rPr>
          <w:rFonts w:ascii="宋体" w:hAnsi="宋体"/>
          <w:color w:val="000000"/>
          <w:sz w:val="24"/>
          <w:szCs w:val="24"/>
        </w:rPr>
      </w:pPr>
      <w:r>
        <w:rPr>
          <w:rFonts w:ascii="宋体" w:hAnsi="宋体"/>
          <w:color w:val="000000"/>
          <w:sz w:val="24"/>
          <w:szCs w:val="24"/>
        </w:rPr>
      </w:r>
      <w:r/>
    </w:p>
    <w:p>
      <w:pPr>
        <w:ind w:firstLine="480"/>
        <w:jc w:val="left"/>
        <w:pageBreakBefore w:val="0"/>
        <w:spacing w:beforeAutospacing="0" w:afterAutospacing="0" w:line="400" w:lineRule="exact"/>
        <w:widowControl/>
        <w:rPr>
          <w:rFonts w:ascii="宋体" w:hAnsi="宋体"/>
          <w:color w:val="000000"/>
          <w:sz w:val="24"/>
          <w:szCs w:val="24"/>
        </w:rPr>
      </w:pPr>
      <w:r>
        <w:rPr>
          <w:rFonts w:ascii="宋体" w:hAnsi="宋体"/>
          <w:color w:val="000000"/>
          <w:sz w:val="24"/>
          <w:szCs w:val="24"/>
        </w:rPr>
      </w:r>
      <w:r/>
    </w:p>
    <w:p>
      <w:pPr>
        <w:ind w:firstLine="480"/>
        <w:jc w:val="left"/>
        <w:pageBreakBefore w:val="0"/>
        <w:spacing w:beforeAutospacing="0" w:afterAutospacing="0" w:line="400" w:lineRule="exact"/>
        <w:widowControl/>
        <w:rPr>
          <w:rFonts w:ascii="宋体" w:hAnsi="宋体"/>
          <w:color w:val="000000"/>
          <w:sz w:val="24"/>
          <w:szCs w:val="24"/>
        </w:rPr>
      </w:pPr>
      <w:r>
        <w:rPr>
          <w:rFonts w:ascii="宋体" w:hAnsi="宋体"/>
          <w:color w:val="000000"/>
          <w:sz w:val="24"/>
          <w:szCs w:val="24"/>
        </w:rPr>
      </w:r>
      <w:r/>
    </w:p>
    <w:p>
      <w:pPr>
        <w:ind w:firstLine="480"/>
        <w:jc w:val="left"/>
        <w:pageBreakBefore w:val="0"/>
        <w:spacing w:beforeAutospacing="0" w:afterAutospacing="0" w:line="400" w:lineRule="exact"/>
        <w:widowControl/>
        <w:rPr>
          <w:rFonts w:ascii="宋体" w:hAnsi="宋体"/>
          <w:color w:val="000000"/>
          <w:sz w:val="24"/>
          <w:szCs w:val="24"/>
        </w:rPr>
      </w:pPr>
      <w:r>
        <w:rPr>
          <w:rFonts w:ascii="宋体" w:hAnsi="宋体"/>
          <w:color w:val="000000"/>
          <w:sz w:val="24"/>
          <w:szCs w:val="24"/>
        </w:rPr>
      </w:r>
      <w:r/>
    </w:p>
    <w:p>
      <w:pPr>
        <w:ind w:firstLine="480"/>
        <w:jc w:val="left"/>
        <w:pageBreakBefore w:val="0"/>
        <w:spacing w:beforeAutospacing="0" w:afterAutospacing="0" w:line="400" w:lineRule="exact"/>
        <w:widowControl/>
        <w:rPr>
          <w:rFonts w:ascii="宋体" w:hAnsi="宋体"/>
          <w:color w:val="000000"/>
          <w:sz w:val="24"/>
          <w:szCs w:val="24"/>
        </w:rPr>
      </w:pPr>
      <w:r>
        <w:rPr>
          <w:rFonts w:ascii="宋体" w:hAnsi="宋体"/>
          <w:color w:val="000000"/>
          <w:sz w:val="24"/>
          <w:szCs w:val="24"/>
        </w:rPr>
      </w:r>
      <w:r/>
    </w:p>
    <w:p>
      <w:pPr>
        <w:ind w:firstLine="480"/>
        <w:jc w:val="left"/>
        <w:pageBreakBefore w:val="0"/>
        <w:spacing w:beforeAutospacing="0" w:afterAutospacing="0" w:line="400" w:lineRule="exact"/>
        <w:widowControl/>
        <w:rPr>
          <w:rFonts w:ascii="宋体" w:hAnsi="宋体"/>
          <w:color w:val="000000"/>
          <w:sz w:val="24"/>
          <w:szCs w:val="24"/>
        </w:rPr>
      </w:pPr>
      <w:r>
        <w:rPr>
          <w:rFonts w:ascii="宋体" w:hAnsi="宋体"/>
          <w:color w:val="000000"/>
          <w:sz w:val="24"/>
          <w:szCs w:val="24"/>
        </w:rPr>
      </w:r>
      <w:r/>
    </w:p>
    <w:p>
      <w:pPr>
        <w:ind w:firstLine="480"/>
        <w:jc w:val="left"/>
        <w:pageBreakBefore w:val="0"/>
        <w:spacing w:beforeAutospacing="0" w:afterAutospacing="0" w:line="400" w:lineRule="exact"/>
        <w:widowControl/>
        <w:rPr>
          <w:rFonts w:ascii="宋体" w:hAnsi="宋体"/>
          <w:color w:val="000000"/>
          <w:sz w:val="24"/>
          <w:szCs w:val="24"/>
        </w:rPr>
      </w:pPr>
      <w:r>
        <w:rPr>
          <w:rFonts w:ascii="宋体" w:hAnsi="宋体"/>
          <w:color w:val="000000"/>
          <w:sz w:val="24"/>
          <w:szCs w:val="24"/>
        </w:rPr>
      </w:r>
      <w:r/>
    </w:p>
    <w:p>
      <w:pPr>
        <w:ind w:firstLine="480"/>
        <w:jc w:val="left"/>
        <w:pageBreakBefore w:val="0"/>
        <w:spacing w:beforeAutospacing="0" w:afterAutospacing="0" w:line="400" w:lineRule="exact"/>
        <w:widowControl/>
        <w:rPr>
          <w:rFonts w:ascii="宋体" w:hAnsi="宋体"/>
          <w:color w:val="000000"/>
          <w:sz w:val="24"/>
          <w:szCs w:val="24"/>
        </w:rPr>
      </w:pPr>
      <w:r>
        <w:rPr>
          <w:rFonts w:ascii="宋体" w:hAnsi="宋体"/>
          <w:color w:val="000000"/>
          <w:sz w:val="24"/>
          <w:szCs w:val="24"/>
        </w:rPr>
      </w:r>
      <w:r/>
    </w:p>
    <w:p>
      <w:pPr>
        <w:ind w:firstLine="480"/>
        <w:jc w:val="left"/>
        <w:pageBreakBefore w:val="0"/>
        <w:spacing w:beforeAutospacing="0" w:afterAutospacing="0" w:line="400" w:lineRule="exact"/>
        <w:widowControl/>
        <w:rPr>
          <w:rFonts w:ascii="宋体" w:hAnsi="宋体"/>
          <w:color w:val="000000"/>
          <w:sz w:val="24"/>
          <w:szCs w:val="24"/>
        </w:rPr>
      </w:pPr>
      <w:r>
        <w:rPr>
          <w:rFonts w:ascii="宋体" w:hAnsi="宋体"/>
          <w:color w:val="000000"/>
          <w:sz w:val="24"/>
          <w:szCs w:val="24"/>
        </w:rPr>
      </w:r>
      <w:r/>
    </w:p>
    <w:p>
      <w:pPr>
        <w:ind w:firstLine="480"/>
        <w:jc w:val="left"/>
        <w:pageBreakBefore w:val="0"/>
        <w:spacing w:beforeAutospacing="0" w:afterAutospacing="0" w:line="400" w:lineRule="exact"/>
        <w:widowControl/>
        <w:rPr>
          <w:rFonts w:ascii="宋体" w:hAnsi="宋体"/>
          <w:color w:val="000000"/>
          <w:sz w:val="24"/>
          <w:szCs w:val="24"/>
        </w:rPr>
      </w:pPr>
      <w:r>
        <w:rPr>
          <w:rFonts w:ascii="宋体" w:hAnsi="宋体"/>
          <w:color w:val="000000"/>
          <w:sz w:val="24"/>
          <w:szCs w:val="24"/>
        </w:rPr>
      </w:r>
      <w:r/>
    </w:p>
    <w:p>
      <w:pPr>
        <w:ind w:firstLine="480"/>
        <w:jc w:val="left"/>
        <w:pageBreakBefore w:val="0"/>
        <w:spacing w:beforeAutospacing="0" w:afterAutospacing="0" w:line="400" w:lineRule="exact"/>
        <w:widowControl/>
        <w:rPr>
          <w:rFonts w:ascii="宋体" w:hAnsi="宋体"/>
          <w:color w:val="000000"/>
          <w:sz w:val="24"/>
          <w:szCs w:val="24"/>
        </w:rPr>
      </w:pPr>
      <w:r>
        <w:rPr>
          <w:rFonts w:ascii="宋体" w:hAnsi="宋体"/>
          <w:color w:val="000000"/>
          <w:sz w:val="24"/>
          <w:szCs w:val="24"/>
        </w:rPr>
      </w:r>
      <w:r/>
    </w:p>
    <w:p>
      <w:pPr>
        <w:ind w:firstLine="480"/>
        <w:jc w:val="left"/>
        <w:pageBreakBefore w:val="0"/>
        <w:spacing w:beforeAutospacing="0" w:afterAutospacing="0" w:line="400" w:lineRule="exact"/>
        <w:widowControl/>
        <w:rPr>
          <w:rFonts w:ascii="宋体" w:hAnsi="宋体"/>
          <w:color w:val="000000"/>
          <w:sz w:val="24"/>
          <w:szCs w:val="24"/>
        </w:rPr>
      </w:pPr>
      <w:r>
        <w:rPr>
          <w:rFonts w:ascii="宋体" w:hAnsi="宋体"/>
          <w:color w:val="000000"/>
          <w:sz w:val="24"/>
          <w:szCs w:val="24"/>
        </w:rPr>
      </w:r>
      <w:r/>
    </w:p>
    <w:p>
      <w:pPr>
        <w:ind w:firstLine="480"/>
        <w:jc w:val="left"/>
        <w:pageBreakBefore w:val="0"/>
        <w:spacing w:beforeAutospacing="0" w:afterAutospacing="0" w:line="400" w:lineRule="exact"/>
        <w:widowControl/>
        <w:rPr>
          <w:rFonts w:ascii="宋体" w:hAnsi="宋体"/>
          <w:color w:val="000000"/>
          <w:sz w:val="24"/>
          <w:szCs w:val="24"/>
        </w:rPr>
      </w:pPr>
      <w:r>
        <w:rPr>
          <w:rFonts w:ascii="宋体" w:hAnsi="宋体"/>
          <w:color w:val="000000"/>
          <w:sz w:val="24"/>
          <w:szCs w:val="24"/>
        </w:rPr>
      </w:r>
      <w:r/>
    </w:p>
    <w:p>
      <w:pPr>
        <w:ind w:firstLine="480"/>
        <w:jc w:val="left"/>
        <w:pageBreakBefore w:val="0"/>
        <w:spacing w:beforeAutospacing="0" w:afterAutospacing="0" w:line="400" w:lineRule="exact"/>
        <w:widowControl/>
        <w:rPr>
          <w:rFonts w:ascii="宋体" w:hAnsi="宋体"/>
          <w:color w:val="000000"/>
          <w:sz w:val="24"/>
          <w:szCs w:val="24"/>
        </w:rPr>
      </w:pPr>
      <w:r>
        <w:rPr>
          <w:rFonts w:ascii="宋体" w:hAnsi="宋体"/>
          <w:color w:val="000000"/>
          <w:sz w:val="24"/>
          <w:szCs w:val="24"/>
        </w:rPr>
      </w:r>
      <w:r/>
    </w:p>
    <w:p>
      <w:pPr>
        <w:ind w:firstLine="480"/>
        <w:jc w:val="left"/>
        <w:pageBreakBefore w:val="0"/>
        <w:spacing w:beforeAutospacing="0" w:afterAutospacing="0" w:line="400" w:lineRule="exact"/>
        <w:widowControl/>
        <w:rPr>
          <w:rFonts w:ascii="宋体" w:hAnsi="宋体"/>
          <w:color w:val="000000"/>
          <w:sz w:val="24"/>
          <w:szCs w:val="24"/>
        </w:rPr>
      </w:pPr>
      <w:r>
        <w:rPr>
          <w:rFonts w:ascii="宋体" w:hAnsi="宋体"/>
          <w:color w:val="000000"/>
          <w:sz w:val="24"/>
          <w:szCs w:val="24"/>
        </w:rPr>
      </w:r>
      <w:r/>
    </w:p>
    <w:p>
      <w:pPr>
        <w:ind w:firstLine="480"/>
        <w:jc w:val="left"/>
        <w:pageBreakBefore w:val="0"/>
        <w:spacing w:beforeAutospacing="0" w:afterAutospacing="0" w:line="400" w:lineRule="exact"/>
        <w:widowControl/>
        <w:rPr>
          <w:rFonts w:ascii="宋体" w:hAnsi="宋体"/>
          <w:color w:val="000000"/>
          <w:sz w:val="24"/>
          <w:szCs w:val="24"/>
        </w:rPr>
      </w:pPr>
      <w:r>
        <w:rPr>
          <w:rFonts w:ascii="宋体" w:hAnsi="宋体"/>
          <w:color w:val="000000"/>
          <w:sz w:val="24"/>
          <w:szCs w:val="24"/>
        </w:rPr>
      </w:r>
      <w:r/>
    </w:p>
    <w:p>
      <w:pPr>
        <w:ind w:firstLine="480"/>
        <w:jc w:val="left"/>
        <w:pageBreakBefore w:val="0"/>
        <w:spacing w:beforeAutospacing="0" w:afterAutospacing="0" w:line="400" w:lineRule="exact"/>
        <w:widowControl/>
        <w:rPr>
          <w:rFonts w:ascii="宋体" w:hAnsi="宋体"/>
          <w:color w:val="000000"/>
          <w:sz w:val="24"/>
          <w:szCs w:val="24"/>
        </w:rPr>
      </w:pPr>
      <w:r>
        <w:rPr>
          <w:rFonts w:ascii="宋体" w:hAnsi="宋体"/>
          <w:color w:val="000000"/>
          <w:sz w:val="24"/>
          <w:szCs w:val="24"/>
        </w:rPr>
      </w:r>
      <w:r/>
    </w:p>
    <w:p>
      <w:pPr>
        <w:ind w:firstLine="480"/>
        <w:jc w:val="left"/>
        <w:pageBreakBefore w:val="0"/>
        <w:spacing w:beforeAutospacing="0" w:afterAutospacing="0" w:line="400" w:lineRule="exact"/>
        <w:widowControl/>
        <w:rPr>
          <w:rFonts w:ascii="宋体" w:hAnsi="宋体"/>
          <w:color w:val="000000"/>
          <w:sz w:val="24"/>
          <w:szCs w:val="24"/>
        </w:rPr>
      </w:pPr>
      <w:r>
        <w:rPr>
          <w:rFonts w:ascii="宋体" w:hAnsi="宋体"/>
          <w:color w:val="000000"/>
          <w:sz w:val="24"/>
          <w:szCs w:val="24"/>
        </w:rPr>
      </w:r>
      <w:r/>
    </w:p>
    <w:p>
      <w:pPr>
        <w:pStyle w:val="926"/>
        <w:jc w:val="center"/>
        <w:pageBreakBefore w:val="0"/>
        <w:spacing w:beforeAutospacing="0" w:afterAutospacing="0"/>
        <w:rPr>
          <w:rFonts w:hint="eastAsia" w:ascii="宋体" w:hAnsi="宋体" w:eastAsia="宋体" w:cs="宋体"/>
          <w:b/>
          <w:bCs/>
          <w:spacing w:val="-20"/>
          <w:sz w:val="32"/>
          <w:szCs w:val="32"/>
        </w:rPr>
      </w:pPr>
      <w:r>
        <w:rPr>
          <w:rFonts w:hint="eastAsia" w:ascii="宋体" w:hAnsi="宋体" w:eastAsia="宋体" w:cs="宋体"/>
          <w:b/>
          <w:bCs/>
          <w:spacing w:val="-20"/>
          <w:sz w:val="32"/>
          <w:szCs w:val="32"/>
        </w:rPr>
      </w:r>
      <w:r/>
    </w:p>
    <w:sectPr>
      <w:headerReference w:type="default" r:id="rId9"/>
      <w:footerReference w:type="default" r:id="rId10"/>
      <w:footerReference w:type="even" r:id="rId11"/>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楷体">
    <w:panose1 w:val="02010609060101010101"/>
  </w:font>
  <w:font w:name="仿宋">
    <w:panose1 w:val="02010609060101010101"/>
  </w:font>
  <w:font w:name="华文新魏">
    <w:panose1 w:val="02010800040101010101"/>
  </w:font>
  <w:font w:name="方正魏碑_GBK">
    <w:panose1 w:val="020B0503020202020204"/>
  </w:font>
  <w:font w:name="Showcard Gothic">
    <w:panose1 w:val="04020904020102020604"/>
  </w:font>
  <w:font w:name="Symbol">
    <w:panose1 w:val="05050102010706020507"/>
  </w:font>
  <w:font w:name="方正黑体_GBK">
    <w:panose1 w:val="020B0503020202020204"/>
  </w:font>
  <w:font w:name="华文楷体">
    <w:panose1 w:val="02010600040101010101"/>
  </w:font>
  <w:font w:name="Wingdings">
    <w:panose1 w:val="05000000000000000000"/>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Calibri">
    <w:panose1 w:val="020F050202020403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rPr>
        <w:rStyle w:val="905"/>
        <w:rFonts w:ascii="宋体" w:hAnsi="宋体"/>
      </w:rPr>
      <w:framePr w:wrap="around" w:vAnchor="text" w:hAnchor="margin" w:xAlign="center" w:y="1"/>
    </w:pPr>
    <w:r>
      <w:rPr>
        <w:rFonts w:ascii="宋体" w:hAnsi="宋体"/>
      </w:rPr>
      <w:fldChar w:fldCharType="begin"/>
    </w:r>
    <w:r>
      <w:rPr>
        <w:rStyle w:val="905"/>
        <w:rFonts w:ascii="宋体" w:hAnsi="宋体"/>
      </w:rPr>
      <w:instrText xml:space="preserve">PAGE  </w:instrText>
    </w:r>
    <w:r>
      <w:rPr>
        <w:rFonts w:ascii="宋体" w:hAnsi="宋体"/>
      </w:rPr>
      <w:fldChar w:fldCharType="separate"/>
    </w:r>
    <w:r>
      <w:rPr>
        <w:rStyle w:val="905"/>
        <w:rFonts w:ascii="宋体" w:hAnsi="宋体"/>
      </w:rPr>
      <w:t xml:space="preserve">22</w:t>
    </w:r>
    <w:r>
      <w:rPr>
        <w:rFonts w:ascii="宋体" w:hAnsi="宋体"/>
      </w:rPr>
      <w:fldChar w:fldCharType="end"/>
    </w:r>
    <w:r/>
  </w:p>
  <w:p>
    <w:pPr>
      <w:pStyle w:val="918"/>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rPr>
        <w:rStyle w:val="905"/>
      </w:rPr>
      <w:framePr w:wrap="around" w:vAnchor="text" w:hAnchor="margin" w:xAlign="center" w:y="1"/>
    </w:pPr>
    <w:r>
      <w:fldChar w:fldCharType="begin"/>
    </w:r>
    <w:r>
      <w:rPr>
        <w:rStyle w:val="905"/>
      </w:rPr>
      <w:instrText xml:space="preserve">PAGE  </w:instrText>
    </w:r>
    <w:r>
      <w:fldChar w:fldCharType="separate"/>
    </w:r>
    <w:r>
      <w:rPr>
        <w:rStyle w:val="905"/>
      </w:rPr>
      <w:t xml:space="preserve">1</w:t>
    </w:r>
    <w:r>
      <w:fldChar w:fldCharType="end"/>
    </w:r>
    <w:r/>
  </w:p>
  <w:p>
    <w:pPr>
      <w:pStyle w:val="91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567"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7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97"/>
      <w:isLgl w:val="false"/>
      <w:suff w:val="nothing"/>
      <w:lvlText w:val=""/>
      <w:lvlJc w:val="left"/>
      <w:pPr>
        <w:ind w:left="0" w:firstLine="0"/>
      </w:pPr>
      <w:rPr>
        <w:rFonts w:hint="eastAsia"/>
      </w:rPr>
    </w:lvl>
    <w:lvl w:ilvl="6">
      <w:start w:val="1"/>
      <w:numFmt w:val="decimal"/>
      <w:pStyle w:val="898"/>
      <w:isLgl w:val="false"/>
      <w:suff w:val="nothing"/>
      <w:lvlText w:val=""/>
      <w:lvlJc w:val="left"/>
      <w:pPr>
        <w:ind w:left="0" w:firstLine="0"/>
      </w:pPr>
      <w:rPr>
        <w:rFonts w:hint="eastAsia"/>
      </w:rPr>
    </w:lvl>
    <w:lvl w:ilvl="7">
      <w:start w:val="1"/>
      <w:numFmt w:val="decimal"/>
      <w:pStyle w:val="899"/>
      <w:isLgl w:val="false"/>
      <w:suff w:val="nothing"/>
      <w:lvlText w:val=""/>
      <w:lvlJc w:val="left"/>
      <w:pPr>
        <w:ind w:left="0" w:firstLine="0"/>
      </w:pPr>
      <w:rPr>
        <w:rFonts w:hint="eastAsia"/>
      </w:rPr>
    </w:lvl>
    <w:lvl w:ilvl="8">
      <w:start w:val="1"/>
      <w:numFmt w:val="decimal"/>
      <w:pStyle w:val="900"/>
      <w:isLgl w:val="false"/>
      <w:suff w:val="nothing"/>
      <w:lvlText w:val=""/>
      <w:lvlJc w:val="left"/>
      <w:pPr>
        <w:ind w:left="0" w:firstLine="0"/>
      </w:pPr>
      <w:rPr>
        <w:rFonts w:hint="eastAsia"/>
      </w:rPr>
    </w:lvl>
  </w:abstractNum>
  <w:abstractNum w:abstractNumId="6">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9">
    <w:multiLevelType w:val="hybridMultilevel"/>
    <w:lvl w:ilvl="0">
      <w:start w:val="16"/>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00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2">
    <w:multiLevelType w:val="hybridMultilevel"/>
    <w:lvl w:ilvl="0">
      <w:start w:val="23"/>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5"/>
  </w:num>
  <w:num w:numId="2">
    <w:abstractNumId w:val="4"/>
  </w:num>
  <w:num w:numId="3">
    <w:abstractNumId w:val="11"/>
  </w:num>
  <w:num w:numId="4">
    <w:abstractNumId w:val="2"/>
  </w:num>
  <w:num w:numId="5">
    <w:abstractNumId w:val="1"/>
  </w:num>
  <w:num w:numId="6">
    <w:abstractNumId w:val="7"/>
  </w:num>
  <w:num w:numId="7">
    <w:abstractNumId w:val="8"/>
  </w:num>
  <w:num w:numId="8">
    <w:abstractNumId w:val="13"/>
  </w:num>
  <w:num w:numId="9">
    <w:abstractNumId w:val="6"/>
  </w:num>
  <w:num w:numId="10">
    <w:abstractNumId w:val="0"/>
  </w:num>
  <w:num w:numId="11">
    <w:abstractNumId w:val="9"/>
  </w:num>
  <w:num w:numId="12">
    <w:abstractNumId w:val="12"/>
  </w:num>
  <w:num w:numId="13">
    <w:abstractNumId w:val="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8" w:default="1">
    <w:name w:val="Normal"/>
    <w:next w:val="720"/>
    <w:link w:val="957"/>
    <w:uiPriority w:val="0"/>
    <w:qFormat/>
    <w:pPr>
      <w:jc w:val="both"/>
      <w:widowControl w:val="off"/>
    </w:pPr>
    <w:rPr>
      <w:rFonts w:hint="default" w:ascii="Calibri" w:hAnsi="Calibri" w:eastAsia="宋体" w:cs="Times New Roman"/>
      <w:sz w:val="21"/>
      <w:szCs w:val="22"/>
      <w:lang w:val="en-US" w:eastAsia="zh-CN" w:bidi="ar-SA"/>
    </w:rPr>
  </w:style>
  <w:style w:type="paragraph" w:styleId="709">
    <w:name w:val="Heading 1"/>
    <w:basedOn w:val="708"/>
    <w:next w:val="708"/>
    <w:link w:val="743"/>
    <w:uiPriority w:val="9"/>
    <w:qFormat/>
    <w:pPr>
      <w:keepLines/>
      <w:keepNext/>
      <w:spacing w:before="480" w:after="200"/>
      <w:outlineLvl w:val="0"/>
    </w:pPr>
    <w:rPr>
      <w:rFonts w:ascii="Arial" w:hAnsi="Arial" w:eastAsia="Arial" w:cs="Arial"/>
      <w:sz w:val="40"/>
      <w:szCs w:val="40"/>
    </w:rPr>
  </w:style>
  <w:style w:type="paragraph" w:styleId="710">
    <w:name w:val="Heading 2"/>
    <w:basedOn w:val="708"/>
    <w:next w:val="708"/>
    <w:link w:val="744"/>
    <w:uiPriority w:val="9"/>
    <w:unhideWhenUsed/>
    <w:qFormat/>
    <w:pPr>
      <w:keepLines/>
      <w:keepNext/>
      <w:spacing w:before="360" w:after="200"/>
      <w:outlineLvl w:val="1"/>
    </w:pPr>
    <w:rPr>
      <w:rFonts w:ascii="Arial" w:hAnsi="Arial" w:eastAsia="Arial" w:cs="Arial"/>
      <w:sz w:val="34"/>
    </w:rPr>
  </w:style>
  <w:style w:type="paragraph" w:styleId="711">
    <w:name w:val="Heading 3"/>
    <w:basedOn w:val="708"/>
    <w:next w:val="708"/>
    <w:link w:val="745"/>
    <w:uiPriority w:val="9"/>
    <w:unhideWhenUsed/>
    <w:qFormat/>
    <w:pPr>
      <w:keepLines/>
      <w:keepNext/>
      <w:spacing w:before="320" w:after="200"/>
      <w:outlineLvl w:val="2"/>
    </w:pPr>
    <w:rPr>
      <w:rFonts w:ascii="Arial" w:hAnsi="Arial" w:eastAsia="Arial" w:cs="Arial"/>
      <w:sz w:val="30"/>
      <w:szCs w:val="30"/>
    </w:rPr>
  </w:style>
  <w:style w:type="paragraph" w:styleId="712">
    <w:name w:val="Heading 4"/>
    <w:basedOn w:val="708"/>
    <w:next w:val="708"/>
    <w:link w:val="746"/>
    <w:uiPriority w:val="9"/>
    <w:unhideWhenUsed/>
    <w:qFormat/>
    <w:pPr>
      <w:keepLines/>
      <w:keepNext/>
      <w:spacing w:before="320" w:after="200"/>
      <w:outlineLvl w:val="3"/>
    </w:pPr>
    <w:rPr>
      <w:rFonts w:ascii="Arial" w:hAnsi="Arial" w:eastAsia="Arial" w:cs="Arial"/>
      <w:b/>
      <w:bCs/>
      <w:sz w:val="26"/>
      <w:szCs w:val="26"/>
    </w:rPr>
  </w:style>
  <w:style w:type="paragraph" w:styleId="713">
    <w:name w:val="Heading 5"/>
    <w:basedOn w:val="708"/>
    <w:next w:val="708"/>
    <w:link w:val="747"/>
    <w:uiPriority w:val="9"/>
    <w:unhideWhenUsed/>
    <w:qFormat/>
    <w:pPr>
      <w:keepLines/>
      <w:keepNext/>
      <w:spacing w:before="320" w:after="200"/>
      <w:outlineLvl w:val="4"/>
    </w:pPr>
    <w:rPr>
      <w:rFonts w:ascii="Arial" w:hAnsi="Arial" w:eastAsia="Arial" w:cs="Arial"/>
      <w:b/>
      <w:bCs/>
      <w:sz w:val="24"/>
      <w:szCs w:val="24"/>
    </w:rPr>
  </w:style>
  <w:style w:type="paragraph" w:styleId="714">
    <w:name w:val="Heading 6"/>
    <w:basedOn w:val="708"/>
    <w:next w:val="708"/>
    <w:link w:val="748"/>
    <w:uiPriority w:val="9"/>
    <w:unhideWhenUsed/>
    <w:qFormat/>
    <w:pPr>
      <w:keepLines/>
      <w:keepNext/>
      <w:spacing w:before="320" w:after="200"/>
      <w:outlineLvl w:val="5"/>
    </w:pPr>
    <w:rPr>
      <w:rFonts w:ascii="Arial" w:hAnsi="Arial" w:eastAsia="Arial" w:cs="Arial"/>
      <w:b/>
      <w:bCs/>
      <w:sz w:val="22"/>
      <w:szCs w:val="22"/>
    </w:rPr>
  </w:style>
  <w:style w:type="paragraph" w:styleId="715">
    <w:name w:val="Heading 7"/>
    <w:basedOn w:val="708"/>
    <w:next w:val="708"/>
    <w:link w:val="749"/>
    <w:uiPriority w:val="9"/>
    <w:unhideWhenUsed/>
    <w:qFormat/>
    <w:pPr>
      <w:keepLines/>
      <w:keepNext/>
      <w:spacing w:before="320" w:after="200"/>
      <w:outlineLvl w:val="6"/>
    </w:pPr>
    <w:rPr>
      <w:rFonts w:ascii="Arial" w:hAnsi="Arial" w:eastAsia="Arial" w:cs="Arial"/>
      <w:b/>
      <w:bCs/>
      <w:i/>
      <w:iCs/>
      <w:sz w:val="22"/>
      <w:szCs w:val="22"/>
    </w:rPr>
  </w:style>
  <w:style w:type="paragraph" w:styleId="716">
    <w:name w:val="Heading 8"/>
    <w:basedOn w:val="708"/>
    <w:next w:val="708"/>
    <w:link w:val="750"/>
    <w:uiPriority w:val="9"/>
    <w:unhideWhenUsed/>
    <w:qFormat/>
    <w:pPr>
      <w:keepLines/>
      <w:keepNext/>
      <w:spacing w:before="320" w:after="200"/>
      <w:outlineLvl w:val="7"/>
    </w:pPr>
    <w:rPr>
      <w:rFonts w:ascii="Arial" w:hAnsi="Arial" w:eastAsia="Arial" w:cs="Arial"/>
      <w:i/>
      <w:iCs/>
      <w:sz w:val="22"/>
      <w:szCs w:val="22"/>
    </w:rPr>
  </w:style>
  <w:style w:type="paragraph" w:styleId="717">
    <w:name w:val="Heading 9"/>
    <w:basedOn w:val="708"/>
    <w:next w:val="708"/>
    <w:link w:val="751"/>
    <w:uiPriority w:val="9"/>
    <w:unhideWhenUsed/>
    <w:qFormat/>
    <w:pPr>
      <w:keepLines/>
      <w:keepNext/>
      <w:spacing w:before="320" w:after="200"/>
      <w:outlineLvl w:val="8"/>
    </w:pPr>
    <w:rPr>
      <w:rFonts w:ascii="Arial" w:hAnsi="Arial" w:eastAsia="Arial" w:cs="Arial"/>
      <w:i/>
      <w:iCs/>
      <w:sz w:val="21"/>
      <w:szCs w:val="21"/>
    </w:rPr>
  </w:style>
  <w:style w:type="character" w:styleId="718" w:default="1">
    <w:name w:val="Default Paragraph Font"/>
    <w:uiPriority w:val="1"/>
    <w:semiHidden/>
    <w:unhideWhenUsed/>
    <w:qFormat/>
  </w:style>
  <w:style w:type="table" w:styleId="719" w:default="1">
    <w:name w:val="Normal Table"/>
    <w:uiPriority w:val="99"/>
    <w:semiHidden/>
    <w:unhideWhenUsed/>
    <w:qFormat/>
    <w:tblPr>
      <w:tblLayout w:type="fixed"/>
      <w:tblCellMar>
        <w:left w:w="108" w:type="dxa"/>
        <w:top w:w="0" w:type="dxa"/>
        <w:right w:w="108" w:type="dxa"/>
        <w:bottom w:w="0" w:type="dxa"/>
      </w:tblCellMar>
    </w:tblPr>
  </w:style>
  <w:style w:type="paragraph" w:styleId="720" w:customStyle="1">
    <w:name w:val="索引 41"/>
    <w:basedOn w:val="708"/>
    <w:next w:val="708"/>
    <w:uiPriority w:val="0"/>
    <w:qFormat/>
    <w:pPr>
      <w:ind w:left="600"/>
      <w:jc w:val="both"/>
    </w:pPr>
    <w:rPr>
      <w:rFonts w:ascii="Calibri" w:hAnsi="Calibri" w:cs="Times New Roman"/>
      <w:sz w:val="21"/>
    </w:rPr>
  </w:style>
  <w:style w:type="paragraph" w:styleId="721">
    <w:name w:val="toc 7"/>
    <w:basedOn w:val="708"/>
    <w:next w:val="708"/>
    <w:uiPriority w:val="39"/>
    <w:unhideWhenUsed/>
    <w:qFormat/>
    <w:pPr>
      <w:ind w:left="1701" w:right="0" w:firstLine="0"/>
      <w:spacing w:after="57"/>
    </w:pPr>
  </w:style>
  <w:style w:type="paragraph" w:styleId="722">
    <w:name w:val="Caption"/>
    <w:basedOn w:val="708"/>
    <w:next w:val="70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3">
    <w:name w:val="annotation text"/>
    <w:basedOn w:val="708"/>
    <w:uiPriority w:val="99"/>
    <w:semiHidden/>
    <w:unhideWhenUsed/>
    <w:qFormat/>
    <w:pPr>
      <w:jc w:val="left"/>
    </w:pPr>
  </w:style>
  <w:style w:type="paragraph" w:styleId="724">
    <w:name w:val="toc 5"/>
    <w:basedOn w:val="708"/>
    <w:next w:val="708"/>
    <w:uiPriority w:val="39"/>
    <w:unhideWhenUsed/>
    <w:qFormat/>
    <w:pPr>
      <w:ind w:left="1134" w:right="0" w:firstLine="0"/>
      <w:spacing w:after="57"/>
    </w:pPr>
  </w:style>
  <w:style w:type="paragraph" w:styleId="725">
    <w:name w:val="toc 3"/>
    <w:basedOn w:val="708"/>
    <w:next w:val="708"/>
    <w:uiPriority w:val="39"/>
    <w:unhideWhenUsed/>
    <w:qFormat/>
    <w:pPr>
      <w:ind w:left="567" w:right="0" w:firstLine="0"/>
      <w:spacing w:after="57"/>
    </w:pPr>
  </w:style>
  <w:style w:type="paragraph" w:styleId="726">
    <w:name w:val="toc 8"/>
    <w:basedOn w:val="708"/>
    <w:next w:val="708"/>
    <w:uiPriority w:val="39"/>
    <w:unhideWhenUsed/>
    <w:qFormat/>
    <w:pPr>
      <w:ind w:left="1984" w:right="0" w:firstLine="0"/>
      <w:spacing w:after="57"/>
    </w:pPr>
  </w:style>
  <w:style w:type="paragraph" w:styleId="727">
    <w:name w:val="endnote text"/>
    <w:basedOn w:val="708"/>
    <w:link w:val="889"/>
    <w:uiPriority w:val="99"/>
    <w:semiHidden/>
    <w:unhideWhenUsed/>
    <w:qFormat/>
    <w:pPr>
      <w:spacing w:after="0" w:line="240" w:lineRule="auto"/>
    </w:pPr>
    <w:rPr>
      <w:sz w:val="20"/>
    </w:rPr>
  </w:style>
  <w:style w:type="paragraph" w:styleId="728">
    <w:name w:val="Footer"/>
    <w:basedOn w:val="708"/>
    <w:link w:val="762"/>
    <w:uiPriority w:val="99"/>
    <w:unhideWhenUsed/>
    <w:qFormat/>
    <w:pPr>
      <w:spacing w:after="0" w:line="240" w:lineRule="auto"/>
      <w:tabs>
        <w:tab w:val="center" w:pos="7143" w:leader="none"/>
        <w:tab w:val="right" w:pos="14287" w:leader="none"/>
      </w:tabs>
    </w:pPr>
  </w:style>
  <w:style w:type="paragraph" w:styleId="729">
    <w:name w:val="Header"/>
    <w:basedOn w:val="708"/>
    <w:link w:val="760"/>
    <w:uiPriority w:val="99"/>
    <w:unhideWhenUsed/>
    <w:qFormat/>
    <w:pPr>
      <w:spacing w:after="0" w:line="240" w:lineRule="auto"/>
      <w:tabs>
        <w:tab w:val="center" w:pos="7143" w:leader="none"/>
        <w:tab w:val="right" w:pos="14287" w:leader="none"/>
      </w:tabs>
    </w:pPr>
  </w:style>
  <w:style w:type="paragraph" w:styleId="730">
    <w:name w:val="toc 1"/>
    <w:basedOn w:val="708"/>
    <w:next w:val="708"/>
    <w:uiPriority w:val="39"/>
    <w:unhideWhenUsed/>
    <w:qFormat/>
    <w:pPr>
      <w:ind w:left="0" w:right="0" w:firstLine="0"/>
      <w:spacing w:after="57"/>
    </w:pPr>
  </w:style>
  <w:style w:type="paragraph" w:styleId="731">
    <w:name w:val="toc 4"/>
    <w:basedOn w:val="708"/>
    <w:next w:val="708"/>
    <w:uiPriority w:val="39"/>
    <w:unhideWhenUsed/>
    <w:qFormat/>
    <w:pPr>
      <w:ind w:left="850" w:right="0" w:firstLine="0"/>
      <w:spacing w:after="57"/>
    </w:pPr>
  </w:style>
  <w:style w:type="paragraph" w:styleId="732">
    <w:name w:val="Subtitle"/>
    <w:basedOn w:val="708"/>
    <w:next w:val="708"/>
    <w:link w:val="755"/>
    <w:uiPriority w:val="11"/>
    <w:qFormat/>
    <w:pPr>
      <w:spacing w:before="200" w:after="200"/>
    </w:pPr>
    <w:rPr>
      <w:sz w:val="24"/>
      <w:szCs w:val="24"/>
    </w:rPr>
  </w:style>
  <w:style w:type="paragraph" w:styleId="733">
    <w:name w:val="footnote text"/>
    <w:basedOn w:val="708"/>
    <w:link w:val="888"/>
    <w:uiPriority w:val="99"/>
    <w:semiHidden/>
    <w:unhideWhenUsed/>
    <w:qFormat/>
    <w:pPr>
      <w:spacing w:after="40" w:line="240" w:lineRule="auto"/>
    </w:pPr>
    <w:rPr>
      <w:sz w:val="18"/>
    </w:rPr>
  </w:style>
  <w:style w:type="paragraph" w:styleId="734">
    <w:name w:val="toc 6"/>
    <w:basedOn w:val="708"/>
    <w:next w:val="708"/>
    <w:uiPriority w:val="39"/>
    <w:unhideWhenUsed/>
    <w:qFormat/>
    <w:pPr>
      <w:ind w:left="1417" w:right="0" w:firstLine="0"/>
      <w:spacing w:after="57"/>
    </w:pPr>
  </w:style>
  <w:style w:type="paragraph" w:styleId="735">
    <w:name w:val="table of figures"/>
    <w:basedOn w:val="708"/>
    <w:next w:val="708"/>
    <w:uiPriority w:val="99"/>
    <w:unhideWhenUsed/>
    <w:qFormat/>
    <w:pPr>
      <w:spacing w:after="0" w:afterAutospacing="0"/>
    </w:pPr>
  </w:style>
  <w:style w:type="paragraph" w:styleId="736">
    <w:name w:val="toc 2"/>
    <w:basedOn w:val="708"/>
    <w:next w:val="708"/>
    <w:uiPriority w:val="39"/>
    <w:unhideWhenUsed/>
    <w:qFormat/>
    <w:pPr>
      <w:ind w:left="283" w:right="0" w:firstLine="0"/>
      <w:spacing w:after="57"/>
    </w:pPr>
  </w:style>
  <w:style w:type="paragraph" w:styleId="737">
    <w:name w:val="toc 9"/>
    <w:basedOn w:val="708"/>
    <w:next w:val="708"/>
    <w:uiPriority w:val="39"/>
    <w:unhideWhenUsed/>
    <w:qFormat/>
    <w:pPr>
      <w:ind w:left="2268" w:right="0" w:firstLine="0"/>
      <w:spacing w:after="57"/>
    </w:pPr>
  </w:style>
  <w:style w:type="paragraph" w:styleId="738">
    <w:name w:val="Title"/>
    <w:basedOn w:val="708"/>
    <w:next w:val="708"/>
    <w:link w:val="754"/>
    <w:uiPriority w:val="10"/>
    <w:qFormat/>
    <w:pPr>
      <w:contextualSpacing/>
      <w:spacing w:before="300" w:after="200"/>
    </w:pPr>
    <w:rPr>
      <w:sz w:val="48"/>
      <w:szCs w:val="48"/>
    </w:rPr>
  </w:style>
  <w:style w:type="table" w:styleId="73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740">
    <w:name w:val="endnote reference"/>
    <w:uiPriority w:val="99"/>
    <w:semiHidden/>
    <w:unhideWhenUsed/>
    <w:qFormat/>
    <w:rPr>
      <w:vertAlign w:val="superscript"/>
    </w:rPr>
  </w:style>
  <w:style w:type="character" w:styleId="741">
    <w:name w:val="Hyperlink"/>
    <w:uiPriority w:val="99"/>
    <w:unhideWhenUsed/>
    <w:qFormat/>
    <w:rPr>
      <w:color w:val="0000ff" w:themeColor="hyperlink"/>
      <w:u w:val="single"/>
      <w14:textFill>
        <w14:solidFill>
          <w14:schemeClr w14:val="hlink"/>
        </w14:solidFill>
      </w14:textFill>
    </w:rPr>
  </w:style>
  <w:style w:type="character" w:styleId="742">
    <w:name w:val="footnote reference"/>
    <w:uiPriority w:val="99"/>
    <w:unhideWhenUsed/>
    <w:qFormat/>
    <w:rPr>
      <w:vertAlign w:val="superscript"/>
    </w:rPr>
  </w:style>
  <w:style w:type="character" w:styleId="743" w:customStyle="1">
    <w:name w:val="Heading 1 Char"/>
    <w:link w:val="709"/>
    <w:uiPriority w:val="9"/>
    <w:qFormat/>
    <w:rPr>
      <w:rFonts w:ascii="Arial" w:hAnsi="Arial" w:eastAsia="Arial" w:cs="Arial"/>
      <w:sz w:val="40"/>
      <w:szCs w:val="40"/>
    </w:rPr>
  </w:style>
  <w:style w:type="character" w:styleId="744" w:customStyle="1">
    <w:name w:val="Heading 2 Char"/>
    <w:link w:val="710"/>
    <w:uiPriority w:val="9"/>
    <w:qFormat/>
    <w:rPr>
      <w:rFonts w:ascii="Arial" w:hAnsi="Arial" w:eastAsia="Arial" w:cs="Arial"/>
      <w:sz w:val="34"/>
    </w:rPr>
  </w:style>
  <w:style w:type="character" w:styleId="745" w:customStyle="1">
    <w:name w:val="Heading 3 Char"/>
    <w:link w:val="711"/>
    <w:uiPriority w:val="9"/>
    <w:qFormat/>
    <w:rPr>
      <w:rFonts w:ascii="Arial" w:hAnsi="Arial" w:eastAsia="Arial" w:cs="Arial"/>
      <w:sz w:val="30"/>
      <w:szCs w:val="30"/>
    </w:rPr>
  </w:style>
  <w:style w:type="character" w:styleId="746" w:customStyle="1">
    <w:name w:val="Heading 4 Char"/>
    <w:link w:val="712"/>
    <w:uiPriority w:val="9"/>
    <w:qFormat/>
    <w:rPr>
      <w:rFonts w:ascii="Arial" w:hAnsi="Arial" w:eastAsia="Arial" w:cs="Arial"/>
      <w:b/>
      <w:bCs/>
      <w:sz w:val="26"/>
      <w:szCs w:val="26"/>
    </w:rPr>
  </w:style>
  <w:style w:type="character" w:styleId="747" w:customStyle="1">
    <w:name w:val="Heading 5 Char"/>
    <w:link w:val="713"/>
    <w:uiPriority w:val="9"/>
    <w:qFormat/>
    <w:rPr>
      <w:rFonts w:ascii="Arial" w:hAnsi="Arial" w:eastAsia="Arial" w:cs="Arial"/>
      <w:b/>
      <w:bCs/>
      <w:sz w:val="24"/>
      <w:szCs w:val="24"/>
    </w:rPr>
  </w:style>
  <w:style w:type="character" w:styleId="748" w:customStyle="1">
    <w:name w:val="Heading 6 Char"/>
    <w:link w:val="714"/>
    <w:uiPriority w:val="9"/>
    <w:qFormat/>
    <w:rPr>
      <w:rFonts w:ascii="Arial" w:hAnsi="Arial" w:eastAsia="Arial" w:cs="Arial"/>
      <w:b/>
      <w:bCs/>
      <w:sz w:val="22"/>
      <w:szCs w:val="22"/>
    </w:rPr>
  </w:style>
  <w:style w:type="character" w:styleId="749" w:customStyle="1">
    <w:name w:val="Heading 7 Char"/>
    <w:link w:val="715"/>
    <w:uiPriority w:val="9"/>
    <w:qFormat/>
    <w:rPr>
      <w:rFonts w:ascii="Arial" w:hAnsi="Arial" w:eastAsia="Arial" w:cs="Arial"/>
      <w:b/>
      <w:bCs/>
      <w:i/>
      <w:iCs/>
      <w:sz w:val="22"/>
      <w:szCs w:val="22"/>
    </w:rPr>
  </w:style>
  <w:style w:type="character" w:styleId="750" w:customStyle="1">
    <w:name w:val="Heading 8 Char"/>
    <w:link w:val="716"/>
    <w:uiPriority w:val="9"/>
    <w:qFormat/>
    <w:rPr>
      <w:rFonts w:ascii="Arial" w:hAnsi="Arial" w:eastAsia="Arial" w:cs="Arial"/>
      <w:i/>
      <w:iCs/>
      <w:sz w:val="22"/>
      <w:szCs w:val="22"/>
    </w:rPr>
  </w:style>
  <w:style w:type="character" w:styleId="751" w:customStyle="1">
    <w:name w:val="Heading 9 Char"/>
    <w:link w:val="717"/>
    <w:uiPriority w:val="9"/>
    <w:qFormat/>
    <w:rPr>
      <w:rFonts w:ascii="Arial" w:hAnsi="Arial" w:eastAsia="Arial" w:cs="Arial"/>
      <w:i/>
      <w:iCs/>
      <w:sz w:val="21"/>
      <w:szCs w:val="21"/>
    </w:rPr>
  </w:style>
  <w:style w:type="paragraph" w:styleId="752">
    <w:name w:val="List Paragraph"/>
    <w:basedOn w:val="708"/>
    <w:uiPriority w:val="34"/>
    <w:qFormat/>
    <w:pPr>
      <w:contextualSpacing/>
      <w:ind w:left="720"/>
    </w:pPr>
  </w:style>
  <w:style w:type="paragraph" w:styleId="753">
    <w:name w:val="No Spacing"/>
    <w:uiPriority w:val="1"/>
    <w:qFormat/>
    <w:pPr>
      <w:spacing w:before="0" w:after="0" w:line="240" w:lineRule="auto"/>
    </w:pPr>
    <w:rPr>
      <w:rFonts w:hint="default" w:ascii="Calibri" w:hAnsi="Calibri" w:eastAsia="宋体" w:cs="Times New Roman"/>
    </w:rPr>
  </w:style>
  <w:style w:type="character" w:styleId="754" w:customStyle="1">
    <w:name w:val="Title Char"/>
    <w:link w:val="738"/>
    <w:uiPriority w:val="10"/>
    <w:qFormat/>
    <w:rPr>
      <w:sz w:val="48"/>
      <w:szCs w:val="48"/>
    </w:rPr>
  </w:style>
  <w:style w:type="character" w:styleId="755" w:customStyle="1">
    <w:name w:val="Subtitle Char"/>
    <w:link w:val="732"/>
    <w:uiPriority w:val="11"/>
    <w:qFormat/>
    <w:rPr>
      <w:sz w:val="24"/>
      <w:szCs w:val="24"/>
    </w:rPr>
  </w:style>
  <w:style w:type="paragraph" w:styleId="756">
    <w:name w:val="Quote"/>
    <w:basedOn w:val="708"/>
    <w:next w:val="708"/>
    <w:link w:val="757"/>
    <w:uiPriority w:val="29"/>
    <w:qFormat/>
    <w:pPr>
      <w:ind w:left="720" w:right="720"/>
    </w:pPr>
    <w:rPr>
      <w:i/>
    </w:rPr>
  </w:style>
  <w:style w:type="character" w:styleId="757" w:customStyle="1">
    <w:name w:val="Quote Char"/>
    <w:link w:val="756"/>
    <w:uiPriority w:val="29"/>
    <w:qFormat/>
    <w:rPr>
      <w:i/>
    </w:rPr>
  </w:style>
  <w:style w:type="paragraph" w:styleId="758">
    <w:name w:val="Intense Quote"/>
    <w:basedOn w:val="708"/>
    <w:next w:val="708"/>
    <w:link w:val="7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9" w:customStyle="1">
    <w:name w:val="Intense Quote Char"/>
    <w:link w:val="758"/>
    <w:uiPriority w:val="30"/>
    <w:qFormat/>
    <w:rPr>
      <w:i/>
    </w:rPr>
  </w:style>
  <w:style w:type="character" w:styleId="760" w:customStyle="1">
    <w:name w:val="Header Char"/>
    <w:link w:val="729"/>
    <w:uiPriority w:val="99"/>
    <w:qFormat/>
  </w:style>
  <w:style w:type="character" w:styleId="761" w:customStyle="1">
    <w:name w:val="Footer Char"/>
    <w:link w:val="728"/>
    <w:uiPriority w:val="99"/>
    <w:qFormat/>
  </w:style>
  <w:style w:type="character" w:styleId="762" w:customStyle="1">
    <w:name w:val="Caption Char"/>
    <w:link w:val="728"/>
    <w:uiPriority w:val="99"/>
    <w:qFormat/>
  </w:style>
  <w:style w:type="table" w:styleId="76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6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0" w:customStyle="1">
    <w:name w:val="List Table 7 Colorful"/>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1" w:customStyle="1">
    <w:name w:val="List Table 7 Colorful - Accent 1"/>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2" w:customStyle="1">
    <w:name w:val="List Table 7 Colorful - Accent 2"/>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3" w:customStyle="1">
    <w:name w:val="List Table 7 Colorful - Accent 3"/>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4" w:customStyle="1">
    <w:name w:val="List Table 7 Colorful - Accent 4"/>
    <w:uiPriority w:val="99"/>
    <w:qFormat/>
    <w:pPr>
      <w:spacing w:after="0" w:line="240" w:lineRule="auto"/>
    </w:pPr>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5" w:customStyle="1">
    <w:name w:val="List Table 7 Colorful - Accent 5"/>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6" w:customStyle="1">
    <w:name w:val="List Table 7 Colorful - Accent 6"/>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8" w:customStyle="1">
    <w:name w:val="Footnote Text Char"/>
    <w:link w:val="733"/>
    <w:uiPriority w:val="99"/>
    <w:qFormat/>
    <w:rPr>
      <w:sz w:val="18"/>
    </w:rPr>
  </w:style>
  <w:style w:type="character" w:styleId="889" w:customStyle="1">
    <w:name w:val="Endnote Text Char"/>
    <w:link w:val="727"/>
    <w:uiPriority w:val="99"/>
    <w:qFormat/>
    <w:rPr>
      <w:sz w:val="20"/>
    </w:rPr>
  </w:style>
  <w:style w:type="paragraph" w:styleId="890" w:customStyle="1">
    <w:name w:val="TOC Heading"/>
    <w:uiPriority w:val="39"/>
    <w:unhideWhenUsed/>
    <w:qFormat/>
    <w:rPr>
      <w:rFonts w:hint="default" w:ascii="Calibri" w:hAnsi="Calibri" w:eastAsia="宋体" w:cs="Times New Roman"/>
    </w:rPr>
  </w:style>
  <w:style w:type="paragraph" w:styleId="891" w:customStyle="1">
    <w:name w:val="标题 11"/>
    <w:basedOn w:val="708"/>
    <w:next w:val="708"/>
    <w:link w:val="916"/>
    <w:uiPriority w:val="0"/>
    <w:qFormat/>
    <w:pPr>
      <w:jc w:val="center"/>
      <w:keepNext/>
      <w:outlineLvl w:val="0"/>
    </w:pPr>
    <w:rPr>
      <w:rFonts w:ascii="楷体_GB2312" w:hAnsi="Times New Roman" w:eastAsia="楷体_GB2312" w:cs="Times New Roman"/>
      <w:sz w:val="28"/>
      <w:szCs w:val="28"/>
    </w:rPr>
  </w:style>
  <w:style w:type="paragraph" w:styleId="892" w:customStyle="1">
    <w:name w:val="标题 21"/>
    <w:basedOn w:val="708"/>
    <w:next w:val="893"/>
    <w:link w:val="90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93" w:customStyle="1">
    <w:name w:val="正文缩进1"/>
    <w:basedOn w:val="708"/>
    <w:link w:val="906"/>
    <w:uiPriority w:val="0"/>
    <w:qFormat/>
    <w:pPr>
      <w:ind w:firstLine="420"/>
    </w:pPr>
    <w:rPr>
      <w:szCs w:val="21"/>
    </w:rPr>
  </w:style>
  <w:style w:type="paragraph" w:styleId="894" w:customStyle="1">
    <w:name w:val="标题 31"/>
    <w:basedOn w:val="708"/>
    <w:next w:val="893"/>
    <w:link w:val="931"/>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95" w:customStyle="1">
    <w:name w:val="标题 41"/>
    <w:basedOn w:val="708"/>
    <w:next w:val="893"/>
    <w:link w:val="932"/>
    <w:uiPriority w:val="0"/>
    <w:qFormat/>
    <w:pPr>
      <w:keepLines/>
      <w:keepNext/>
      <w:spacing w:before="280" w:after="290" w:line="376" w:lineRule="auto"/>
      <w:outlineLvl w:val="3"/>
    </w:pPr>
    <w:rPr>
      <w:rFonts w:ascii="Arial" w:hAnsi="Arial" w:eastAsia="黑体" w:cs="Arial"/>
      <w:b/>
      <w:bCs/>
      <w:sz w:val="28"/>
      <w:szCs w:val="28"/>
    </w:rPr>
  </w:style>
  <w:style w:type="paragraph" w:styleId="896" w:customStyle="1">
    <w:name w:val="标题 51"/>
    <w:basedOn w:val="708"/>
    <w:next w:val="893"/>
    <w:link w:val="933"/>
    <w:uiPriority w:val="0"/>
    <w:qFormat/>
    <w:pPr>
      <w:keepNext/>
      <w:outlineLvl w:val="4"/>
    </w:pPr>
    <w:rPr>
      <w:rFonts w:ascii="宋体" w:hAnsi="Times New Roman" w:eastAsia="宋体" w:cs="Times New Roman"/>
      <w:color w:val="000000"/>
      <w:sz w:val="28"/>
      <w:szCs w:val="28"/>
    </w:rPr>
  </w:style>
  <w:style w:type="paragraph" w:styleId="897" w:customStyle="1">
    <w:name w:val="标题 61"/>
    <w:basedOn w:val="708"/>
    <w:next w:val="708"/>
    <w:link w:val="919"/>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98" w:customStyle="1">
    <w:name w:val="标题 71"/>
    <w:basedOn w:val="708"/>
    <w:next w:val="708"/>
    <w:link w:val="934"/>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99" w:customStyle="1">
    <w:name w:val="标题 81"/>
    <w:basedOn w:val="708"/>
    <w:next w:val="708"/>
    <w:link w:val="908"/>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00" w:customStyle="1">
    <w:name w:val="标题 91"/>
    <w:basedOn w:val="708"/>
    <w:next w:val="708"/>
    <w:link w:val="935"/>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01" w:customStyle="1">
    <w:name w:val="默认段落字体1"/>
    <w:link w:val="708"/>
    <w:uiPriority w:val="1"/>
    <w:unhideWhenUsed/>
    <w:qFormat/>
  </w:style>
  <w:style w:type="table" w:styleId="902" w:customStyle="1">
    <w:name w:val="普通表格1"/>
    <w:uiPriority w:val="99"/>
    <w:unhideWhenUsed/>
    <w:qFormat/>
    <w:tblPr/>
  </w:style>
  <w:style w:type="character" w:styleId="903" w:customStyle="1">
    <w:name w:val="要点1"/>
    <w:basedOn w:val="901"/>
    <w:link w:val="708"/>
    <w:uiPriority w:val="0"/>
    <w:qFormat/>
    <w:rPr>
      <w:b/>
      <w:bCs/>
    </w:rPr>
  </w:style>
  <w:style w:type="character" w:styleId="904" w:customStyle="1">
    <w:name w:val="标题 2 Char"/>
    <w:link w:val="892"/>
    <w:uiPriority w:val="0"/>
    <w:qFormat/>
    <w:rPr>
      <w:rFonts w:ascii="Arial" w:hAnsi="Arial" w:eastAsia="幼圆" w:cs="Arial"/>
      <w:b/>
      <w:bCs/>
      <w:sz w:val="44"/>
      <w:szCs w:val="44"/>
    </w:rPr>
  </w:style>
  <w:style w:type="character" w:styleId="905" w:customStyle="1">
    <w:name w:val="页码1"/>
    <w:link w:val="708"/>
    <w:uiPriority w:val="0"/>
    <w:qFormat/>
  </w:style>
  <w:style w:type="character" w:styleId="906" w:customStyle="1">
    <w:name w:val="正文缩进 Char"/>
    <w:link w:val="893"/>
    <w:uiPriority w:val="0"/>
    <w:qFormat/>
    <w:rPr>
      <w:szCs w:val="21"/>
    </w:rPr>
  </w:style>
  <w:style w:type="character" w:styleId="907" w:customStyle="1">
    <w:name w:val="已访问的超链接1"/>
    <w:link w:val="708"/>
    <w:uiPriority w:val="0"/>
    <w:qFormat/>
    <w:rPr>
      <w:color w:val="800080"/>
      <w:u w:val="single"/>
    </w:rPr>
  </w:style>
  <w:style w:type="character" w:styleId="908" w:customStyle="1">
    <w:name w:val="标题 8 Char"/>
    <w:link w:val="899"/>
    <w:uiPriority w:val="0"/>
    <w:qFormat/>
    <w:rPr>
      <w:rFonts w:ascii="Arial" w:hAnsi="Arial" w:eastAsia="黑体" w:cs="Times New Roman"/>
      <w:sz w:val="24"/>
      <w:szCs w:val="24"/>
    </w:rPr>
  </w:style>
  <w:style w:type="character" w:styleId="909" w:customStyle="1">
    <w:name w:val="超链接1"/>
    <w:link w:val="708"/>
    <w:uiPriority w:val="0"/>
    <w:qFormat/>
    <w:rPr>
      <w:color w:val="0000ff"/>
      <w:u w:val="single"/>
    </w:rPr>
  </w:style>
  <w:style w:type="character" w:styleId="910" w:customStyle="1">
    <w:name w:val="强调1"/>
    <w:basedOn w:val="901"/>
    <w:link w:val="708"/>
    <w:uiPriority w:val="0"/>
    <w:qFormat/>
    <w:rPr>
      <w:i/>
    </w:rPr>
  </w:style>
  <w:style w:type="character" w:styleId="911" w:customStyle="1">
    <w:name w:val="正文文本缩进 3 Char"/>
    <w:link w:val="912"/>
    <w:uiPriority w:val="0"/>
    <w:qFormat/>
    <w:rPr>
      <w:rFonts w:ascii="Arial" w:hAnsi="Arial" w:eastAsia="仿宋_GB2312" w:cs="Arial"/>
      <w:color w:val="ffff00"/>
      <w:sz w:val="32"/>
      <w:szCs w:val="32"/>
    </w:rPr>
  </w:style>
  <w:style w:type="paragraph" w:styleId="912" w:customStyle="1">
    <w:name w:val="正文文本缩进 31"/>
    <w:basedOn w:val="708"/>
    <w:link w:val="911"/>
    <w:uiPriority w:val="0"/>
    <w:qFormat/>
    <w:pPr>
      <w:ind w:left="645" w:firstLine="645"/>
    </w:pPr>
    <w:rPr>
      <w:rFonts w:ascii="Arial" w:hAnsi="Arial" w:eastAsia="仿宋_GB2312" w:cs="Arial"/>
      <w:color w:val="ffff00"/>
      <w:sz w:val="32"/>
      <w:szCs w:val="32"/>
    </w:rPr>
  </w:style>
  <w:style w:type="character" w:styleId="913" w:customStyle="1">
    <w:name w:val="批注引用1"/>
    <w:link w:val="708"/>
    <w:uiPriority w:val="0"/>
    <w:semiHidden/>
    <w:qFormat/>
    <w:rPr>
      <w:sz w:val="21"/>
      <w:szCs w:val="21"/>
    </w:rPr>
  </w:style>
  <w:style w:type="character" w:styleId="914" w:customStyle="1">
    <w:name w:val="正文首行缩进 Char"/>
    <w:link w:val="915"/>
    <w:uiPriority w:val="0"/>
    <w:qFormat/>
    <w:rPr>
      <w:rFonts w:ascii="仿宋_GB2312" w:hAnsi="Times New Roman" w:eastAsia="仿宋_GB2312" w:cs="Times New Roman"/>
      <w:sz w:val="30"/>
      <w:szCs w:val="30"/>
    </w:rPr>
  </w:style>
  <w:style w:type="paragraph" w:styleId="915" w:customStyle="1">
    <w:name w:val="正文首行缩进1"/>
    <w:basedOn w:val="708"/>
    <w:link w:val="914"/>
    <w:uiPriority w:val="0"/>
    <w:qFormat/>
    <w:pPr>
      <w:ind w:firstLine="200"/>
      <w:spacing w:line="360" w:lineRule="auto"/>
    </w:pPr>
    <w:rPr>
      <w:rFonts w:ascii="仿宋_GB2312" w:hAnsi="Times New Roman" w:eastAsia="仿宋_GB2312" w:cs="Times New Roman"/>
      <w:sz w:val="30"/>
      <w:szCs w:val="30"/>
    </w:rPr>
  </w:style>
  <w:style w:type="character" w:styleId="916" w:customStyle="1">
    <w:name w:val="标题 1 Char"/>
    <w:link w:val="891"/>
    <w:uiPriority w:val="0"/>
    <w:qFormat/>
    <w:rPr>
      <w:rFonts w:ascii="楷体_GB2312" w:hAnsi="Times New Roman" w:eastAsia="楷体_GB2312" w:cs="Times New Roman"/>
      <w:sz w:val="28"/>
      <w:szCs w:val="28"/>
    </w:rPr>
  </w:style>
  <w:style w:type="character" w:styleId="917" w:customStyle="1">
    <w:name w:val="页脚 Char"/>
    <w:link w:val="918"/>
    <w:uiPriority w:val="99"/>
    <w:qFormat/>
    <w:rPr>
      <w:rFonts w:ascii="Times New Roman" w:hAnsi="Times New Roman" w:eastAsia="宋体" w:cs="Times New Roman"/>
      <w:sz w:val="18"/>
      <w:szCs w:val="18"/>
    </w:rPr>
  </w:style>
  <w:style w:type="paragraph" w:styleId="918" w:customStyle="1">
    <w:name w:val="页脚1"/>
    <w:basedOn w:val="708"/>
    <w:link w:val="917"/>
    <w:uiPriority w:val="99"/>
    <w:qFormat/>
    <w:pPr>
      <w:jc w:val="left"/>
      <w:tabs>
        <w:tab w:val="center" w:pos="4153" w:leader="none"/>
        <w:tab w:val="right" w:pos="8306" w:leader="none"/>
      </w:tabs>
    </w:pPr>
    <w:rPr>
      <w:rFonts w:ascii="Times New Roman" w:hAnsi="Times New Roman" w:eastAsia="宋体" w:cs="Times New Roman"/>
      <w:sz w:val="18"/>
      <w:szCs w:val="18"/>
    </w:rPr>
  </w:style>
  <w:style w:type="character" w:styleId="919" w:customStyle="1">
    <w:name w:val="标题 6 Char"/>
    <w:link w:val="897"/>
    <w:uiPriority w:val="0"/>
    <w:qFormat/>
    <w:rPr>
      <w:rFonts w:ascii="Arial" w:hAnsi="Arial" w:eastAsia="黑体" w:cs="Times New Roman"/>
      <w:b/>
      <w:bCs/>
      <w:sz w:val="24"/>
      <w:szCs w:val="24"/>
    </w:rPr>
  </w:style>
  <w:style w:type="character" w:styleId="920" w:customStyle="1">
    <w:name w:val="批注文字 Char"/>
    <w:link w:val="921"/>
    <w:uiPriority w:val="99"/>
    <w:semiHidden/>
    <w:qFormat/>
  </w:style>
  <w:style w:type="paragraph" w:styleId="921" w:customStyle="1">
    <w:name w:val="批注文字1"/>
    <w:basedOn w:val="708"/>
    <w:link w:val="920"/>
    <w:uiPriority w:val="0"/>
    <w:unhideWhenUsed/>
    <w:qFormat/>
    <w:pPr>
      <w:jc w:val="left"/>
    </w:pPr>
  </w:style>
  <w:style w:type="character" w:styleId="922" w:customStyle="1">
    <w:name w:val="批注框文本 Char"/>
    <w:link w:val="923"/>
    <w:uiPriority w:val="0"/>
    <w:semiHidden/>
    <w:qFormat/>
    <w:rPr>
      <w:rFonts w:ascii="Times New Roman" w:hAnsi="Times New Roman" w:eastAsia="宋体" w:cs="Times New Roman"/>
      <w:sz w:val="18"/>
      <w:szCs w:val="18"/>
    </w:rPr>
  </w:style>
  <w:style w:type="paragraph" w:styleId="923" w:customStyle="1">
    <w:name w:val="批注框文本1"/>
    <w:basedOn w:val="708"/>
    <w:link w:val="922"/>
    <w:uiPriority w:val="0"/>
    <w:semiHidden/>
    <w:qFormat/>
    <w:rPr>
      <w:rFonts w:ascii="Times New Roman" w:hAnsi="Times New Roman" w:eastAsia="宋体" w:cs="Times New Roman"/>
      <w:sz w:val="18"/>
      <w:szCs w:val="18"/>
    </w:rPr>
  </w:style>
  <w:style w:type="character" w:styleId="924" w:customStyle="1">
    <w:name w:val="font71"/>
    <w:basedOn w:val="901"/>
    <w:link w:val="708"/>
    <w:uiPriority w:val="0"/>
    <w:qFormat/>
    <w:rPr>
      <w:rFonts w:hint="eastAsia" w:ascii="宋体" w:hAnsi="宋体" w:eastAsia="宋体" w:cs="宋体"/>
      <w:color w:val="ff0000"/>
      <w:sz w:val="22"/>
      <w:szCs w:val="22"/>
      <w:u w:val="none"/>
    </w:rPr>
  </w:style>
  <w:style w:type="character" w:styleId="925" w:customStyle="1">
    <w:name w:val="正文文本 Char"/>
    <w:link w:val="926"/>
    <w:uiPriority w:val="0"/>
    <w:qFormat/>
    <w:rPr>
      <w:rFonts w:ascii="楷体_GB2312" w:hAnsi="Arial" w:eastAsia="楷体_GB2312" w:cs="Times New Roman"/>
      <w:sz w:val="28"/>
      <w:szCs w:val="28"/>
    </w:rPr>
  </w:style>
  <w:style w:type="paragraph" w:styleId="926" w:customStyle="1">
    <w:name w:val="正文文本1"/>
    <w:basedOn w:val="708"/>
    <w:link w:val="925"/>
    <w:uiPriority w:val="0"/>
    <w:qFormat/>
    <w:rPr>
      <w:rFonts w:ascii="楷体_GB2312" w:hAnsi="Arial" w:eastAsia="楷体_GB2312" w:cs="Times New Roman"/>
      <w:sz w:val="28"/>
      <w:szCs w:val="28"/>
    </w:rPr>
  </w:style>
  <w:style w:type="character" w:styleId="927" w:customStyle="1">
    <w:name w:val="列出段落 Char"/>
    <w:link w:val="928"/>
    <w:uiPriority w:val="0"/>
    <w:qFormat/>
    <w:rPr>
      <w:rFonts w:ascii="Calibri" w:hAnsi="Calibri"/>
      <w:sz w:val="24"/>
      <w:szCs w:val="24"/>
      <w:lang w:eastAsia="en-US" w:bidi="en-US"/>
    </w:rPr>
  </w:style>
  <w:style w:type="paragraph" w:styleId="928" w:customStyle="1">
    <w:name w:val="列出段落1"/>
    <w:basedOn w:val="708"/>
    <w:link w:val="927"/>
    <w:uiPriority w:val="0"/>
    <w:qFormat/>
    <w:pPr>
      <w:contextualSpacing/>
      <w:ind w:left="720"/>
      <w:jc w:val="left"/>
      <w:widowControl/>
    </w:pPr>
    <w:rPr>
      <w:rFonts w:ascii="Calibri" w:hAnsi="Calibri"/>
      <w:sz w:val="24"/>
      <w:szCs w:val="24"/>
      <w:lang w:eastAsia="en-US" w:bidi="en-US"/>
    </w:rPr>
  </w:style>
  <w:style w:type="character" w:styleId="929" w:customStyle="1">
    <w:name w:val="纯文本 Char"/>
    <w:link w:val="930"/>
    <w:uiPriority w:val="0"/>
    <w:qFormat/>
    <w:rPr>
      <w:rFonts w:ascii="宋体" w:hAnsi="Courier New" w:eastAsia="宋体" w:cs="Courier New"/>
      <w:szCs w:val="21"/>
    </w:rPr>
  </w:style>
  <w:style w:type="paragraph" w:styleId="930" w:customStyle="1">
    <w:name w:val="纯文本1"/>
    <w:basedOn w:val="708"/>
    <w:link w:val="929"/>
    <w:uiPriority w:val="0"/>
    <w:qFormat/>
    <w:rPr>
      <w:rFonts w:ascii="宋体" w:hAnsi="Courier New" w:eastAsia="宋体" w:cs="Courier New"/>
      <w:szCs w:val="21"/>
    </w:rPr>
  </w:style>
  <w:style w:type="character" w:styleId="931" w:customStyle="1">
    <w:name w:val="标题 3 Char"/>
    <w:link w:val="894"/>
    <w:uiPriority w:val="0"/>
    <w:qFormat/>
    <w:rPr>
      <w:rFonts w:ascii="Times New Roman" w:hAnsi="Times New Roman" w:eastAsia="宋体" w:cs="Times New Roman"/>
      <w:b/>
      <w:bCs/>
      <w:sz w:val="32"/>
      <w:szCs w:val="32"/>
    </w:rPr>
  </w:style>
  <w:style w:type="character" w:styleId="932" w:customStyle="1">
    <w:name w:val="标题 4 Char"/>
    <w:link w:val="895"/>
    <w:uiPriority w:val="0"/>
    <w:qFormat/>
    <w:rPr>
      <w:rFonts w:ascii="Arial" w:hAnsi="Arial" w:eastAsia="黑体" w:cs="Arial"/>
      <w:b/>
      <w:bCs/>
      <w:sz w:val="28"/>
      <w:szCs w:val="28"/>
    </w:rPr>
  </w:style>
  <w:style w:type="character" w:styleId="933" w:customStyle="1">
    <w:name w:val="标题 5 Char"/>
    <w:link w:val="896"/>
    <w:uiPriority w:val="0"/>
    <w:qFormat/>
    <w:rPr>
      <w:rFonts w:ascii="宋体" w:hAnsi="Times New Roman" w:eastAsia="宋体" w:cs="Times New Roman"/>
      <w:color w:val="000000"/>
      <w:sz w:val="28"/>
      <w:szCs w:val="28"/>
    </w:rPr>
  </w:style>
  <w:style w:type="character" w:styleId="934" w:customStyle="1">
    <w:name w:val="标题 7 Char"/>
    <w:link w:val="898"/>
    <w:uiPriority w:val="0"/>
    <w:qFormat/>
    <w:rPr>
      <w:rFonts w:ascii="Times New Roman" w:hAnsi="Times New Roman" w:eastAsia="宋体" w:cs="Times New Roman"/>
      <w:b/>
      <w:bCs/>
      <w:sz w:val="24"/>
      <w:szCs w:val="24"/>
    </w:rPr>
  </w:style>
  <w:style w:type="character" w:styleId="935" w:customStyle="1">
    <w:name w:val="标题 9 Char"/>
    <w:link w:val="900"/>
    <w:uiPriority w:val="0"/>
    <w:qFormat/>
    <w:rPr>
      <w:rFonts w:ascii="Arial" w:hAnsi="Arial" w:eastAsia="黑体" w:cs="Times New Roman"/>
      <w:szCs w:val="21"/>
    </w:rPr>
  </w:style>
  <w:style w:type="character" w:styleId="936" w:customStyle="1">
    <w:name w:val="文档结构图 Char"/>
    <w:link w:val="937"/>
    <w:uiPriority w:val="0"/>
    <w:semiHidden/>
    <w:qFormat/>
    <w:rPr>
      <w:rFonts w:ascii="Times New Roman" w:hAnsi="Times New Roman" w:eastAsia="宋体" w:cs="Times New Roman"/>
      <w:szCs w:val="21"/>
      <w:shd w:val="clear" w:color="auto" w:fill="000080"/>
    </w:rPr>
  </w:style>
  <w:style w:type="paragraph" w:styleId="937" w:customStyle="1">
    <w:name w:val="文档结构图1"/>
    <w:basedOn w:val="708"/>
    <w:link w:val="936"/>
    <w:uiPriority w:val="0"/>
    <w:semiHidden/>
    <w:qFormat/>
    <w:pPr>
      <w:shd w:val="clear" w:color="auto" w:fill="000080"/>
    </w:pPr>
    <w:rPr>
      <w:rFonts w:ascii="Times New Roman" w:hAnsi="Times New Roman" w:eastAsia="宋体" w:cs="Times New Roman"/>
      <w:szCs w:val="21"/>
    </w:rPr>
  </w:style>
  <w:style w:type="character" w:styleId="938" w:customStyle="1">
    <w:name w:val="正文文本 3 Char"/>
    <w:link w:val="939"/>
    <w:uiPriority w:val="0"/>
    <w:qFormat/>
    <w:rPr>
      <w:rFonts w:ascii="仿宋_GB2312" w:hAnsi="Arial" w:eastAsia="仿宋_GB2312" w:cs="Times New Roman"/>
      <w:sz w:val="32"/>
      <w:szCs w:val="32"/>
    </w:rPr>
  </w:style>
  <w:style w:type="paragraph" w:styleId="939" w:customStyle="1">
    <w:name w:val="正文文本 31"/>
    <w:basedOn w:val="708"/>
    <w:link w:val="938"/>
    <w:uiPriority w:val="0"/>
    <w:qFormat/>
    <w:rPr>
      <w:rFonts w:ascii="仿宋_GB2312" w:hAnsi="Arial" w:eastAsia="仿宋_GB2312" w:cs="Times New Roman"/>
      <w:sz w:val="32"/>
      <w:szCs w:val="32"/>
    </w:rPr>
  </w:style>
  <w:style w:type="character" w:styleId="940" w:customStyle="1">
    <w:name w:val="正文文本缩进 Char"/>
    <w:link w:val="941"/>
    <w:uiPriority w:val="99"/>
    <w:semiHidden/>
    <w:qFormat/>
  </w:style>
  <w:style w:type="paragraph" w:styleId="941" w:customStyle="1">
    <w:name w:val="正文文本缩进1"/>
    <w:basedOn w:val="708"/>
    <w:link w:val="940"/>
    <w:uiPriority w:val="0"/>
    <w:unhideWhenUsed/>
    <w:qFormat/>
    <w:pPr>
      <w:ind w:left="420"/>
      <w:spacing w:after="120"/>
    </w:pPr>
  </w:style>
  <w:style w:type="character" w:styleId="942" w:customStyle="1">
    <w:name w:val="日期 Char"/>
    <w:link w:val="943"/>
    <w:uiPriority w:val="0"/>
    <w:qFormat/>
    <w:rPr>
      <w:rFonts w:ascii="Times New Roman" w:hAnsi="Times New Roman" w:eastAsia="宋体" w:cs="Times New Roman"/>
      <w:sz w:val="24"/>
      <w:szCs w:val="24"/>
    </w:rPr>
  </w:style>
  <w:style w:type="paragraph" w:styleId="943" w:customStyle="1">
    <w:name w:val="日期1"/>
    <w:basedOn w:val="708"/>
    <w:next w:val="708"/>
    <w:link w:val="942"/>
    <w:uiPriority w:val="0"/>
    <w:qFormat/>
    <w:rPr>
      <w:rFonts w:ascii="Times New Roman" w:hAnsi="Times New Roman" w:eastAsia="宋体" w:cs="Times New Roman"/>
      <w:sz w:val="24"/>
      <w:szCs w:val="24"/>
    </w:rPr>
  </w:style>
  <w:style w:type="character" w:styleId="944" w:customStyle="1">
    <w:name w:val="正文文本缩进 2 Char"/>
    <w:link w:val="945"/>
    <w:uiPriority w:val="0"/>
    <w:qFormat/>
    <w:rPr>
      <w:rFonts w:ascii="Arial" w:hAnsi="Arial" w:eastAsia="仿宋_GB2312" w:cs="Arial"/>
      <w:sz w:val="32"/>
      <w:szCs w:val="32"/>
    </w:rPr>
  </w:style>
  <w:style w:type="paragraph" w:styleId="945" w:customStyle="1">
    <w:name w:val="正文文本缩进 21"/>
    <w:basedOn w:val="708"/>
    <w:link w:val="944"/>
    <w:uiPriority w:val="0"/>
    <w:qFormat/>
    <w:pPr>
      <w:ind w:left="630" w:firstLine="645"/>
    </w:pPr>
    <w:rPr>
      <w:rFonts w:ascii="Arial" w:hAnsi="Arial" w:eastAsia="仿宋_GB2312" w:cs="Arial"/>
      <w:sz w:val="32"/>
      <w:szCs w:val="32"/>
    </w:rPr>
  </w:style>
  <w:style w:type="character" w:styleId="946" w:customStyle="1">
    <w:name w:val="页眉 Char"/>
    <w:link w:val="947"/>
    <w:uiPriority w:val="0"/>
    <w:qFormat/>
    <w:rPr>
      <w:rFonts w:ascii="Times New Roman" w:hAnsi="Times New Roman" w:eastAsia="宋体" w:cs="Times New Roman"/>
      <w:sz w:val="18"/>
      <w:szCs w:val="18"/>
    </w:rPr>
  </w:style>
  <w:style w:type="paragraph" w:styleId="947" w:customStyle="1">
    <w:name w:val="页眉1"/>
    <w:basedOn w:val="708"/>
    <w:link w:val="946"/>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48" w:customStyle="1">
    <w:name w:val="正文文本 2 Char"/>
    <w:link w:val="949"/>
    <w:uiPriority w:val="0"/>
    <w:qFormat/>
    <w:rPr>
      <w:rFonts w:ascii="楷体_GB2312" w:hAnsi="Times New Roman" w:eastAsia="楷体_GB2312" w:cs="Times New Roman"/>
      <w:sz w:val="28"/>
      <w:szCs w:val="28"/>
    </w:rPr>
  </w:style>
  <w:style w:type="paragraph" w:styleId="949" w:customStyle="1">
    <w:name w:val="正文文本 21"/>
    <w:basedOn w:val="708"/>
    <w:link w:val="948"/>
    <w:uiPriority w:val="0"/>
    <w:qFormat/>
    <w:pPr>
      <w:jc w:val="center"/>
      <w:widowControl/>
    </w:pPr>
    <w:rPr>
      <w:rFonts w:ascii="楷体_GB2312" w:hAnsi="Times New Roman" w:eastAsia="楷体_GB2312" w:cs="Times New Roman"/>
      <w:sz w:val="28"/>
      <w:szCs w:val="28"/>
    </w:rPr>
  </w:style>
  <w:style w:type="character" w:styleId="950" w:customStyle="1">
    <w:name w:val="批注主题 Char"/>
    <w:link w:val="951"/>
    <w:uiPriority w:val="0"/>
    <w:semiHidden/>
    <w:qFormat/>
    <w:rPr>
      <w:rFonts w:ascii="Times New Roman" w:hAnsi="Times New Roman" w:eastAsia="宋体" w:cs="Times New Roman"/>
      <w:b/>
      <w:bCs/>
      <w:szCs w:val="21"/>
    </w:rPr>
  </w:style>
  <w:style w:type="paragraph" w:styleId="951" w:customStyle="1">
    <w:name w:val="批注主题1"/>
    <w:basedOn w:val="921"/>
    <w:next w:val="921"/>
    <w:link w:val="950"/>
    <w:uiPriority w:val="0"/>
    <w:semiHidden/>
    <w:qFormat/>
    <w:rPr>
      <w:rFonts w:ascii="Times New Roman" w:hAnsi="Times New Roman" w:eastAsia="宋体" w:cs="Times New Roman"/>
      <w:b/>
      <w:bCs/>
      <w:szCs w:val="21"/>
    </w:rPr>
  </w:style>
  <w:style w:type="character" w:styleId="952" w:customStyle="1">
    <w:name w:val="正文首行缩进 2 Char"/>
    <w:link w:val="953"/>
    <w:uiPriority w:val="0"/>
    <w:qFormat/>
    <w:rPr>
      <w:rFonts w:ascii="宋体" w:hAnsi="宋体" w:eastAsia="宋体" w:cs="Times New Roman"/>
      <w:szCs w:val="20"/>
    </w:rPr>
  </w:style>
  <w:style w:type="paragraph" w:styleId="953" w:customStyle="1">
    <w:name w:val="正文首行缩进 21"/>
    <w:basedOn w:val="941"/>
    <w:link w:val="952"/>
    <w:uiPriority w:val="0"/>
    <w:qFormat/>
    <w:pPr>
      <w:ind w:left="0" w:firstLine="420"/>
      <w:spacing w:after="0" w:line="360" w:lineRule="auto"/>
    </w:pPr>
    <w:rPr>
      <w:rFonts w:ascii="宋体" w:hAnsi="宋体" w:eastAsia="宋体" w:cs="Times New Roman"/>
      <w:szCs w:val="20"/>
    </w:rPr>
  </w:style>
  <w:style w:type="character" w:styleId="954" w:customStyle="1">
    <w:name w:val="font5 Char"/>
    <w:link w:val="708"/>
    <w:uiPriority w:val="0"/>
    <w:qFormat/>
    <w:rPr>
      <w:rFonts w:ascii="宋体" w:hAnsi="宋体" w:eastAsia="宋体"/>
      <w:sz w:val="28"/>
      <w:szCs w:val="28"/>
      <w:lang w:val="en-US" w:eastAsia="zh-CN" w:bidi="ar-SA"/>
    </w:rPr>
  </w:style>
  <w:style w:type="character" w:styleId="955" w:customStyle="1">
    <w:name w:val="二级目录 Char"/>
    <w:link w:val="956"/>
    <w:uiPriority w:val="0"/>
    <w:qFormat/>
    <w:rPr>
      <w:b/>
      <w:sz w:val="30"/>
      <w:szCs w:val="28"/>
    </w:rPr>
  </w:style>
  <w:style w:type="paragraph" w:styleId="956" w:customStyle="1">
    <w:name w:val="二级目录"/>
    <w:next w:val="708"/>
    <w:link w:val="955"/>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957" w:customStyle="1">
    <w:name w:val="font11"/>
    <w:basedOn w:val="901"/>
    <w:link w:val="708"/>
    <w:uiPriority w:val="0"/>
    <w:qFormat/>
    <w:rPr>
      <w:rFonts w:hint="eastAsia" w:ascii="宋体" w:hAnsi="宋体" w:eastAsia="宋体" w:cs="宋体"/>
      <w:color w:val="000000"/>
      <w:sz w:val="22"/>
      <w:szCs w:val="22"/>
      <w:u w:val="none"/>
    </w:rPr>
  </w:style>
  <w:style w:type="paragraph" w:styleId="958" w:customStyle="1">
    <w:name w:val="列表 21"/>
    <w:basedOn w:val="708"/>
    <w:uiPriority w:val="0"/>
    <w:qFormat/>
    <w:pPr>
      <w:ind w:left="100" w:hanging="200"/>
    </w:pPr>
    <w:rPr>
      <w:rFonts w:ascii="Times New Roman" w:hAnsi="Times New Roman" w:eastAsia="宋体" w:cs="Times New Roman"/>
      <w:szCs w:val="21"/>
    </w:rPr>
  </w:style>
  <w:style w:type="paragraph" w:styleId="959" w:customStyle="1">
    <w:name w:val="普通(网站)1"/>
    <w:basedOn w:val="708"/>
    <w:uiPriority w:val="99"/>
    <w:qFormat/>
    <w:pPr>
      <w:jc w:val="left"/>
      <w:spacing w:before="100" w:beforeAutospacing="1" w:after="100" w:afterAutospacing="1"/>
      <w:widowControl/>
    </w:pPr>
    <w:rPr>
      <w:rFonts w:ascii="宋体" w:hAnsi="宋体" w:eastAsia="宋体" w:cs="宋体"/>
      <w:sz w:val="24"/>
      <w:szCs w:val="24"/>
    </w:rPr>
  </w:style>
  <w:style w:type="paragraph" w:styleId="960" w:customStyle="1">
    <w:name w:val="目录 51"/>
    <w:basedOn w:val="708"/>
    <w:next w:val="708"/>
    <w:uiPriority w:val="0"/>
    <w:semiHidden/>
    <w:qFormat/>
    <w:pPr>
      <w:ind w:left="840"/>
      <w:jc w:val="left"/>
    </w:pPr>
    <w:rPr>
      <w:rFonts w:ascii="Times New Roman" w:hAnsi="Times New Roman" w:eastAsia="宋体" w:cs="Times New Roman"/>
      <w:szCs w:val="21"/>
    </w:rPr>
  </w:style>
  <w:style w:type="paragraph" w:styleId="961" w:customStyle="1">
    <w:name w:val="索引 11"/>
    <w:basedOn w:val="708"/>
    <w:next w:val="708"/>
    <w:uiPriority w:val="0"/>
    <w:semiHidden/>
    <w:qFormat/>
    <w:pPr>
      <w:spacing w:line="240" w:lineRule="atLeast"/>
    </w:pPr>
    <w:rPr>
      <w:rFonts w:ascii="Times New Roman" w:hAnsi="Times New Roman" w:eastAsia="宋体" w:cs="Times New Roman"/>
      <w:b/>
      <w:bCs/>
      <w:szCs w:val="21"/>
    </w:rPr>
  </w:style>
  <w:style w:type="paragraph" w:styleId="962" w:customStyle="1">
    <w:name w:val="目录 81"/>
    <w:basedOn w:val="708"/>
    <w:next w:val="708"/>
    <w:uiPriority w:val="0"/>
    <w:semiHidden/>
    <w:qFormat/>
    <w:pPr>
      <w:ind w:left="1470"/>
      <w:jc w:val="left"/>
    </w:pPr>
    <w:rPr>
      <w:rFonts w:ascii="Times New Roman" w:hAnsi="Times New Roman" w:eastAsia="宋体" w:cs="Times New Roman"/>
      <w:szCs w:val="21"/>
    </w:rPr>
  </w:style>
  <w:style w:type="paragraph" w:styleId="963" w:customStyle="1">
    <w:name w:val="图表目录1"/>
    <w:basedOn w:val="708"/>
    <w:next w:val="708"/>
    <w:uiPriority w:val="0"/>
    <w:semiHidden/>
    <w:qFormat/>
    <w:pPr>
      <w:ind w:left="840" w:hanging="420"/>
    </w:pPr>
    <w:rPr>
      <w:rFonts w:ascii="Times New Roman" w:hAnsi="Times New Roman" w:eastAsia="宋体" w:cs="Times New Roman"/>
      <w:szCs w:val="21"/>
    </w:rPr>
  </w:style>
  <w:style w:type="paragraph" w:styleId="964" w:customStyle="1">
    <w:name w:val="目录 71"/>
    <w:basedOn w:val="708"/>
    <w:next w:val="708"/>
    <w:uiPriority w:val="0"/>
    <w:semiHidden/>
    <w:qFormat/>
    <w:pPr>
      <w:ind w:left="1260"/>
      <w:jc w:val="left"/>
    </w:pPr>
    <w:rPr>
      <w:rFonts w:ascii="Times New Roman" w:hAnsi="Times New Roman" w:eastAsia="宋体" w:cs="Times New Roman"/>
      <w:szCs w:val="21"/>
    </w:rPr>
  </w:style>
  <w:style w:type="paragraph" w:styleId="965" w:customStyle="1">
    <w:name w:val="目录 91"/>
    <w:basedOn w:val="708"/>
    <w:next w:val="708"/>
    <w:uiPriority w:val="0"/>
    <w:semiHidden/>
    <w:qFormat/>
    <w:pPr>
      <w:ind w:left="1680"/>
      <w:jc w:val="left"/>
    </w:pPr>
    <w:rPr>
      <w:rFonts w:ascii="Times New Roman" w:hAnsi="Times New Roman" w:eastAsia="宋体" w:cs="Times New Roman"/>
      <w:szCs w:val="21"/>
    </w:rPr>
  </w:style>
  <w:style w:type="paragraph" w:styleId="966" w:customStyle="1">
    <w:name w:val="目录 61"/>
    <w:basedOn w:val="708"/>
    <w:next w:val="708"/>
    <w:uiPriority w:val="0"/>
    <w:semiHidden/>
    <w:qFormat/>
    <w:pPr>
      <w:ind w:left="1050"/>
      <w:jc w:val="left"/>
    </w:pPr>
    <w:rPr>
      <w:rFonts w:ascii="Times New Roman" w:hAnsi="Times New Roman" w:eastAsia="宋体" w:cs="Times New Roman"/>
      <w:szCs w:val="21"/>
    </w:rPr>
  </w:style>
  <w:style w:type="paragraph" w:styleId="967" w:customStyle="1">
    <w:name w:val="列表1"/>
    <w:basedOn w:val="708"/>
    <w:uiPriority w:val="0"/>
    <w:qFormat/>
    <w:pPr>
      <w:ind w:left="200" w:hanging="200"/>
    </w:pPr>
    <w:rPr>
      <w:rFonts w:ascii="Times New Roman" w:hAnsi="Times New Roman" w:eastAsia="宋体" w:cs="Times New Roman"/>
      <w:szCs w:val="21"/>
    </w:rPr>
  </w:style>
  <w:style w:type="paragraph" w:styleId="968" w:customStyle="1">
    <w:name w:val="目录 21"/>
    <w:basedOn w:val="708"/>
    <w:next w:val="708"/>
    <w:uiPriority w:val="0"/>
    <w:semiHidden/>
    <w:qFormat/>
    <w:pPr>
      <w:ind w:left="210"/>
      <w:jc w:val="left"/>
    </w:pPr>
    <w:rPr>
      <w:rFonts w:ascii="Times New Roman" w:hAnsi="Times New Roman" w:eastAsia="宋体" w:cs="Times New Roman"/>
      <w:smallCaps/>
      <w:szCs w:val="24"/>
    </w:rPr>
  </w:style>
  <w:style w:type="paragraph" w:styleId="969" w:customStyle="1">
    <w:name w:val="目录 41"/>
    <w:basedOn w:val="708"/>
    <w:next w:val="708"/>
    <w:uiPriority w:val="0"/>
    <w:semiHidden/>
    <w:qFormat/>
    <w:pPr>
      <w:ind w:left="630"/>
      <w:jc w:val="left"/>
    </w:pPr>
    <w:rPr>
      <w:rFonts w:ascii="Times New Roman" w:hAnsi="Times New Roman" w:eastAsia="宋体" w:cs="Times New Roman"/>
      <w:szCs w:val="21"/>
    </w:rPr>
  </w:style>
  <w:style w:type="paragraph" w:styleId="970" w:customStyle="1">
    <w:name w:val="目录 11"/>
    <w:basedOn w:val="708"/>
    <w:next w:val="708"/>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71" w:customStyle="1">
    <w:name w:val="列表 31"/>
    <w:basedOn w:val="708"/>
    <w:uiPriority w:val="0"/>
    <w:qFormat/>
    <w:pPr>
      <w:ind w:left="100" w:hanging="200"/>
    </w:pPr>
    <w:rPr>
      <w:rFonts w:ascii="Times New Roman" w:hAnsi="Times New Roman" w:eastAsia="宋体" w:cs="Times New Roman"/>
      <w:szCs w:val="21"/>
    </w:rPr>
  </w:style>
  <w:style w:type="paragraph" w:styleId="972" w:customStyle="1">
    <w:name w:val="目录 31"/>
    <w:basedOn w:val="708"/>
    <w:next w:val="708"/>
    <w:uiPriority w:val="0"/>
    <w:semiHidden/>
    <w:qFormat/>
    <w:pPr>
      <w:ind w:left="420"/>
      <w:jc w:val="left"/>
    </w:pPr>
    <w:rPr>
      <w:rFonts w:ascii="Times New Roman" w:hAnsi="Times New Roman" w:eastAsia="宋体" w:cs="Times New Roman"/>
      <w:i/>
      <w:iCs/>
      <w:szCs w:val="24"/>
    </w:rPr>
  </w:style>
  <w:style w:type="paragraph" w:styleId="973" w:customStyle="1">
    <w:name w:val="4"/>
    <w:basedOn w:val="708"/>
    <w:next w:val="912"/>
    <w:uiPriority w:val="0"/>
    <w:qFormat/>
    <w:pPr>
      <w:ind w:firstLine="420"/>
      <w:spacing w:line="360" w:lineRule="auto"/>
    </w:pPr>
    <w:rPr>
      <w:rFonts w:ascii="Times New Roman" w:hAnsi="Times New Roman" w:eastAsia="宋体" w:cs="Times New Roman"/>
      <w:color w:val="ff0000"/>
      <w:sz w:val="24"/>
      <w:szCs w:val="24"/>
    </w:rPr>
  </w:style>
  <w:style w:type="paragraph" w:styleId="974"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75" w:customStyle="1">
    <w:name w:val=" Char Char Char Char Char Char Char Char"/>
    <w:basedOn w:val="708"/>
    <w:uiPriority w:val="0"/>
    <w:qFormat/>
    <w:pPr>
      <w:jc w:val="left"/>
      <w:spacing w:after="160" w:line="240" w:lineRule="exact"/>
      <w:widowControl/>
    </w:pPr>
    <w:rPr>
      <w:rFonts w:ascii="Verdana" w:hAnsi="Verdana" w:eastAsia="宋体" w:cs="Times New Roman"/>
      <w:sz w:val="20"/>
      <w:szCs w:val="20"/>
      <w:lang w:eastAsia="en-US"/>
    </w:rPr>
  </w:style>
  <w:style w:type="paragraph" w:styleId="976" w:customStyle="1">
    <w:name w:val=" Char"/>
    <w:basedOn w:val="937"/>
    <w:uiPriority w:val="0"/>
    <w:qFormat/>
    <w:rPr>
      <w:rFonts w:ascii="Tahoma" w:hAnsi="Tahoma"/>
      <w:sz w:val="24"/>
      <w:szCs w:val="24"/>
    </w:rPr>
  </w:style>
  <w:style w:type="paragraph" w:styleId="977" w:customStyle="1">
    <w:name w:val="xl29"/>
    <w:basedOn w:val="708"/>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8" w:customStyle="1">
    <w:name w:val="xl28"/>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9" w:customStyle="1">
    <w:name w:val="xl26"/>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0" w:customStyle="1">
    <w:name w:val="普通 (Web)"/>
    <w:basedOn w:val="708"/>
    <w:uiPriority w:val="0"/>
    <w:qFormat/>
    <w:pPr>
      <w:jc w:val="left"/>
      <w:spacing w:before="100" w:beforeAutospacing="1" w:after="100" w:afterAutospacing="1"/>
      <w:widowControl/>
    </w:pPr>
    <w:rPr>
      <w:rFonts w:ascii="宋体" w:hAnsi="宋体" w:eastAsia="宋体" w:cs="Times New Roman"/>
      <w:sz w:val="24"/>
      <w:szCs w:val="24"/>
    </w:rPr>
  </w:style>
  <w:style w:type="paragraph" w:styleId="981" w:customStyle="1">
    <w:name w:val="font5"/>
    <w:basedOn w:val="708"/>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82" w:customStyle="1">
    <w:name w:val="图标"/>
    <w:basedOn w:val="708"/>
    <w:next w:val="70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3" w:customStyle="1">
    <w:name w:val="标题1"/>
    <w:basedOn w:val="708"/>
    <w:next w:val="708"/>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4" w:customStyle="1">
    <w:name w:val="列出段落"/>
    <w:basedOn w:val="708"/>
    <w:uiPriority w:val="0"/>
    <w:qFormat/>
    <w:pPr>
      <w:contextualSpacing/>
      <w:ind w:left="720"/>
      <w:jc w:val="left"/>
      <w:widowControl/>
    </w:pPr>
    <w:rPr>
      <w:rFonts w:ascii="Calibri" w:hAnsi="Calibri" w:eastAsia="宋体" w:cs="Times New Roman"/>
      <w:sz w:val="24"/>
      <w:szCs w:val="24"/>
      <w:lang w:eastAsia="en-US" w:bidi="en-US"/>
    </w:rPr>
  </w:style>
  <w:style w:type="paragraph" w:styleId="985" w:customStyle="1">
    <w:name w:val="Char Char Char Char Char Char Char Char"/>
    <w:basedOn w:val="708"/>
    <w:uiPriority w:val="0"/>
    <w:qFormat/>
    <w:pPr>
      <w:jc w:val="left"/>
      <w:spacing w:after="160" w:line="240" w:lineRule="exact"/>
      <w:widowControl/>
    </w:pPr>
    <w:rPr>
      <w:rFonts w:ascii="Verdana" w:hAnsi="Verdana" w:eastAsia="宋体" w:cs="Times New Roman"/>
      <w:sz w:val="20"/>
      <w:szCs w:val="20"/>
      <w:lang w:eastAsia="en-US"/>
    </w:rPr>
  </w:style>
  <w:style w:type="paragraph" w:styleId="986" w:customStyle="1">
    <w:name w:val=" Char Char Char Char"/>
    <w:basedOn w:val="937"/>
    <w:uiPriority w:val="0"/>
    <w:qFormat/>
    <w:pPr>
      <w:spacing w:line="360" w:lineRule="auto"/>
    </w:pPr>
    <w:rPr>
      <w:rFonts w:ascii="Tahoma" w:hAnsi="Tahoma"/>
      <w:sz w:val="24"/>
      <w:szCs w:val="24"/>
    </w:rPr>
  </w:style>
  <w:style w:type="paragraph" w:styleId="98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88" w:customStyle="1">
    <w:name w:val="Char Char Char Char"/>
    <w:basedOn w:val="937"/>
    <w:uiPriority w:val="0"/>
    <w:qFormat/>
    <w:pPr>
      <w:spacing w:line="360" w:lineRule="auto"/>
    </w:pPr>
    <w:rPr>
      <w:rFonts w:ascii="Tahoma" w:hAnsi="Tahoma"/>
      <w:sz w:val="24"/>
      <w:szCs w:val="24"/>
    </w:rPr>
  </w:style>
  <w:style w:type="paragraph" w:styleId="989" w:customStyle="1">
    <w:name w:val="table_lines"/>
    <w:basedOn w:val="708"/>
    <w:uiPriority w:val="0"/>
    <w:qFormat/>
    <w:pPr>
      <w:jc w:val="left"/>
      <w:widowControl/>
    </w:pPr>
    <w:rPr>
      <w:rFonts w:ascii="Times New Roman" w:hAnsi="Times New Roman" w:eastAsia="宋体" w:cs="Times New Roman"/>
      <w:sz w:val="20"/>
      <w:szCs w:val="20"/>
      <w:lang w:val="de-DE" w:eastAsia="de-DE"/>
    </w:rPr>
  </w:style>
  <w:style w:type="paragraph" w:styleId="990" w:customStyle="1">
    <w:name w:val="font7"/>
    <w:basedOn w:val="708"/>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91"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92" w:customStyle="1">
    <w:name w:val="xl27"/>
    <w:basedOn w:val="7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3" w:customStyle="1">
    <w:name w:val="标题3"/>
    <w:basedOn w:val="708"/>
    <w:next w:val="708"/>
    <w:uiPriority w:val="0"/>
    <w:qFormat/>
    <w:pPr>
      <w:ind w:firstLine="624"/>
      <w:spacing w:line="590" w:lineRule="atLeast"/>
    </w:pPr>
    <w:rPr>
      <w:rFonts w:ascii="方正黑体_GBK" w:hAnsi="Times New Roman" w:eastAsia="方正黑体_GBK" w:cs="Times New Roman"/>
      <w:sz w:val="32"/>
      <w:szCs w:val="32"/>
    </w:rPr>
  </w:style>
  <w:style w:type="paragraph" w:styleId="994"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95" w:customStyle="1">
    <w:name w:val="普通正文"/>
    <w:basedOn w:val="708"/>
    <w:uiPriority w:val="0"/>
    <w:qFormat/>
    <w:pPr>
      <w:ind w:firstLine="480"/>
      <w:jc w:val="left"/>
      <w:spacing w:before="120" w:after="120" w:line="360" w:lineRule="auto"/>
    </w:pPr>
    <w:rPr>
      <w:rFonts w:ascii="Arial" w:hAnsi="Arial" w:eastAsia="宋体" w:cs="Times New Roman"/>
      <w:sz w:val="24"/>
      <w:szCs w:val="24"/>
    </w:rPr>
  </w:style>
  <w:style w:type="paragraph" w:styleId="996" w:customStyle="1">
    <w:name w:val="table_1stline"/>
    <w:basedOn w:val="708"/>
    <w:uiPriority w:val="0"/>
    <w:qFormat/>
    <w:pPr>
      <w:jc w:val="left"/>
      <w:spacing w:before="120"/>
      <w:widowControl/>
    </w:pPr>
    <w:rPr>
      <w:rFonts w:ascii="Times New Roman" w:hAnsi="Times New Roman" w:eastAsia="宋体" w:cs="Times New Roman"/>
      <w:bCs/>
      <w:sz w:val="20"/>
      <w:szCs w:val="20"/>
      <w:lang w:val="de-DE" w:eastAsia="de-DE"/>
    </w:rPr>
  </w:style>
  <w:style w:type="paragraph" w:styleId="997" w:customStyle="1">
    <w:name w:val="Body Text(ch)"/>
    <w:basedOn w:val="708"/>
    <w:next w:val="926"/>
    <w:uiPriority w:val="0"/>
    <w:qFormat/>
    <w:pPr>
      <w:spacing w:after="120"/>
    </w:pPr>
    <w:rPr>
      <w:rFonts w:ascii="宋体" w:hAnsi="Arial" w:eastAsia="宋体" w:cs="Times New Roman"/>
      <w:bCs/>
      <w:iCs/>
      <w:szCs w:val="24"/>
    </w:rPr>
  </w:style>
  <w:style w:type="paragraph" w:styleId="998" w:customStyle="1">
    <w:name w:val="xl24"/>
    <w:basedOn w:val="7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9" w:customStyle="1">
    <w:name w:val="Char"/>
    <w:basedOn w:val="708"/>
    <w:uiPriority w:val="0"/>
    <w:qFormat/>
    <w:pPr>
      <w:ind w:firstLine="200"/>
      <w:tabs>
        <w:tab w:val="left" w:pos="360" w:leader="none"/>
      </w:tabs>
    </w:pPr>
    <w:rPr>
      <w:rFonts w:ascii="Times New Roman" w:hAnsi="Times New Roman" w:eastAsia="宋体" w:cs="Times New Roman"/>
      <w:sz w:val="28"/>
      <w:szCs w:val="30"/>
    </w:rPr>
  </w:style>
  <w:style w:type="paragraph" w:styleId="1000" w:customStyle="1">
    <w:name w:val=" Char Char Char Char Char Char Char Char Char Char"/>
    <w:basedOn w:val="708"/>
    <w:uiPriority w:val="0"/>
    <w:qFormat/>
    <w:pPr>
      <w:spacing w:line="360" w:lineRule="auto"/>
    </w:pPr>
    <w:rPr>
      <w:rFonts w:ascii="Times New Roman" w:hAnsi="Times New Roman" w:eastAsia="宋体" w:cs="Times New Roman"/>
      <w:sz w:val="24"/>
      <w:szCs w:val="20"/>
    </w:rPr>
  </w:style>
  <w:style w:type="paragraph" w:styleId="1001" w:customStyle="1">
    <w:name w:val="样式1"/>
    <w:basedOn w:val="708"/>
    <w:uiPriority w:val="0"/>
    <w:qFormat/>
    <w:pPr>
      <w:numPr>
        <w:ilvl w:val="0"/>
        <w:numId w:val="3"/>
      </w:numPr>
    </w:pPr>
    <w:rPr>
      <w:rFonts w:ascii="宋体" w:hAnsi="宋体" w:eastAsia="宋体" w:cs="Times New Roman"/>
      <w:szCs w:val="21"/>
    </w:rPr>
  </w:style>
  <w:style w:type="paragraph" w:styleId="1002" w:customStyle="1">
    <w:name w:val="font6"/>
    <w:basedOn w:val="708"/>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03" w:customStyle="1">
    <w:name w:val="xl25"/>
    <w:basedOn w:val="70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4" w:customStyle="1">
    <w:name w:val="xl30"/>
    <w:basedOn w:val="708"/>
    <w:uiPriority w:val="0"/>
    <w:qFormat/>
    <w:pPr>
      <w:jc w:val="center"/>
      <w:spacing w:before="100" w:beforeAutospacing="1" w:after="100" w:afterAutospacing="1"/>
      <w:widowControl/>
    </w:pPr>
    <w:rPr>
      <w:rFonts w:ascii="宋体" w:hAnsi="宋体" w:eastAsia="宋体" w:cs="Times New Roman"/>
      <w:b/>
      <w:bCs/>
      <w:sz w:val="36"/>
      <w:szCs w:val="36"/>
    </w:rPr>
  </w:style>
  <w:style w:type="table" w:styleId="1005" w:customStyle="1">
    <w:name w:val="网格型1"/>
    <w:basedOn w:val="902"/>
    <w:uiPriority w:val="0"/>
    <w:qFormat/>
    <w:pPr>
      <w:jc w:val="both"/>
      <w:widowControl w:val="off"/>
    </w:pPr>
    <w:rPr>
      <w:rFonts w:ascii="Times New Roman" w:hAnsi="Times New Roman" w:eastAsia="宋体" w:cs="Times New Roman"/>
      <w:sz w:val="20"/>
      <w:szCs w:val="20"/>
    </w:rPr>
    <w:tblPr/>
  </w:style>
  <w:style w:type="numbering" w:styleId="10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程施雪</cp:lastModifiedBy>
  <cp:revision>15</cp:revision>
  <dcterms:created xsi:type="dcterms:W3CDTF">2023-03-16T02:13:00Z</dcterms:created>
  <dcterms:modified xsi:type="dcterms:W3CDTF">2026-07-03T07:11:27Z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vt:lpwstr>
  </property>
  <property fmtid="{D5CDD505-2E9C-101B-9397-08002B2CF9AE}" pid="3" name="KSOTemplateDocerSaveRecord">
    <vt:lpwstr>eyJoZGlkIjoiNjhiMDhiYjU2YmMwYjViZDEwZTA5ZmY3NDgwYmEyMWIiLCJ1c2VySWQiOiI2MTU4MTc1NzMifQ==</vt:lpwstr>
  </property>
  <property fmtid="{D5CDD505-2E9C-101B-9397-08002B2CF9AE}" pid="4" name="ICV">
    <vt:lpwstr>A2574F5333DE4BFDB06A61F1E3E1EA64_13</vt:lpwstr>
  </property>
</Properties>
</file>