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0"/>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r>
      <w:r/>
    </w:p>
    <w:p>
      <w:pPr>
        <w:pStyle w:val="1190"/>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无锡市政府采购</w:t>
      </w:r>
      <w:r/>
    </w:p>
    <w:p>
      <w:pPr>
        <w:pStyle w:val="1190"/>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公开招标文件</w:t>
      </w:r>
      <w:r/>
    </w:p>
    <w:p>
      <w:pPr>
        <w:pStyle w:val="1190"/>
        <w:ind w:firstLine="0"/>
        <w:jc w:val="center"/>
        <w:rPr>
          <w:rFonts w:hint="eastAsia" w:ascii="黑体" w:hAnsi="华文中宋" w:eastAsia="黑体"/>
          <w:bCs/>
          <w:spacing w:val="20"/>
          <w:sz w:val="52"/>
          <w:szCs w:val="52"/>
          <w:highlight w:val="none"/>
        </w:rPr>
      </w:pPr>
      <w:r>
        <w:rPr>
          <w:rFonts w:hint="eastAsia" w:ascii="黑体" w:hAnsi="华文中宋" w:eastAsia="黑体"/>
          <w:bCs/>
          <w:spacing w:val="20"/>
          <w:sz w:val="52"/>
          <w:szCs w:val="52"/>
          <w:highlight w:val="none"/>
        </w:rPr>
      </w:r>
      <w:r/>
    </w:p>
    <w:p>
      <w:pPr>
        <w:pStyle w:val="1190"/>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jc w:val="left"/>
        <w:spacing w:line="360" w:lineRule="auto"/>
        <w:rPr>
          <w:rFonts w:hint="eastAsia" w:ascii="黑体" w:hAnsi="华文中宋" w:eastAsia="黑体"/>
          <w:bCs/>
          <w:sz w:val="32"/>
          <w:szCs w:val="32"/>
          <w:highlight w:val="none"/>
          <w:lang w:eastAsia="zh-CN"/>
        </w:rPr>
      </w:pPr>
      <w:r>
        <w:rPr>
          <w:rFonts w:hint="eastAsia" w:ascii="黑体" w:hAnsi="华文中宋" w:eastAsia="黑体"/>
          <w:bCs/>
          <w:sz w:val="32"/>
          <w:szCs w:val="32"/>
          <w:highlight w:val="none"/>
        </w:rPr>
        <w:t xml:space="preserve">项目编号：</w:t>
      </w:r>
      <w:r>
        <w:rPr>
          <w:rFonts w:hint="eastAsia" w:ascii="黑体" w:hAnsi="华文中宋" w:eastAsia="黑体"/>
          <w:bCs/>
          <w:sz w:val="32"/>
          <w:szCs w:val="32"/>
          <w:highlight w:val="none"/>
          <w:lang w:eastAsia="zh-CN"/>
        </w:rPr>
        <w:t xml:space="preserve">JSZC-320200-JSBM-G2026-0001</w:t>
      </w:r>
      <w:r/>
    </w:p>
    <w:p>
      <w:pPr>
        <w:jc w:val="left"/>
        <w:spacing w:line="360" w:lineRule="auto"/>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项目名称：艺体楼及心理室设施设备更换项目</w:t>
      </w:r>
      <w:r/>
    </w:p>
    <w:p>
      <w:pPr>
        <w:jc w:val="left"/>
        <w:spacing w:line="360" w:lineRule="auto"/>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采 购 人：江苏省梅村高级中学</w:t>
      </w:r>
      <w:r/>
    </w:p>
    <w:p>
      <w:pPr>
        <w:jc w:val="left"/>
        <w:spacing w:line="360" w:lineRule="auto"/>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采购代理机构：江苏比木工程项目管理有限</w:t>
      </w:r>
      <w:r>
        <w:rPr>
          <w:rFonts w:hint="eastAsia" w:ascii="黑体" w:hAnsi="华文中宋" w:eastAsia="黑体"/>
          <w:bCs/>
          <w:sz w:val="32"/>
          <w:szCs w:val="32"/>
          <w:highlight w:val="none"/>
        </w:rPr>
        <w:t xml:space="preserve">公</w:t>
      </w:r>
      <w:r/>
      <w:r>
        <w:rPr>
          <w:rFonts w:hint="eastAsia" w:ascii="黑体" w:hAnsi="华文中宋" w:eastAsia="黑体"/>
          <w:bCs/>
          <w:sz w:val="32"/>
          <w:szCs w:val="32"/>
          <w:highlight w:val="none"/>
        </w:rPr>
        <w:t xml:space="preserve">司</w:t>
      </w:r>
      <w:r/>
    </w:p>
    <w:p>
      <w:pPr>
        <w:pStyle w:val="1190"/>
        <w:ind w:firstLine="0"/>
        <w:jc w:val="center"/>
        <w:rPr>
          <w:rFonts w:hint="eastAsia" w:ascii="黑体" w:hAnsi="华文中宋" w:eastAsia="黑体"/>
          <w:bCs/>
          <w:sz w:val="32"/>
          <w:szCs w:val="32"/>
          <w:highlight w:val="none"/>
        </w:rPr>
      </w:pPr>
      <w:r>
        <w:rPr>
          <w:rFonts w:hint="eastAsia" w:ascii="黑体" w:hAnsi="华文中宋" w:eastAsia="黑体"/>
          <w:bCs/>
          <w:sz w:val="32"/>
          <w:szCs w:val="32"/>
          <w:highlight w:val="none"/>
        </w:rPr>
      </w:r>
      <w:r/>
    </w:p>
    <w:p>
      <w:pPr>
        <w:pStyle w:val="1190"/>
        <w:ind w:firstLine="0"/>
        <w:jc w:val="center"/>
        <w:rPr>
          <w:rFonts w:hint="eastAsia" w:ascii="黑体" w:hAnsi="华文中宋" w:eastAsia="黑体"/>
          <w:bCs/>
          <w:sz w:val="32"/>
          <w:szCs w:val="32"/>
          <w:highlight w:val="none"/>
        </w:rPr>
      </w:pPr>
      <w:r>
        <w:rPr>
          <w:rFonts w:hint="eastAsia" w:ascii="黑体" w:hAnsi="华文中宋" w:eastAsia="黑体"/>
          <w:bCs/>
          <w:sz w:val="32"/>
          <w:szCs w:val="32"/>
          <w:highlight w:val="none"/>
        </w:rPr>
      </w:r>
      <w:r/>
    </w:p>
    <w:p>
      <w:pPr>
        <w:pStyle w:val="1190"/>
        <w:ind w:firstLine="0"/>
        <w:jc w:val="center"/>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二〇二六年</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月</w:t>
      </w:r>
      <w:r/>
    </w:p>
    <w:p>
      <w:pPr>
        <w:pStyle w:val="1190"/>
        <w:ind w:firstLine="0"/>
        <w:jc w:val="center"/>
        <w:rPr>
          <w:rFonts w:hint="eastAsia" w:ascii="黑体" w:hAnsi="黑体" w:eastAsia="黑体"/>
          <w:sz w:val="36"/>
          <w:szCs w:val="36"/>
          <w:highlight w:val="none"/>
        </w:rPr>
        <w:sectPr>
          <w:footerReference w:type="default" r:id="rId10"/>
          <w:footerReference w:type="first" r:id="rId11"/>
          <w:footnotePr/>
          <w:endnotePr/>
          <w:type w:val="nextPage"/>
          <w:pgSz w:w="11906" w:h="16838" w:orient="portrait"/>
          <w:pgMar w:top="1440" w:right="1440" w:bottom="1440" w:left="1417" w:header="0" w:footer="816" w:gutter="0"/>
          <w:pgNumType w:start="1"/>
          <w:cols w:num="1" w:sep="0" w:space="0" w:equalWidth="1"/>
          <w:docGrid w:linePitch="360"/>
        </w:sectPr>
      </w:pPr>
      <w:r/>
      <w:bookmarkStart w:id="0" w:name="_Toc120614210"/>
      <w:r/>
      <w:bookmarkStart w:id="1" w:name="_Toc20823272"/>
      <w:r/>
      <w:bookmarkStart w:id="2" w:name="_Toc513029200"/>
      <w:r/>
      <w:bookmarkStart w:id="3" w:name="_Toc479757206"/>
      <w:r/>
      <w:bookmarkStart w:id="4" w:name="_Toc16938516"/>
      <w:r/>
      <w:bookmarkStart w:id="5" w:name="_Toc523127445"/>
      <w:r/>
      <w:r/>
    </w:p>
    <w:p>
      <w:pPr>
        <w:pStyle w:val="1190"/>
        <w:ind w:firstLine="0"/>
        <w:jc w:val="center"/>
        <w:rPr>
          <w:rFonts w:hint="eastAsia" w:ascii="黑体" w:hAnsi="黑体" w:eastAsia="黑体"/>
          <w:sz w:val="36"/>
          <w:szCs w:val="36"/>
          <w:highlight w:val="none"/>
        </w:rPr>
      </w:pPr>
      <w:r>
        <w:rPr>
          <w:rFonts w:hint="eastAsia" w:ascii="黑体" w:hAnsi="黑体" w:eastAsia="黑体"/>
          <w:sz w:val="36"/>
          <w:szCs w:val="36"/>
          <w:highlight w:val="none"/>
        </w:rPr>
        <w:t xml:space="preserve">总  目  录</w:t>
      </w:r>
      <w:r/>
    </w:p>
    <w:p>
      <w:pPr>
        <w:jc w:val="center"/>
        <w:spacing w:line="480" w:lineRule="auto"/>
        <w:rPr>
          <w:rFonts w:ascii="黑体" w:hAnsi="Arial" w:eastAsia="黑体"/>
          <w:sz w:val="44"/>
          <w:highlight w:val="none"/>
        </w:rPr>
        <w:outlineLvl w:val="0"/>
      </w:pPr>
      <w:r>
        <w:rPr>
          <w:rFonts w:ascii="黑体" w:hAnsi="Arial" w:eastAsia="黑体"/>
          <w:sz w:val="44"/>
          <w:highlight w:val="none"/>
        </w:rPr>
      </w:r>
      <w:r/>
    </w:p>
    <w:p>
      <w:pPr>
        <w:ind w:left="1440" w:hanging="1440"/>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第一章 投标邀请</w:t>
      </w:r>
      <w:r/>
    </w:p>
    <w:p>
      <w:pPr>
        <w:ind w:left="1440" w:hanging="1440"/>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第二章 投标人须知</w:t>
      </w:r>
      <w:r/>
    </w:p>
    <w:p>
      <w:pPr>
        <w:ind w:left="1440" w:hanging="1440"/>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第三章 合同文本</w:t>
      </w:r>
      <w:r/>
    </w:p>
    <w:p>
      <w:pPr>
        <w:ind w:left="1440" w:hanging="1440"/>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第四章 采购需求</w:t>
      </w:r>
      <w:r/>
    </w:p>
    <w:p>
      <w:pPr>
        <w:ind w:left="1440" w:hanging="1440"/>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第五章 评标方法与评标标准</w:t>
      </w:r>
      <w:r/>
    </w:p>
    <w:p>
      <w:pPr>
        <w:ind w:left="1440" w:hanging="1440"/>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第六章 投标文件内容与格式</w:t>
      </w:r>
      <w:r/>
    </w:p>
    <w:p>
      <w:pPr>
        <w:jc w:val="center"/>
        <w:spacing w:line="500" w:lineRule="exact"/>
        <w:tabs>
          <w:tab w:val="left" w:pos="1440" w:leader="none"/>
        </w:tabs>
        <w:rPr>
          <w:rFonts w:hint="eastAsia" w:ascii="宋体" w:hAnsi="宋体" w:cs="宋体"/>
          <w:b/>
          <w:bCs/>
          <w:sz w:val="36"/>
          <w:szCs w:val="36"/>
          <w:highlight w:val="none"/>
        </w:rPr>
        <w:sectPr>
          <w:footerReference w:type="default" r:id="rId12"/>
          <w:footnotePr/>
          <w:endnotePr/>
          <w:type w:val="nextPage"/>
          <w:pgSz w:w="11906" w:h="16838" w:orient="portrait"/>
          <w:pgMar w:top="1440" w:right="1440" w:bottom="1440" w:left="1417" w:header="0" w:footer="816" w:gutter="0"/>
          <w:pgNumType w:start="1"/>
          <w:cols w:num="1" w:sep="0" w:space="0" w:equalWidth="1"/>
          <w:docGrid w:linePitch="360"/>
        </w:sectPr>
        <w:outlineLvl w:val="0"/>
      </w:pPr>
      <w:r>
        <w:rPr>
          <w:rFonts w:hint="eastAsia" w:ascii="宋体" w:hAnsi="宋体" w:cs="宋体"/>
          <w:b/>
          <w:bCs/>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宋体" w:hAnsi="宋体" w:cs="宋体"/>
          <w:b/>
          <w:bCs/>
          <w:sz w:val="36"/>
          <w:szCs w:val="36"/>
          <w:highlight w:val="none"/>
        </w:rPr>
        <w:t xml:space="preserve">第一章  投标邀请</w:t>
      </w:r>
      <w:bookmarkEnd w:id="0"/>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受江苏省梅村高级中学的委托，</w:t>
      </w:r>
      <w:bookmarkStart w:id="6" w:name="OLE_LINK1"/>
      <w:r>
        <w:rPr>
          <w:rFonts w:hint="eastAsia" w:ascii="宋体" w:hAnsi="宋体"/>
          <w:sz w:val="24"/>
          <w:szCs w:val="24"/>
          <w:highlight w:val="none"/>
        </w:rPr>
        <w:t xml:space="preserve">江苏比木工程项目管理有限公司</w:t>
      </w:r>
      <w:bookmarkEnd w:id="6"/>
      <w:r>
        <w:rPr>
          <w:rFonts w:hint="eastAsia" w:ascii="宋体" w:hAnsi="宋体"/>
          <w:sz w:val="24"/>
          <w:szCs w:val="24"/>
          <w:highlight w:val="none"/>
        </w:rPr>
        <w:t xml:space="preserve">就艺体楼及心理室设施设备更换项目（</w:t>
      </w:r>
      <w:r>
        <w:rPr>
          <w:rFonts w:hint="eastAsia" w:ascii="宋体" w:hAnsi="宋体"/>
          <w:sz w:val="24"/>
          <w:szCs w:val="24"/>
          <w:highlight w:val="none"/>
          <w:lang w:eastAsia="zh-CN"/>
        </w:rPr>
        <w:t xml:space="preserve">JSZC-320200-JSBM-G2026-0001</w:t>
      </w:r>
      <w:r>
        <w:rPr>
          <w:rFonts w:hint="eastAsia" w:ascii="宋体" w:hAnsi="宋体"/>
          <w:sz w:val="24"/>
          <w:szCs w:val="24"/>
          <w:highlight w:val="none"/>
        </w:rPr>
        <w:t xml:space="preserve">）进行公开招标采购，欢迎符合条件的供应商投标。</w:t>
      </w:r>
      <w:r/>
    </w:p>
    <w:p>
      <w:pPr>
        <w:ind w:firstLine="480"/>
        <w:spacing w:line="500" w:lineRule="exact"/>
        <w:rPr>
          <w:rFonts w:hint="eastAsia"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500" w:lineRule="exact"/>
        <w:rPr>
          <w:rFonts w:hint="eastAsia"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艺体楼及心理室设施设备更换项目的潜在投标人如有投标意向须在本招标文件有效获取期内通过登录</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下载的方式依法获取招标文件，并于2026年</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日9点30分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1108"/>
        <w:ind w:firstLine="452"/>
        <w:keepLines w:val="0"/>
        <w:keepNext w:val="0"/>
        <w:spacing w:before="0" w:after="0" w:line="500" w:lineRule="exact"/>
        <w:rPr>
          <w:sz w:val="30"/>
          <w:szCs w:val="30"/>
          <w:highlight w:val="none"/>
          <w:lang w:eastAsia="zh-CN"/>
        </w:rPr>
      </w:pPr>
      <w:r/>
      <w:bookmarkStart w:id="7" w:name="_Toc35393790"/>
      <w:r/>
      <w:bookmarkStart w:id="8" w:name="_Toc28359002"/>
      <w:r/>
      <w:bookmarkStart w:id="9" w:name="_Hlk24379207"/>
      <w:r/>
      <w:bookmarkStart w:id="10" w:name="_Toc28359079"/>
      <w:r/>
      <w:bookmarkStart w:id="11" w:name="_Toc38985263"/>
      <w:r/>
      <w:bookmarkStart w:id="12" w:name="_Toc35393621"/>
      <w:r>
        <w:rPr>
          <w:rFonts w:hint="eastAsia"/>
          <w:sz w:val="30"/>
          <w:szCs w:val="30"/>
          <w:highlight w:val="none"/>
          <w:lang w:eastAsia="zh-CN"/>
        </w:rPr>
        <w:t xml:space="preserve">一、项目基本情况</w:t>
      </w:r>
      <w:bookmarkEnd w:id="7"/>
      <w:r/>
      <w:bookmarkEnd w:id="8"/>
      <w:r/>
      <w:bookmarkEnd w:id="9"/>
      <w:r/>
      <w:bookmarkEnd w:id="10"/>
      <w:r/>
      <w:bookmarkEnd w:id="11"/>
      <w:r/>
      <w:bookmarkEnd w:id="12"/>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JSZC-320200-JSBM-G2026-0001</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2.项目名称：</w:t>
      </w:r>
      <w:bookmarkStart w:id="13" w:name="OLE_LINK7"/>
      <w:r>
        <w:rPr>
          <w:rFonts w:hint="eastAsia" w:ascii="宋体" w:hAnsi="宋体"/>
          <w:sz w:val="24"/>
          <w:szCs w:val="24"/>
          <w:highlight w:val="none"/>
        </w:rPr>
        <w:t xml:space="preserve">艺体楼及心理室设施设备更换项目</w:t>
      </w:r>
      <w:bookmarkEnd w:id="13"/>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项目预算金额：139.1950万元</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项目最高限价：1391950.00元</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5.采购方式：公开招标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6.采购需求：详见招标文件第四章《采购需求》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7.合同履行期限：合同签订生效之日起30天</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8.本项目不接受联合体投标。</w:t>
      </w:r>
      <w:r/>
    </w:p>
    <w:p>
      <w:pPr>
        <w:pStyle w:val="1108"/>
        <w:ind w:firstLine="452"/>
        <w:keepLines w:val="0"/>
        <w:keepNext w:val="0"/>
        <w:spacing w:before="0" w:after="0" w:line="500" w:lineRule="exact"/>
        <w:rPr>
          <w:sz w:val="30"/>
          <w:szCs w:val="30"/>
          <w:highlight w:val="none"/>
          <w:lang w:eastAsia="zh-CN"/>
        </w:rPr>
      </w:pPr>
      <w:r/>
      <w:bookmarkStart w:id="14" w:name="_Toc28359003"/>
      <w:r/>
      <w:bookmarkStart w:id="15" w:name="_Toc28359080"/>
      <w:r/>
      <w:bookmarkStart w:id="16" w:name="_Toc38985264"/>
      <w:r/>
      <w:bookmarkStart w:id="17" w:name="_Toc35393791"/>
      <w:r/>
      <w:bookmarkStart w:id="18" w:name="_Toc35393622"/>
      <w:r>
        <w:rPr>
          <w:rFonts w:hint="eastAsia"/>
          <w:sz w:val="30"/>
          <w:szCs w:val="30"/>
          <w:highlight w:val="none"/>
          <w:lang w:eastAsia="zh-CN"/>
        </w:rPr>
        <w:t xml:space="preserve">二、申请人的资格要求</w:t>
      </w:r>
      <w:bookmarkEnd w:id="14"/>
      <w:r/>
      <w:bookmarkEnd w:id="15"/>
      <w:r/>
      <w:bookmarkEnd w:id="16"/>
      <w:r/>
      <w:bookmarkEnd w:id="17"/>
      <w:r/>
      <w:bookmarkEnd w:id="18"/>
      <w:r/>
      <w:r/>
    </w:p>
    <w:p>
      <w:pPr>
        <w:ind w:firstLine="480"/>
        <w:spacing w:line="360" w:lineRule="auto"/>
        <w:rPr>
          <w:rFonts w:hint="eastAsia" w:ascii="宋体" w:hAnsi="宋体"/>
          <w:sz w:val="24"/>
          <w:szCs w:val="24"/>
          <w:highlight w:val="none"/>
        </w:rPr>
      </w:pPr>
      <w:r/>
      <w:bookmarkStart w:id="19" w:name="_Toc28359081"/>
      <w:r/>
      <w:bookmarkStart w:id="20" w:name="_Toc38985265"/>
      <w:r/>
      <w:bookmarkStart w:id="21" w:name="_Toc35393792"/>
      <w:r/>
      <w:bookmarkStart w:id="22" w:name="_Toc28359004"/>
      <w:r/>
      <w:bookmarkStart w:id="23" w:name="_Toc35393623"/>
      <w:r>
        <w:rPr>
          <w:rFonts w:hint="eastAsia" w:ascii="宋体" w:hAnsi="宋体"/>
          <w:sz w:val="24"/>
          <w:szCs w:val="24"/>
          <w:highlight w:val="none"/>
        </w:rPr>
        <w:t xml:space="preserve">1.满足《中华人民共和国政府采购法》第二十二条规定；</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2.1中小企业政策：本项目专门面向中小企业；</w:t>
      </w:r>
      <w:r/>
    </w:p>
    <w:p>
      <w:pPr>
        <w:pStyle w:val="885"/>
        <w:ind w:firstLine="482"/>
        <w:keepLines w:val="0"/>
        <w:keepNext w:val="0"/>
        <w:pageBreakBefore w:val="0"/>
        <w:spacing w:line="360" w:lineRule="auto"/>
        <w:widowControl w:val="off"/>
        <w:rPr>
          <w:rFonts w:hint="eastAsia"/>
          <w:highlight w:val="none"/>
        </w:rPr>
      </w:pPr>
      <w:r>
        <w:rPr>
          <w:rFonts w:hint="eastAsia"/>
          <w:b/>
          <w:bCs/>
          <w:highlight w:val="none"/>
          <w:lang w:val="en-US" w:eastAsia="zh-CN"/>
        </w:rPr>
        <w:t xml:space="preserve">本项目采购的标的对应的中小企业划分标准所属行业为：</w:t>
      </w:r>
      <w:r>
        <w:rPr>
          <w:rFonts w:hint="eastAsia"/>
          <w:highlight w:val="none"/>
          <w:lang w:val="en-US" w:eastAsia="zh-CN"/>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ww.ccgp.gov.cn）查询，无被列入失信被执行人、重大税收违法失信主体名单、政府采购严重违法失信行为记录名单及其他不符合《中华人民共和国政府采购法》第二十二条规定条件的信用记录；</w:t>
      </w:r>
      <w:r/>
    </w:p>
    <w:p>
      <w:pPr>
        <w:pStyle w:val="914"/>
        <w:ind w:right="304"/>
        <w:jc w:val="both"/>
        <w:spacing w:before="0" w:beforeAutospacing="0" w:after="0" w:afterAutospacing="0" w:line="360" w:lineRule="auto"/>
        <w:rPr>
          <w:rFonts w:hint="eastAsia"/>
          <w:highlight w:val="none"/>
        </w:rPr>
      </w:pPr>
      <w:r>
        <w:rPr>
          <w:rFonts w:hint="eastAsia"/>
          <w:szCs w:val="24"/>
          <w:highlight w:val="none"/>
        </w:rPr>
        <w:t xml:space="preserve">3.本项目的特定资格要求：无</w:t>
      </w:r>
      <w:r/>
    </w:p>
    <w:p>
      <w:pPr>
        <w:pStyle w:val="1108"/>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三、获取招标文件</w:t>
      </w:r>
      <w:bookmarkEnd w:id="19"/>
      <w:r/>
      <w:bookmarkEnd w:id="20"/>
      <w:r/>
      <w:bookmarkEnd w:id="21"/>
      <w:r/>
      <w:bookmarkEnd w:id="22"/>
      <w:r/>
      <w:bookmarkEnd w:id="23"/>
      <w:r/>
      <w:r/>
    </w:p>
    <w:p>
      <w:pPr>
        <w:ind w:firstLine="540"/>
        <w:spacing w:line="500" w:lineRule="exact"/>
        <w:rPr>
          <w:rFonts w:hint="eastAsia" w:ascii="宋体" w:hAnsi="宋体"/>
          <w:sz w:val="24"/>
          <w:szCs w:val="24"/>
          <w:highlight w:val="none"/>
        </w:rPr>
      </w:pPr>
      <w:r/>
      <w:bookmarkStart w:id="24" w:name="_Toc28359005"/>
      <w:r/>
      <w:bookmarkStart w:id="25" w:name="_Toc28359082"/>
      <w:r/>
      <w:bookmarkStart w:id="26" w:name="_Toc35393624"/>
      <w:r/>
      <w:bookmarkStart w:id="27" w:name="_Toc38985266"/>
      <w:r/>
      <w:bookmarkStart w:id="28" w:name="_Toc35393793"/>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p>
    <w:p>
      <w:pPr>
        <w:ind w:firstLine="540"/>
        <w:spacing w:line="500" w:lineRule="exact"/>
        <w:rPr>
          <w:rStyle w:val="1180"/>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“江苏省政府采购（苏采云）平台”获取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1108"/>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四、提交投标文件</w:t>
      </w:r>
      <w:bookmarkEnd w:id="24"/>
      <w:r/>
      <w:bookmarkEnd w:id="25"/>
      <w:r>
        <w:rPr>
          <w:rFonts w:hint="eastAsia"/>
          <w:sz w:val="30"/>
          <w:szCs w:val="30"/>
          <w:highlight w:val="none"/>
          <w:lang w:eastAsia="zh-CN"/>
        </w:rPr>
        <w:t xml:space="preserve">截止时间、开标时间和地点</w:t>
      </w:r>
      <w:bookmarkEnd w:id="26"/>
      <w:r/>
      <w:bookmarkEnd w:id="27"/>
      <w:r/>
      <w:bookmarkEnd w:id="28"/>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1.时间：2026年</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日9点30分（北京时间）</w:t>
      </w:r>
      <w:r/>
    </w:p>
    <w:p>
      <w:pPr>
        <w:ind w:firstLine="480"/>
        <w:spacing w:line="500" w:lineRule="exact"/>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1108"/>
        <w:ind w:firstLine="452"/>
        <w:keepLines w:val="0"/>
        <w:keepNext w:val="0"/>
        <w:spacing w:before="0" w:after="0" w:line="500" w:lineRule="exact"/>
        <w:rPr>
          <w:sz w:val="30"/>
          <w:szCs w:val="30"/>
          <w:highlight w:val="none"/>
          <w:lang w:eastAsia="zh-CN"/>
        </w:rPr>
      </w:pPr>
      <w:r/>
      <w:bookmarkStart w:id="29" w:name="_Toc38985267"/>
      <w:r/>
      <w:bookmarkStart w:id="30" w:name="_Toc28359084"/>
      <w:r/>
      <w:bookmarkStart w:id="31" w:name="_Toc35393794"/>
      <w:r/>
      <w:bookmarkStart w:id="32" w:name="_Toc28359007"/>
      <w:r/>
      <w:bookmarkStart w:id="33" w:name="_Toc35393625"/>
      <w:r>
        <w:rPr>
          <w:rFonts w:hint="eastAsia"/>
          <w:sz w:val="30"/>
          <w:szCs w:val="30"/>
          <w:highlight w:val="none"/>
          <w:lang w:eastAsia="zh-CN"/>
        </w:rPr>
        <w:t xml:space="preserve">五、公告期限</w:t>
      </w:r>
      <w:bookmarkEnd w:id="29"/>
      <w:r/>
      <w:bookmarkEnd w:id="30"/>
      <w:r/>
      <w:bookmarkEnd w:id="31"/>
      <w:r/>
      <w:bookmarkEnd w:id="32"/>
      <w:r/>
      <w:bookmarkEnd w:id="33"/>
      <w:r/>
      <w:r/>
    </w:p>
    <w:p>
      <w:pPr>
        <w:ind w:firstLine="480"/>
        <w:spacing w:line="500" w:lineRule="exact"/>
        <w:rPr>
          <w:rFonts w:hint="eastAsia" w:ascii="宋体" w:hAnsi="宋体" w:cs="宋体"/>
          <w:sz w:val="24"/>
          <w:szCs w:val="24"/>
          <w:highlight w:val="none"/>
        </w:rPr>
      </w:pPr>
      <w:r/>
      <w:bookmarkStart w:id="34" w:name="_Toc35393795"/>
      <w:r/>
      <w:bookmarkStart w:id="35" w:name="_Toc35393626"/>
      <w:r/>
      <w:bookmarkStart w:id="36" w:name="_Toc38985268"/>
      <w:r>
        <w:rPr>
          <w:rFonts w:hint="eastAsia" w:ascii="宋体" w:hAnsi="宋体" w:cs="宋体"/>
          <w:sz w:val="24"/>
          <w:szCs w:val="24"/>
          <w:highlight w:val="none"/>
        </w:rPr>
        <w:t xml:space="preserve">（招标公告及招标文件公告期限）自本公告发布之日起5个工作日。</w:t>
      </w:r>
      <w:r/>
    </w:p>
    <w:p>
      <w:pPr>
        <w:pStyle w:val="1108"/>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六、其他补充事宜</w:t>
      </w:r>
      <w:bookmarkEnd w:id="34"/>
      <w:r/>
      <w:bookmarkEnd w:id="35"/>
      <w:r/>
      <w:bookmarkEnd w:id="36"/>
      <w:r/>
      <w:r/>
    </w:p>
    <w:p>
      <w:pPr>
        <w:pStyle w:val="1108"/>
        <w:ind w:firstLine="452"/>
        <w:keepLines w:val="0"/>
        <w:keepNext w:val="0"/>
        <w:spacing w:before="0" w:after="0" w:line="500" w:lineRule="exact"/>
        <w:rPr>
          <w:rFonts w:hint="eastAsia" w:ascii="宋体" w:hAnsi="宋体" w:cs="宋体"/>
          <w:b w:val="0"/>
          <w:bCs w:val="0"/>
          <w:sz w:val="24"/>
          <w:szCs w:val="24"/>
          <w:highlight w:val="none"/>
          <w:lang w:eastAsia="zh-CN"/>
        </w:rPr>
      </w:pPr>
      <w:r/>
      <w:bookmarkStart w:id="37" w:name="_Toc35393796"/>
      <w:r/>
      <w:bookmarkStart w:id="38" w:name="_Toc38985269"/>
      <w:r/>
      <w:bookmarkStart w:id="39" w:name="_Toc28359085"/>
      <w:r/>
      <w:bookmarkStart w:id="40" w:name="_Toc35393627"/>
      <w:r/>
      <w:bookmarkStart w:id="41" w:name="_Toc28359008"/>
      <w:r>
        <w:rPr>
          <w:rFonts w:hint="eastAsia" w:ascii="宋体" w:hAnsi="宋体" w:cs="宋体"/>
          <w:b w:val="0"/>
          <w:bCs w:val="0"/>
          <w:sz w:val="24"/>
          <w:szCs w:val="24"/>
          <w:highlight w:val="none"/>
          <w:lang w:eastAsia="zh-CN"/>
        </w:rPr>
        <w:t xml:space="preserve">无</w:t>
      </w:r>
      <w:r/>
    </w:p>
    <w:p>
      <w:pPr>
        <w:pStyle w:val="1108"/>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七、本项目联系方式</w:t>
      </w:r>
      <w:bookmarkEnd w:id="37"/>
      <w:r/>
      <w:bookmarkEnd w:id="38"/>
      <w:r/>
      <w:bookmarkEnd w:id="39"/>
      <w:r/>
      <w:bookmarkEnd w:id="40"/>
      <w:r/>
      <w:bookmarkEnd w:id="41"/>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500" w:lineRule="exact"/>
        <w:rPr>
          <w:rFonts w:hint="eastAsia" w:ascii="宋体" w:hAnsi="宋体" w:cs="宋体"/>
          <w:sz w:val="24"/>
          <w:szCs w:val="24"/>
          <w:highlight w:val="none"/>
        </w:rPr>
      </w:pPr>
      <w:r/>
      <w:bookmarkStart w:id="42" w:name="_Toc28359009"/>
      <w:r/>
      <w:bookmarkStart w:id="43" w:name="_Toc28359086"/>
      <w:r>
        <w:rPr>
          <w:rFonts w:hint="eastAsia" w:ascii="宋体" w:hAnsi="宋体" w:cs="宋体"/>
          <w:sz w:val="24"/>
          <w:szCs w:val="24"/>
          <w:highlight w:val="none"/>
        </w:rPr>
        <w:t xml:space="preserve">名称：江苏省梅村高级中学</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联系人：江老师</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联系电话：0510-81859746</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联系地址：无锡市新吴区梅村街道梅育路63号</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w:t>
      </w:r>
      <w:bookmarkEnd w:id="42"/>
      <w:r/>
      <w:bookmarkEnd w:id="43"/>
      <w:r>
        <w:rPr>
          <w:rFonts w:hint="eastAsia" w:ascii="宋体" w:hAnsi="宋体" w:cs="宋体"/>
          <w:sz w:val="24"/>
          <w:szCs w:val="24"/>
          <w:highlight w:val="none"/>
        </w:rPr>
        <w:t xml:space="preserve">采购代理机构信息</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名称：江苏比木工程项目管理有限公司</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项目联系人：陈霞</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电话：0510-82820918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地址：无锡市经开区高浪东路508号华发大厦A座22楼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邮箱：1335360359@qq.com</w:t>
      </w:r>
      <w:r/>
    </w:p>
    <w:p>
      <w:pPr>
        <w:rPr>
          <w:sz w:val="30"/>
          <w:szCs w:val="30"/>
          <w:highlight w:val="none"/>
        </w:rPr>
      </w:pPr>
      <w:r>
        <w:rPr>
          <w:rFonts w:hint="eastAsia"/>
          <w:sz w:val="30"/>
          <w:szCs w:val="30"/>
          <w:highlight w:val="none"/>
        </w:rPr>
        <w:br w:type="page" w:clear="all"/>
      </w:r>
      <w:r/>
    </w:p>
    <w:p>
      <w:pPr>
        <w:pStyle w:val="1108"/>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八、其他</w:t>
      </w:r>
      <w:r/>
    </w:p>
    <w:p>
      <w:pPr>
        <w:ind w:firstLine="480"/>
        <w:jc w:val="left"/>
        <w:spacing w:line="50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）访问“无锡政府采购网”点击“江苏省政府采购（苏采云）平台”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号楼一楼CA窗口</w:t>
      </w:r>
      <w:r>
        <w:rPr>
          <w:rFonts w:ascii="宋体" w:hAnsi="宋体"/>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）CA驱动下载：</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账号</w:t>
      </w:r>
      <w:r>
        <w:rPr>
          <w:rFonts w:hint="eastAsia" w:ascii="宋体" w:hAnsi="宋体"/>
          <w:sz w:val="24"/>
          <w:szCs w:val="24"/>
          <w:highlight w:val="none"/>
        </w:rPr>
        <w:t xml:space="preserve">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p>
    <w:p>
      <w:pPr>
        <w:ind w:firstLine="480"/>
        <w:spacing w:line="50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\t "_blank" \o "“苏采云”系统供应商操作手册"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p>
    <w:p>
      <w:pPr>
        <w:ind w:firstLine="480"/>
        <w:spacing w:line="500" w:lineRule="exact"/>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50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（三）有关本次采购的事项若存在变动或修改，敬请及时关注江苏比木工程项目管理有限公司在“江苏政府采购网”发布的更正公告。</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4" w:name="_Toc120614211"/>
      <w:r>
        <w:rPr>
          <w:rFonts w:hint="eastAsia" w:ascii="宋体" w:hAnsi="宋体" w:cs="宋体"/>
          <w:b/>
          <w:bCs/>
          <w:sz w:val="36"/>
          <w:szCs w:val="36"/>
          <w:highlight w:val="none"/>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宋体" w:hAnsi="宋体" w:cs="宋体"/>
          <w:b/>
          <w:bCs/>
          <w:sz w:val="36"/>
          <w:szCs w:val="36"/>
          <w:highlight w:val="none"/>
        </w:rPr>
        <w:t xml:space="preserve">投标人须知</w:t>
      </w:r>
      <w:bookmarkEnd w:id="45"/>
      <w:r/>
      <w:bookmarkEnd w:id="46"/>
      <w:r/>
      <w:bookmarkEnd w:id="47"/>
      <w:r/>
      <w:bookmarkEnd w:id="48"/>
      <w:r/>
      <w:r/>
    </w:p>
    <w:p>
      <w:pPr>
        <w:pStyle w:val="1108"/>
        <w:ind w:firstLine="452"/>
        <w:keepLines w:val="0"/>
        <w:keepNext w:val="0"/>
        <w:spacing w:before="0" w:after="0" w:line="500" w:lineRule="exact"/>
        <w:rPr>
          <w:sz w:val="30"/>
          <w:szCs w:val="30"/>
          <w:highlight w:val="none"/>
          <w:lang w:eastAsia="zh-CN"/>
        </w:rPr>
      </w:pPr>
      <w:r/>
      <w:bookmarkStart w:id="49" w:name="_Toc513029203"/>
      <w:r/>
      <w:bookmarkStart w:id="50" w:name="_Toc16938519"/>
      <w:r/>
      <w:bookmarkStart w:id="51" w:name="_Toc20823275"/>
      <w:r/>
      <w:bookmarkStart w:id="52" w:name="_Toc120614214"/>
      <w:r>
        <w:rPr>
          <w:rFonts w:hint="eastAsia"/>
          <w:sz w:val="30"/>
          <w:szCs w:val="30"/>
          <w:highlight w:val="none"/>
          <w:lang w:eastAsia="zh-CN"/>
        </w:rPr>
        <w:t xml:space="preserve">一、总则</w:t>
      </w:r>
      <w:bookmarkEnd w:id="49"/>
      <w:r/>
      <w:bookmarkEnd w:id="50"/>
      <w:r/>
      <w:bookmarkEnd w:id="51"/>
      <w:r/>
      <w:bookmarkEnd w:id="52"/>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53" w:name="_Hlt16619475"/>
      <w:r/>
      <w:bookmarkEnd w:id="53"/>
      <w:r/>
      <w:bookmarkStart w:id="54" w:name="_Toc20823276"/>
      <w:r/>
      <w:bookmarkStart w:id="55" w:name="_Toc513029204"/>
      <w:r/>
      <w:bookmarkStart w:id="56" w:name="_Toc16938520"/>
      <w:r>
        <w:rPr>
          <w:rFonts w:hint="eastAsia" w:ascii="宋体" w:hAnsi="宋体" w:eastAsia="宋体"/>
          <w:bCs w:val="0"/>
          <w:highlight w:val="none"/>
          <w:lang w:eastAsia="zh-CN"/>
        </w:rPr>
        <w:t xml:space="preserve">1.招标方式</w:t>
      </w:r>
      <w:bookmarkEnd w:id="54"/>
      <w:r/>
      <w:bookmarkEnd w:id="55"/>
      <w:r/>
      <w:bookmarkEnd w:id="56"/>
      <w:r/>
      <w:r/>
    </w:p>
    <w:p>
      <w:pPr>
        <w:ind w:firstLine="480"/>
        <w:spacing w:line="500" w:lineRule="exact"/>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57" w:name="_Toc16938521"/>
      <w:r/>
      <w:bookmarkStart w:id="58" w:name="_Toc20823277"/>
      <w:r/>
      <w:bookmarkStart w:id="59" w:name="_Toc513029205"/>
      <w:r>
        <w:rPr>
          <w:rFonts w:hint="eastAsia" w:ascii="宋体" w:hAnsi="宋体" w:eastAsia="宋体"/>
          <w:bCs w:val="0"/>
          <w:highlight w:val="none"/>
          <w:lang w:eastAsia="zh-CN"/>
        </w:rPr>
        <w:t xml:space="preserve">2.</w:t>
      </w:r>
      <w:bookmarkEnd w:id="57"/>
      <w:r/>
      <w:bookmarkEnd w:id="58"/>
      <w:r/>
      <w:bookmarkEnd w:id="59"/>
      <w:r>
        <w:rPr>
          <w:rFonts w:hint="eastAsia" w:ascii="宋体" w:hAnsi="宋体" w:eastAsia="宋体"/>
          <w:bCs w:val="0"/>
          <w:highlight w:val="none"/>
          <w:lang w:eastAsia="zh-CN"/>
        </w:rPr>
        <w:t xml:space="preserve">采购人、采购代理机构、投标人、联合体</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60" w:name="_Toc16938522"/>
      <w:r/>
      <w:bookmarkStart w:id="61" w:name="_Toc20823278"/>
      <w:r/>
      <w:bookmarkStart w:id="62" w:name="_Toc513029206"/>
      <w:r>
        <w:rPr>
          <w:rFonts w:hint="eastAsia" w:ascii="宋体" w:hAnsi="宋体" w:eastAsia="宋体"/>
          <w:bCs w:val="0"/>
          <w:highlight w:val="none"/>
          <w:lang w:eastAsia="zh-CN"/>
        </w:rPr>
        <w:t xml:space="preserve">3.适用法律</w:t>
      </w:r>
      <w:bookmarkEnd w:id="60"/>
      <w:r/>
      <w:bookmarkEnd w:id="61"/>
      <w:r/>
      <w:bookmarkEnd w:id="62"/>
      <w:r/>
      <w:r/>
    </w:p>
    <w:p>
      <w:pPr>
        <w:ind w:firstLine="480"/>
        <w:spacing w:line="5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63" w:name="_Toc16938523"/>
      <w:r/>
      <w:bookmarkStart w:id="64" w:name="_Toc20823279"/>
      <w:r/>
      <w:bookmarkStart w:id="65" w:name="_Toc462564067"/>
      <w:r/>
      <w:bookmarkStart w:id="66" w:name="_Toc513029207"/>
      <w:r>
        <w:rPr>
          <w:rFonts w:hint="eastAsia" w:ascii="宋体" w:hAnsi="宋体" w:eastAsia="宋体"/>
          <w:bCs w:val="0"/>
          <w:highlight w:val="none"/>
          <w:lang w:eastAsia="zh-CN"/>
        </w:rPr>
        <w:t xml:space="preserve">4.投标费用</w:t>
      </w:r>
      <w:bookmarkEnd w:id="63"/>
      <w:r/>
      <w:bookmarkEnd w:id="64"/>
      <w:r/>
      <w:bookmarkEnd w:id="65"/>
      <w:r/>
      <w:bookmarkEnd w:id="66"/>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投标人应自行承担所有与参加投标有关的费用，无论投标过程中的做法和结果如何，江苏比木工程项目管理有限公司（以下简称代理机构）在任何情况下均无义务和责任承担这些费用。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4.2本次招标标书工本费、招标文件均免费。</w:t>
      </w:r>
      <w:r/>
    </w:p>
    <w:p>
      <w:pPr>
        <w:ind w:firstLine="480"/>
        <w:spacing w:line="500" w:lineRule="exact"/>
        <w:rPr>
          <w:rFonts w:hint="eastAsia" w:ascii="宋体" w:hAnsi="宋体"/>
          <w:b/>
          <w:bCs/>
          <w:sz w:val="24"/>
          <w:highlight w:val="none"/>
        </w:rPr>
      </w:pPr>
      <w:r>
        <w:rPr>
          <w:rFonts w:hint="eastAsia" w:ascii="宋体" w:hAnsi="宋体"/>
          <w:b/>
          <w:bCs/>
          <w:sz w:val="24"/>
          <w:highlight w:val="none"/>
        </w:rPr>
        <w:t xml:space="preserve">4.3本次招标中标服务费由招标人支付，按中标金额为计费基础，按差额定率累进法计算后的80%计取，100万元以下部分费率为1.5%，100万—500万部分费率为1.1%。</w:t>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1108"/>
        <w:ind w:firstLine="452"/>
        <w:keepLines w:val="0"/>
        <w:keepNext w:val="0"/>
        <w:spacing w:before="0" w:after="0" w:line="500" w:lineRule="exact"/>
        <w:rPr>
          <w:sz w:val="30"/>
          <w:szCs w:val="30"/>
          <w:highlight w:val="none"/>
          <w:lang w:eastAsia="zh-CN"/>
        </w:rPr>
      </w:pPr>
      <w:r/>
      <w:bookmarkStart w:id="67" w:name="_Toc20823281"/>
      <w:r/>
      <w:bookmarkStart w:id="68" w:name="_Toc513029209"/>
      <w:r/>
      <w:bookmarkStart w:id="69" w:name="_Toc120614215"/>
      <w:r/>
      <w:bookmarkStart w:id="70" w:name="_Toc16938525"/>
      <w:r>
        <w:rPr>
          <w:rFonts w:hint="eastAsia"/>
          <w:sz w:val="30"/>
          <w:szCs w:val="30"/>
          <w:highlight w:val="none"/>
          <w:lang w:eastAsia="zh-CN"/>
        </w:rPr>
        <w:t xml:space="preserve">二、招标文件</w:t>
      </w:r>
      <w:bookmarkEnd w:id="67"/>
      <w:r/>
      <w:bookmarkEnd w:id="68"/>
      <w:r/>
      <w:bookmarkEnd w:id="69"/>
      <w:r/>
      <w:bookmarkEnd w:id="70"/>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71" w:name="_Toc16938526"/>
      <w:r/>
      <w:bookmarkStart w:id="72" w:name="_Toc513029210"/>
      <w:r/>
      <w:bookmarkStart w:id="73" w:name="_Toc20823282"/>
      <w:r>
        <w:rPr>
          <w:rFonts w:hint="eastAsia" w:ascii="宋体" w:hAnsi="宋体" w:eastAsia="宋体"/>
          <w:bCs w:val="0"/>
          <w:highlight w:val="none"/>
          <w:lang w:eastAsia="zh-CN"/>
        </w:rPr>
        <w:t xml:space="preserve">6.招标文件构成</w:t>
      </w:r>
      <w:bookmarkEnd w:id="71"/>
      <w:r/>
      <w:bookmarkEnd w:id="72"/>
      <w:r/>
      <w:bookmarkEnd w:id="73"/>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500" w:lineRule="exact"/>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请仔细检查招标文件是否齐全，如有缺漏请立即与代理机构联系解决。</w:t>
      </w:r>
      <w:r/>
    </w:p>
    <w:p>
      <w:pPr>
        <w:ind w:firstLine="480"/>
        <w:spacing w:line="500" w:lineRule="exact"/>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74" w:name="_Toc20823283"/>
      <w:r/>
      <w:bookmarkStart w:id="75" w:name="_Toc462564070"/>
      <w:r/>
      <w:bookmarkStart w:id="76" w:name="_Toc16938527"/>
      <w:r/>
      <w:bookmarkStart w:id="77" w:name="_Toc513029211"/>
      <w:r>
        <w:rPr>
          <w:rFonts w:hint="eastAsia" w:ascii="宋体" w:hAnsi="宋体" w:eastAsia="宋体"/>
          <w:bCs w:val="0"/>
          <w:highlight w:val="none"/>
          <w:lang w:eastAsia="zh-CN"/>
        </w:rPr>
        <w:t xml:space="preserve">7.招标文件的澄清</w:t>
      </w:r>
      <w:bookmarkEnd w:id="74"/>
      <w:r/>
      <w:bookmarkEnd w:id="75"/>
      <w:r/>
      <w:bookmarkEnd w:id="76"/>
      <w:r/>
      <w:bookmarkEnd w:id="77"/>
      <w:r/>
      <w:r/>
    </w:p>
    <w:p>
      <w:pPr>
        <w:ind w:firstLine="480"/>
        <w:spacing w:line="500" w:lineRule="exact"/>
        <w:rPr>
          <w:rFonts w:hint="eastAsia" w:ascii="宋体" w:hAnsi="宋体"/>
          <w:bCs/>
          <w:i/>
          <w:sz w:val="24"/>
          <w:highlight w:val="none"/>
        </w:rPr>
      </w:pPr>
      <w:r>
        <w:rPr>
          <w:rFonts w:hint="eastAsia" w:ascii="宋体" w:hAnsi="宋体"/>
          <w:bCs/>
          <w:sz w:val="24"/>
          <w:highlight w:val="none"/>
        </w:rPr>
        <w:t xml:space="preserve">7.1</w:t>
      </w:r>
      <w:r>
        <w:rPr>
          <w:rFonts w:ascii="宋体" w:hAnsi="宋体"/>
          <w:bCs/>
          <w:i/>
          <w:sz w:val="24"/>
          <w:highlight w:val="none"/>
        </w:rPr>
        <w:t xml:space="preserve"> </w:t>
      </w:r>
      <w:r>
        <w:rPr>
          <w:rFonts w:hint="eastAsia" w:ascii="宋体" w:hAnsi="宋体"/>
          <w:bCs/>
          <w:sz w:val="24"/>
          <w:highlight w:val="none"/>
        </w:rPr>
        <w:t xml:space="preserve">代理机构根据采购人要求将于以下答疑时间前进行答疑。投标人如有需要对招标文件要求澄清的问题，请于以下提疑时间前</w:t>
      </w:r>
      <w:r>
        <w:rPr>
          <w:rFonts w:hint="eastAsia" w:ascii="宋体" w:hAnsi="宋体"/>
          <w:sz w:val="24"/>
          <w:highlight w:val="none"/>
        </w:rPr>
        <w:t xml:space="preserve">按招标公告</w:t>
      </w:r>
      <w:r>
        <w:rPr>
          <w:rFonts w:hint="eastAsia" w:ascii="宋体" w:hAnsi="宋体"/>
          <w:bCs/>
          <w:sz w:val="24"/>
          <w:highlight w:val="none"/>
        </w:rPr>
        <w:t xml:space="preserve">或招标文件中</w:t>
      </w:r>
      <w:r>
        <w:rPr>
          <w:rFonts w:hint="eastAsia" w:ascii="宋体" w:hAnsi="宋体"/>
          <w:sz w:val="24"/>
          <w:highlight w:val="none"/>
        </w:rPr>
        <w:t xml:space="preserve">的联系方式以书面形式通知代理机构。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提疑时间：2026年</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26</w:t>
      </w:r>
      <w:r>
        <w:rPr>
          <w:rFonts w:hint="eastAsia" w:ascii="宋体" w:hAnsi="宋体"/>
          <w:bCs/>
          <w:sz w:val="24"/>
          <w:szCs w:val="24"/>
          <w:highlight w:val="none"/>
        </w:rPr>
        <w:t xml:space="preserve">日10:00</w:t>
      </w:r>
      <w:r/>
    </w:p>
    <w:p>
      <w:pPr>
        <w:ind w:firstLine="480"/>
        <w:spacing w:line="500" w:lineRule="exact"/>
        <w:rPr>
          <w:highlight w:val="none"/>
        </w:rPr>
      </w:pPr>
      <w:r>
        <w:rPr>
          <w:rFonts w:hint="eastAsia" w:ascii="宋体" w:hAnsi="宋体"/>
          <w:bCs/>
          <w:sz w:val="24"/>
          <w:szCs w:val="24"/>
          <w:highlight w:val="none"/>
        </w:rPr>
        <w:t xml:space="preserve">答疑时间：2026年</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26</w:t>
      </w:r>
      <w:r>
        <w:rPr>
          <w:rFonts w:hint="eastAsia" w:ascii="宋体" w:hAnsi="宋体"/>
          <w:bCs/>
          <w:sz w:val="24"/>
          <w:szCs w:val="24"/>
          <w:highlight w:val="none"/>
        </w:rPr>
        <w:t xml:space="preserve">日17:00</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答疑会时间：不组织现场答疑</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答疑会地点：/</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78" w:name="_Toc462564071"/>
      <w:r/>
      <w:bookmarkStart w:id="79" w:name="_Toc513029212"/>
      <w:r/>
      <w:bookmarkStart w:id="80" w:name="_Toc20823284"/>
      <w:r/>
      <w:bookmarkStart w:id="81" w:name="_Toc16938528"/>
      <w:r>
        <w:rPr>
          <w:rFonts w:hint="eastAsia" w:ascii="宋体" w:hAnsi="宋体" w:eastAsia="宋体"/>
          <w:bCs w:val="0"/>
          <w:highlight w:val="none"/>
          <w:lang w:eastAsia="zh-CN"/>
        </w:rPr>
        <w:t xml:space="preserve">8.招标文件的修改</w:t>
      </w:r>
      <w:bookmarkEnd w:id="78"/>
      <w:r/>
      <w:bookmarkEnd w:id="79"/>
      <w:r/>
      <w:bookmarkEnd w:id="80"/>
      <w:r/>
      <w:bookmarkEnd w:id="81"/>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8.1代理机构可以对已发出的招标文件进行必要的澄清或者修改，但不得改变采购标的和资格条件。澄清或者修改的内容可能影响投标文件编制的，代理机构将在投标截止时间至少15日前进行澄清或修改；不足15日的，将顺延提交投标文件的截止时间和开标日期。</w:t>
      </w:r>
      <w:r/>
    </w:p>
    <w:p>
      <w:pPr>
        <w:ind w:firstLine="480"/>
        <w:spacing w:line="500" w:lineRule="exact"/>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1108"/>
        <w:ind w:firstLine="452"/>
        <w:keepLines w:val="0"/>
        <w:keepNext w:val="0"/>
        <w:spacing w:before="0" w:after="0" w:line="500" w:lineRule="exact"/>
        <w:rPr>
          <w:sz w:val="30"/>
          <w:szCs w:val="30"/>
          <w:highlight w:val="none"/>
          <w:lang w:eastAsia="zh-CN"/>
        </w:rPr>
      </w:pPr>
      <w:r/>
      <w:bookmarkStart w:id="82" w:name="_Toc462564072"/>
      <w:r/>
      <w:bookmarkStart w:id="83" w:name="_Toc120614216"/>
      <w:r/>
      <w:bookmarkStart w:id="84" w:name="_Toc16938529"/>
      <w:r/>
      <w:bookmarkStart w:id="85" w:name="_Toc20823285"/>
      <w:r/>
      <w:bookmarkStart w:id="86" w:name="_Toc513029213"/>
      <w:r>
        <w:rPr>
          <w:rFonts w:hint="eastAsia"/>
          <w:sz w:val="30"/>
          <w:szCs w:val="30"/>
          <w:highlight w:val="none"/>
          <w:lang w:eastAsia="zh-CN"/>
        </w:rPr>
        <w:t xml:space="preserve">三、投标文件的编制</w:t>
      </w:r>
      <w:bookmarkEnd w:id="82"/>
      <w:r/>
      <w:bookmarkEnd w:id="83"/>
      <w:r/>
      <w:bookmarkEnd w:id="84"/>
      <w:r/>
      <w:bookmarkEnd w:id="85"/>
      <w:r/>
      <w:bookmarkEnd w:id="86"/>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87" w:name="_Toc513029214"/>
      <w:r/>
      <w:bookmarkStart w:id="88" w:name="_Toc462564073"/>
      <w:r/>
      <w:bookmarkStart w:id="89" w:name="_Toc16938530"/>
      <w:r/>
      <w:bookmarkStart w:id="90" w:name="_Toc20823286"/>
      <w:r>
        <w:rPr>
          <w:rFonts w:hint="eastAsia" w:ascii="宋体" w:hAnsi="宋体" w:eastAsia="宋体"/>
          <w:bCs w:val="0"/>
          <w:highlight w:val="none"/>
          <w:lang w:eastAsia="zh-CN"/>
        </w:rPr>
        <w:t xml:space="preserve">9.投标文件的语言及度量衡单位</w:t>
      </w:r>
      <w:bookmarkEnd w:id="87"/>
      <w:r/>
      <w:bookmarkEnd w:id="88"/>
      <w:r/>
      <w:bookmarkEnd w:id="89"/>
      <w:r/>
      <w:bookmarkEnd w:id="90"/>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投标人提交的投标文件以及投标人与代理机构就有关投标的所有来往通知、函件和文件均应使用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91" w:name="_Toc462564074"/>
      <w:r/>
      <w:bookmarkStart w:id="92" w:name="_Toc16938531"/>
      <w:r/>
      <w:bookmarkStart w:id="93" w:name="_Toc513029215"/>
      <w:r/>
      <w:bookmarkStart w:id="94" w:name="_Toc20823287"/>
      <w:r>
        <w:rPr>
          <w:rFonts w:hint="eastAsia" w:ascii="宋体" w:hAnsi="宋体" w:eastAsia="宋体"/>
          <w:bCs w:val="0"/>
          <w:highlight w:val="none"/>
          <w:lang w:eastAsia="zh-CN"/>
        </w:rPr>
        <w:t xml:space="preserve">10.投标文件构成</w:t>
      </w:r>
      <w:bookmarkEnd w:id="91"/>
      <w:r/>
      <w:bookmarkEnd w:id="92"/>
      <w:r/>
      <w:bookmarkEnd w:id="93"/>
      <w:r/>
      <w:bookmarkEnd w:id="94"/>
      <w:r/>
      <w:r/>
    </w:p>
    <w:p>
      <w:pPr>
        <w:ind w:firstLine="480"/>
        <w:spacing w:line="500" w:lineRule="exact"/>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95" w:name="_Hlt26670360"/>
      <w:r/>
      <w:bookmarkEnd w:id="95"/>
      <w:r/>
      <w:bookmarkStart w:id="96" w:name="_Hlt26954838"/>
      <w:r/>
      <w:bookmarkEnd w:id="96"/>
      <w:r/>
      <w:bookmarkStart w:id="97" w:name="_Hlt26668975"/>
      <w:r/>
      <w:bookmarkEnd w:id="97"/>
      <w:r/>
      <w:bookmarkStart w:id="98" w:name="_Toc49090509"/>
      <w:r/>
      <w:bookmarkStart w:id="99" w:name="_Toc14577357"/>
      <w:r/>
      <w:bookmarkStart w:id="100" w:name="_Toc513029219"/>
      <w:r/>
      <w:bookmarkStart w:id="101" w:name="_Toc14577354"/>
      <w:r/>
      <w:bookmarkStart w:id="102" w:name="_Toc49090507"/>
      <w:r/>
      <w:bookmarkStart w:id="103" w:name="_Toc513029216"/>
      <w:r>
        <w:rPr>
          <w:rFonts w:hint="eastAsia" w:ascii="宋体" w:hAnsi="宋体" w:eastAsia="宋体"/>
          <w:bCs w:val="0"/>
          <w:highlight w:val="none"/>
          <w:lang w:eastAsia="zh-CN"/>
        </w:rPr>
        <w:t xml:space="preserve">11.证明投标人及投标标的符合招标文件规定的文件</w:t>
      </w:r>
      <w:bookmarkEnd w:id="98"/>
      <w:r/>
      <w:bookmarkEnd w:id="99"/>
      <w:r/>
      <w:bookmarkEnd w:id="100"/>
      <w:r/>
      <w:bookmarkEnd w:id="101"/>
      <w:r/>
      <w:bookmarkEnd w:id="102"/>
      <w:r/>
      <w:bookmarkEnd w:id="103"/>
      <w:r/>
      <w:r/>
    </w:p>
    <w:p>
      <w:pPr>
        <w:ind w:firstLine="480"/>
        <w:spacing w:line="500" w:lineRule="exact"/>
        <w:rPr>
          <w:rFonts w:hint="eastAsia" w:ascii="宋体" w:hAnsi="宋体"/>
          <w:bCs/>
          <w:sz w:val="24"/>
          <w:highlight w:val="none"/>
        </w:rPr>
      </w:pPr>
      <w:r/>
      <w:bookmarkStart w:id="104" w:name="_Toc49090508"/>
      <w:r/>
      <w:bookmarkStart w:id="105" w:name="_Toc14577355"/>
      <w:r>
        <w:rPr>
          <w:rFonts w:hint="eastAsia" w:ascii="宋体" w:hAnsi="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06" w:name="_Toc49090510"/>
      <w:r/>
      <w:bookmarkStart w:id="107" w:name="_Toc14577359"/>
      <w:r>
        <w:rPr>
          <w:rFonts w:hint="eastAsia" w:ascii="宋体" w:hAnsi="宋体" w:eastAsia="宋体"/>
          <w:bCs w:val="0"/>
          <w:highlight w:val="none"/>
          <w:lang w:eastAsia="zh-CN"/>
        </w:rPr>
        <w:t xml:space="preserve">12.投标函、承诺书和开标一览表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106"/>
      <w:r/>
      <w:bookmarkEnd w:id="107"/>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w:t>
      </w:r>
      <w:bookmarkEnd w:id="104"/>
      <w:r/>
      <w:bookmarkEnd w:id="105"/>
      <w:r>
        <w:rPr>
          <w:rFonts w:hint="eastAsia" w:ascii="宋体" w:hAnsi="宋体" w:eastAsia="宋体"/>
          <w:bCs w:val="0"/>
          <w:highlight w:val="none"/>
          <w:lang w:eastAsia="zh-CN"/>
        </w:rPr>
        <w:t xml:space="preserve">分项报价表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8" w:name="_Hlt26954840"/>
      <w:r/>
      <w:bookmarkEnd w:id="108"/>
      <w:r>
        <w:rPr>
          <w:rFonts w:hint="eastAsia" w:ascii="宋体" w:hAnsi="宋体"/>
          <w:sz w:val="24"/>
          <w:highlight w:val="none"/>
        </w:rPr>
        <w:t xml:space="preserve">标人应按照招标文件规定格式填报</w:t>
      </w:r>
      <w:bookmarkStart w:id="109" w:name="_Hlt26670399"/>
      <w:r/>
      <w:bookmarkEnd w:id="109"/>
      <w:r>
        <w:rPr>
          <w:rFonts w:hint="eastAsia" w:ascii="宋体" w:hAnsi="宋体"/>
          <w:sz w:val="24"/>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10" w:name="_Hlt26670482"/>
      <w:r/>
      <w:bookmarkEnd w:id="110"/>
      <w:r/>
      <w:bookmarkStart w:id="111" w:name="_Hlt26954842"/>
      <w:r/>
      <w:bookmarkEnd w:id="111"/>
      <w:r/>
      <w:bookmarkStart w:id="112" w:name="_Hlt26668983"/>
      <w:r/>
      <w:bookmarkEnd w:id="112"/>
      <w:r/>
      <w:bookmarkStart w:id="113" w:name="_Hlt26670425"/>
      <w:r/>
      <w:bookmarkEnd w:id="113"/>
      <w:r/>
      <w:bookmarkStart w:id="114" w:name="_Hlt26954846"/>
      <w:r/>
      <w:bookmarkEnd w:id="114"/>
      <w:r/>
      <w:bookmarkStart w:id="115" w:name="_Hlt26670486"/>
      <w:r/>
      <w:bookmarkEnd w:id="115"/>
      <w:r/>
      <w:bookmarkStart w:id="116" w:name="_Hlt26954731"/>
      <w:r/>
      <w:bookmarkEnd w:id="116"/>
      <w:r/>
      <w:bookmarkStart w:id="117" w:name="_Hlt26954844"/>
      <w:r/>
      <w:bookmarkEnd w:id="117"/>
      <w:r/>
      <w:bookmarkStart w:id="118" w:name="_Hlt26954848"/>
      <w:r/>
      <w:bookmarkEnd w:id="118"/>
      <w:r/>
      <w:bookmarkStart w:id="119" w:name="_Hlt26670403"/>
      <w:r/>
      <w:bookmarkEnd w:id="119"/>
      <w:r>
        <w:rPr>
          <w:rFonts w:hint="eastAsia" w:ascii="宋体" w:hAnsi="宋体" w:eastAsia="宋体"/>
          <w:bCs w:val="0"/>
          <w:highlight w:val="none"/>
          <w:lang w:eastAsia="zh-CN"/>
        </w:rPr>
        <w:t xml:space="preserve">14.投标偏离表</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20" w:name="_Hlt26954734"/>
      <w:r/>
      <w:bookmarkEnd w:id="120"/>
      <w:r/>
      <w:bookmarkStart w:id="121" w:name="_Hlt26670489"/>
      <w:r/>
      <w:bookmarkEnd w:id="121"/>
      <w:r/>
      <w:bookmarkStart w:id="122" w:name="_Hlt26954850"/>
      <w:r/>
      <w:bookmarkEnd w:id="122"/>
      <w:r/>
      <w:bookmarkStart w:id="123" w:name="_Toc14577360"/>
      <w:r/>
      <w:bookmarkStart w:id="124" w:name="_Toc49090511"/>
      <w:r>
        <w:rPr>
          <w:rFonts w:hint="eastAsia" w:ascii="宋体" w:hAnsi="宋体" w:eastAsia="宋体"/>
          <w:bCs w:val="0"/>
          <w:highlight w:val="none"/>
          <w:lang w:eastAsia="zh-CN"/>
        </w:rPr>
        <w:t xml:space="preserve">15.投标有效期</w:t>
      </w:r>
      <w:bookmarkEnd w:id="123"/>
      <w:r/>
      <w:bookmarkEnd w:id="124"/>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1108"/>
        <w:ind w:firstLine="452"/>
        <w:keepLines w:val="0"/>
        <w:keepNext w:val="0"/>
        <w:spacing w:before="0" w:after="0" w:line="500" w:lineRule="exact"/>
        <w:rPr>
          <w:sz w:val="30"/>
          <w:szCs w:val="30"/>
          <w:highlight w:val="none"/>
          <w:lang w:eastAsia="zh-CN"/>
        </w:rPr>
      </w:pPr>
      <w:r/>
      <w:bookmarkStart w:id="125" w:name="_Hlt26954739"/>
      <w:r/>
      <w:bookmarkEnd w:id="125"/>
      <w:r/>
      <w:bookmarkStart w:id="126" w:name="_Hlt26954852"/>
      <w:r/>
      <w:bookmarkEnd w:id="126"/>
      <w:r/>
      <w:bookmarkStart w:id="127" w:name="_Toc16938540"/>
      <w:r/>
      <w:bookmarkStart w:id="128" w:name="_Toc120614217"/>
      <w:r/>
      <w:bookmarkStart w:id="129" w:name="_Toc20823296"/>
      <w:r/>
      <w:bookmarkStart w:id="130" w:name="_Toc513029224"/>
      <w:r>
        <w:rPr>
          <w:rFonts w:hint="eastAsia"/>
          <w:sz w:val="30"/>
          <w:szCs w:val="30"/>
          <w:highlight w:val="none"/>
          <w:lang w:eastAsia="zh-CN"/>
        </w:rPr>
        <w:t xml:space="preserve">四、投标文件的递交</w:t>
      </w:r>
      <w:bookmarkEnd w:id="127"/>
      <w:r/>
      <w:bookmarkEnd w:id="128"/>
      <w:r/>
      <w:bookmarkEnd w:id="129"/>
      <w:r/>
      <w:bookmarkEnd w:id="130"/>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31" w:name="_Toc462564084"/>
      <w:r/>
      <w:bookmarkStart w:id="132" w:name="_Toc513029225"/>
      <w:r/>
      <w:bookmarkStart w:id="133" w:name="_Toc20823297"/>
      <w:r/>
      <w:bookmarkStart w:id="134" w:name="_Toc16938541"/>
      <w:r>
        <w:rPr>
          <w:rFonts w:hint="eastAsia" w:ascii="宋体" w:hAnsi="宋体" w:eastAsia="宋体"/>
          <w:bCs w:val="0"/>
          <w:highlight w:val="none"/>
          <w:lang w:eastAsia="zh-CN"/>
        </w:rPr>
        <w:t xml:space="preserve">17.投标文件</w:t>
      </w:r>
      <w:bookmarkEnd w:id="131"/>
      <w:r/>
      <w:bookmarkEnd w:id="132"/>
      <w:r/>
      <w:bookmarkEnd w:id="133"/>
      <w:r/>
      <w:bookmarkEnd w:id="134"/>
      <w:r>
        <w:rPr>
          <w:rFonts w:hint="eastAsia" w:ascii="宋体" w:hAnsi="宋体" w:eastAsia="宋体"/>
          <w:bCs w:val="0"/>
          <w:highlight w:val="none"/>
          <w:lang w:eastAsia="zh-CN"/>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1215"/>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5" w:name="_Toc513029226"/>
      <w:r/>
      <w:bookmarkStart w:id="136" w:name="_Toc16938542"/>
      <w:r/>
      <w:bookmarkStart w:id="137" w:name="_Toc20823298"/>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135"/>
      <w:r/>
      <w:bookmarkEnd w:id="136"/>
      <w:r/>
      <w:bookmarkEnd w:id="137"/>
      <w:r>
        <w:rPr>
          <w:rFonts w:hint="eastAsia" w:ascii="宋体" w:hAnsi="宋体" w:eastAsia="宋体"/>
          <w:bCs w:val="0"/>
          <w:highlight w:val="none"/>
          <w:lang w:eastAsia="zh-CN"/>
        </w:rPr>
        <w:t xml:space="preserve">时间</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代理机构可以按照规定，通过更正公告修改投标截止时间，投标人的所有权利和义务以及投标人受制的截止时间均应以延长后新的截止时间为准。</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38" w:name="_Toc16938543"/>
      <w:r/>
      <w:bookmarkStart w:id="139" w:name="_Toc513029227"/>
      <w:r/>
      <w:bookmarkStart w:id="140" w:name="_Toc20823299"/>
      <w:r>
        <w:rPr>
          <w:rFonts w:hint="eastAsia" w:ascii="宋体" w:hAnsi="宋体" w:eastAsia="宋体"/>
          <w:bCs w:val="0"/>
          <w:highlight w:val="none"/>
          <w:lang w:eastAsia="zh-CN"/>
        </w:rPr>
        <w:t xml:space="preserve">19.投标文件</w:t>
      </w:r>
      <w:bookmarkEnd w:id="138"/>
      <w:r/>
      <w:bookmarkEnd w:id="139"/>
      <w:r/>
      <w:bookmarkEnd w:id="140"/>
      <w:r>
        <w:rPr>
          <w:rFonts w:hint="eastAsia" w:ascii="宋体" w:hAnsi="宋体" w:eastAsia="宋体"/>
          <w:bCs w:val="0"/>
          <w:highlight w:val="none"/>
          <w:lang w:eastAsia="zh-CN"/>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代理机构拒绝接收在其规定的投标截止时间后上传的任何投标文件。</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41" w:name="_Toc513029228"/>
      <w:r/>
      <w:bookmarkStart w:id="142" w:name="_Toc20823300"/>
      <w:r/>
      <w:bookmarkStart w:id="143" w:name="_Toc16938544"/>
      <w:r>
        <w:rPr>
          <w:rFonts w:hint="eastAsia" w:ascii="宋体" w:hAnsi="宋体" w:eastAsia="宋体"/>
          <w:bCs w:val="0"/>
          <w:highlight w:val="none"/>
          <w:lang w:eastAsia="zh-CN"/>
        </w:rPr>
        <w:t xml:space="preserve">20.投标文件的撤回和修改</w:t>
      </w:r>
      <w:bookmarkEnd w:id="141"/>
      <w:r/>
      <w:bookmarkEnd w:id="142"/>
      <w:r/>
      <w:bookmarkEnd w:id="143"/>
      <w:r/>
      <w:r/>
    </w:p>
    <w:p>
      <w:pPr>
        <w:ind w:firstLine="480"/>
        <w:spacing w:line="500" w:lineRule="exact"/>
        <w:rPr>
          <w:rFonts w:hint="eastAsia" w:ascii="宋体" w:hAnsi="宋体"/>
          <w:sz w:val="24"/>
          <w:highlight w:val="none"/>
        </w:rPr>
      </w:pPr>
      <w:r>
        <w:rPr>
          <w:rFonts w:hint="eastAsia" w:ascii="宋体" w:hAnsi="宋体"/>
          <w:sz w:val="24"/>
          <w:highlight w:val="none"/>
        </w:rPr>
        <w:t xml:space="preserve">20.1投标文件的撤回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21.1.1电子投标文件的撤回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20.2投标文件的修改</w:t>
      </w:r>
      <w:r/>
    </w:p>
    <w:p>
      <w:pPr>
        <w:ind w:firstLine="480"/>
        <w:spacing w:line="50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1108"/>
        <w:ind w:firstLine="452"/>
        <w:keepLines w:val="0"/>
        <w:keepNext w:val="0"/>
        <w:spacing w:before="0" w:after="0" w:line="500" w:lineRule="exact"/>
        <w:rPr>
          <w:sz w:val="30"/>
          <w:szCs w:val="30"/>
          <w:highlight w:val="none"/>
          <w:lang w:eastAsia="zh-CN"/>
        </w:rPr>
      </w:pPr>
      <w:r/>
      <w:bookmarkStart w:id="144" w:name="_Toc20823301"/>
      <w:r/>
      <w:bookmarkStart w:id="145" w:name="_Toc120614218"/>
      <w:r/>
      <w:bookmarkStart w:id="146" w:name="_Toc513029229"/>
      <w:r/>
      <w:bookmarkStart w:id="147" w:name="_Toc16938545"/>
      <w:r>
        <w:rPr>
          <w:rFonts w:hint="eastAsia"/>
          <w:sz w:val="30"/>
          <w:szCs w:val="30"/>
          <w:highlight w:val="none"/>
          <w:lang w:eastAsia="zh-CN"/>
        </w:rPr>
        <w:t xml:space="preserve">五、开标与评标</w:t>
      </w:r>
      <w:bookmarkEnd w:id="144"/>
      <w:r/>
      <w:bookmarkEnd w:id="145"/>
      <w:r/>
      <w:bookmarkEnd w:id="146"/>
      <w:r/>
      <w:bookmarkEnd w:id="147"/>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48" w:name="_Toc513029230"/>
      <w:r/>
      <w:bookmarkStart w:id="149" w:name="_Toc20823302"/>
      <w:r/>
      <w:bookmarkStart w:id="150" w:name="_Toc16938546"/>
      <w:r>
        <w:rPr>
          <w:rFonts w:hint="eastAsia" w:ascii="宋体" w:hAnsi="宋体" w:eastAsia="宋体"/>
          <w:bCs w:val="0"/>
          <w:highlight w:val="none"/>
          <w:lang w:eastAsia="zh-CN"/>
        </w:rPr>
        <w:t xml:space="preserve">21.开标</w:t>
      </w:r>
      <w:bookmarkEnd w:id="148"/>
      <w:r/>
      <w:bookmarkEnd w:id="149"/>
      <w:r/>
      <w:bookmarkEnd w:id="150"/>
      <w:r/>
      <w:r/>
    </w:p>
    <w:p>
      <w:pPr>
        <w:ind w:firstLine="480"/>
        <w:spacing w:line="500" w:lineRule="exact"/>
        <w:rPr>
          <w:highlight w:val="none"/>
        </w:rPr>
      </w:pPr>
      <w:r>
        <w:rPr>
          <w:rFonts w:hint="eastAsia" w:ascii="宋体" w:hAnsi="宋体"/>
          <w:sz w:val="24"/>
          <w:highlight w:val="none"/>
        </w:rPr>
        <w:t xml:space="preserve">21.1</w:t>
      </w:r>
      <w:r>
        <w:rPr>
          <w:rFonts w:hint="eastAsia" w:ascii="宋体" w:hAnsi="宋体"/>
          <w:bCs/>
          <w:sz w:val="24"/>
          <w:highlight w:val="none"/>
        </w:rPr>
        <w:t xml:space="preserve">代理机构将在招标公告中规定的时间和地点组织公开开标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500" w:lineRule="exact"/>
        <w:rPr>
          <w:rFonts w:hint="eastAsia" w:ascii="宋体" w:hAnsi="宋体"/>
          <w:sz w:val="24"/>
          <w:highlight w:val="none"/>
        </w:rPr>
      </w:pPr>
      <w:r>
        <w:rPr>
          <w:rFonts w:hint="eastAsia" w:ascii="宋体" w:hAnsi="宋体"/>
          <w:sz w:val="24"/>
          <w:highlight w:val="none"/>
        </w:rPr>
        <w:t xml:space="preserve">21.2开标仪式由代理机构组织。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spacing w:line="500" w:lineRule="exact"/>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51" w:name="_Toc513029231"/>
      <w:r/>
      <w:bookmarkStart w:id="152" w:name="_Toc16938547"/>
      <w:r/>
      <w:bookmarkStart w:id="153" w:name="_Toc20823303"/>
      <w:r>
        <w:rPr>
          <w:rFonts w:hint="eastAsia" w:ascii="宋体" w:hAnsi="宋体" w:eastAsia="宋体"/>
          <w:bCs w:val="0"/>
          <w:highlight w:val="none"/>
          <w:lang w:eastAsia="zh-CN"/>
        </w:rPr>
        <w:t xml:space="preserve">22.评标委员会</w:t>
      </w:r>
      <w:r/>
    </w:p>
    <w:p>
      <w:pPr>
        <w:ind w:firstLine="480"/>
        <w:spacing w:line="500" w:lineRule="exact"/>
        <w:rPr>
          <w:rFonts w:hint="eastAsia" w:ascii="宋体" w:hAnsi="宋体"/>
          <w:b/>
          <w:sz w:val="24"/>
          <w:szCs w:val="24"/>
          <w:highlight w:val="none"/>
        </w:rPr>
      </w:pPr>
      <w:r>
        <w:rPr>
          <w:rFonts w:hint="eastAsia" w:ascii="宋体" w:hAnsi="宋体"/>
          <w:sz w:val="24"/>
          <w:szCs w:val="24"/>
          <w:highlight w:val="none"/>
        </w:rPr>
        <w:t xml:space="preserve">22.1开标后，代理机构将立即组织评标委员会（以下简称评委会）进行评标。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22.3评委会独立工作，负责对招标文件进行审核，确认其不存在歧视性、排他性等不合理条款后，开始负责评审所有投标文件并确定中标候选人。</w:t>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51"/>
      <w:r/>
      <w:bookmarkEnd w:id="152"/>
      <w:r/>
      <w:bookmarkEnd w:id="153"/>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代理机构和评标委员会不向未中标的投标人解释未中标原因，也不公布评标过程中的相关细节。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54" w:name="_Toc513029232"/>
      <w:r/>
      <w:bookmarkStart w:id="155" w:name="_Toc16938548"/>
      <w:r/>
      <w:bookmarkStart w:id="156" w:name="_Toc20823304"/>
      <w:r>
        <w:rPr>
          <w:rFonts w:hint="eastAsia" w:ascii="宋体" w:hAnsi="宋体" w:eastAsia="宋体"/>
          <w:bCs w:val="0"/>
          <w:highlight w:val="none"/>
          <w:lang w:eastAsia="zh-CN"/>
        </w:rPr>
        <w:t xml:space="preserve">24.投标文件的澄清</w:t>
      </w:r>
      <w:bookmarkEnd w:id="154"/>
      <w:r/>
      <w:bookmarkEnd w:id="155"/>
      <w:r/>
      <w:bookmarkEnd w:id="156"/>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24.3接到评委会澄清、说明和补正要求的投标人如未按规定及时作出澄清、说明和补正，其风险由投标人自行承担。</w:t>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57" w:name="_Toc16938549"/>
      <w:r/>
      <w:bookmarkStart w:id="158" w:name="_Toc513029233"/>
      <w:r/>
      <w:bookmarkStart w:id="159" w:name="_Toc20823305"/>
      <w:r>
        <w:rPr>
          <w:rFonts w:hint="eastAsia" w:ascii="宋体" w:hAnsi="宋体" w:eastAsia="宋体"/>
          <w:bCs w:val="0"/>
          <w:highlight w:val="none"/>
          <w:lang w:eastAsia="zh-CN"/>
        </w:rPr>
        <w:t xml:space="preserve">25.对投标文件的初审</w:t>
      </w:r>
      <w:bookmarkEnd w:id="157"/>
      <w:r/>
      <w:bookmarkEnd w:id="158"/>
      <w:r/>
      <w:bookmarkEnd w:id="159"/>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25.1.1资格审查：依据法律法规和招标文件的规定，由采购代理对投标文件中的资格证明文件进行审查。</w:t>
      </w:r>
      <w:r/>
    </w:p>
    <w:p>
      <w:pPr>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采购代理在进行资格审查的同时，将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查询投标供应商在投标截止时间之前，是否被列入失信被执行人、重大税收违法失信主体名单、政府采购严重违法失信行为记录名单</w:t>
      </w:r>
      <w:r>
        <w:rPr>
          <w:rFonts w:hint="eastAsia" w:ascii="宋体" w:hAnsi="宋体" w:cs="宋体"/>
          <w:sz w:val="24"/>
          <w:szCs w:val="24"/>
          <w:highlight w:val="none"/>
        </w:rPr>
        <w:t xml:space="preserve">，</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80"/>
        <w:spacing w:before="132" w:line="360" w:lineRule="auto"/>
        <w:rPr>
          <w:rFonts w:hint="eastAsia" w:ascii="宋体" w:hAnsi="宋体"/>
          <w:sz w:val="24"/>
          <w:highlight w:val="none"/>
        </w:rPr>
      </w:pPr>
      <w:r/>
      <w:bookmarkStart w:id="160" w:name="_Toc20823306"/>
      <w:r/>
      <w:bookmarkStart w:id="161" w:name="_Toc513029234"/>
      <w:r/>
      <w:bookmarkStart w:id="162" w:name="_Toc16938550"/>
      <w:r>
        <w:rPr>
          <w:rFonts w:hint="eastAsia" w:ascii="宋体" w:hAnsi="宋体"/>
          <w:sz w:val="24"/>
          <w:highlight w:val="none"/>
        </w:rPr>
        <w:t xml:space="preserve">25.6投标人在开、评标全过程中应保持通信畅通，及时登录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35"/>
        <w:ind w:firstLine="480"/>
        <w:spacing w:line="360" w:lineRule="auto"/>
        <w:rPr>
          <w:rFonts w:hint="eastAsia" w:ascii="宋体" w:hAnsi="宋体" w:eastAsia="宋体"/>
          <w:bCs/>
          <w:highlight w:val="none"/>
          <w:lang w:eastAsia="zh-CN"/>
        </w:rPr>
      </w:pPr>
      <w:r>
        <w:rPr>
          <w:rFonts w:hint="eastAsia" w:ascii="宋体" w:hAnsi="宋体" w:eastAsia="宋体"/>
          <w:color w:val="000000"/>
          <w:sz w:val="24"/>
          <w:szCs w:val="21"/>
          <w:highlight w:val="none"/>
          <w:lang w:eastAsia="zh-CN"/>
        </w:rPr>
        <w:t xml:space="preserve">财政部门在投诉处理、监督检查中发现评审委员会未按规定对异常低价开展审查的，依法予以纠正并追究评审专家的法律责任。</w:t>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60"/>
      <w:r/>
      <w:bookmarkEnd w:id="161"/>
      <w:r/>
      <w:bookmarkEnd w:id="162"/>
      <w:r>
        <w:rPr>
          <w:rFonts w:hint="eastAsia" w:ascii="宋体" w:hAnsi="宋体" w:eastAsia="宋体"/>
          <w:bCs w:val="0"/>
          <w:highlight w:val="none"/>
          <w:lang w:eastAsia="zh-CN"/>
        </w:rPr>
        <w:t xml:space="preserve">.无效投标条款和废标条款</w:t>
      </w:r>
      <w:r/>
    </w:p>
    <w:p>
      <w:pPr>
        <w:ind w:left="479"/>
        <w:spacing w:line="500" w:lineRule="exact"/>
        <w:rPr>
          <w:rFonts w:hint="eastAsia" w:ascii="宋体" w:hAnsi="宋体"/>
          <w:bCs/>
          <w:sz w:val="24"/>
          <w:highlight w:val="none"/>
        </w:rPr>
      </w:pPr>
      <w:r/>
      <w:bookmarkStart w:id="163" w:name="_Toc513029235"/>
      <w:r/>
      <w:bookmarkStart w:id="164" w:name="_Toc20823307"/>
      <w:r/>
      <w:bookmarkStart w:id="165"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投标人的项目（采购包、标项、标段）投标总价超过本项目（本采购包、本标项、本标段）预算或最高限价的</w:t>
      </w:r>
      <w:r>
        <w:rPr>
          <w:rFonts w:hint="eastAsia" w:ascii="宋体" w:hAnsi="宋体"/>
          <w:bCs/>
          <w:sz w:val="24"/>
          <w:szCs w:val="24"/>
          <w:highlight w:val="none"/>
        </w:rPr>
        <w:t xml:space="preserve">。</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26.1.21除单一来源采购项目外，为采购项目提供整体设计、规范编制或者项目管理、监理、检测等服务的</w:t>
      </w:r>
      <w:r>
        <w:rPr>
          <w:rFonts w:hint="eastAsia" w:ascii="宋体" w:hAnsi="宋体"/>
          <w:bCs/>
          <w:sz w:val="24"/>
          <w:szCs w:val="24"/>
          <w:highlight w:val="none"/>
        </w:rPr>
        <w:t xml:space="preserve">。</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26.1.22</w:t>
      </w:r>
      <w:r>
        <w:rPr>
          <w:rFonts w:hint="eastAsia" w:ascii="宋体" w:hAnsi="宋体"/>
          <w:bCs/>
          <w:sz w:val="24"/>
          <w:szCs w:val="24"/>
          <w:highlight w:val="none"/>
        </w:rPr>
        <w:t xml:space="preserve">评标委员会按照本招标文件规定对投标人进行异常低价投标（响应）审查后，认为投标人不能证明其报价合理性的。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26.1.25其他法律法规及本招标文件规定的属于无效投标的情形。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26.2.1符合专业条件的供应商或者对招标文件做实质响应的供应商不足三家的。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26.2.2出现影响采购公正的违法、违规行为的。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left="479"/>
        <w:spacing w:line="500" w:lineRule="exact"/>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1108"/>
        <w:ind w:firstLine="452"/>
        <w:keepLines w:val="0"/>
        <w:keepNext w:val="0"/>
        <w:spacing w:before="0" w:after="0" w:line="500" w:lineRule="exact"/>
        <w:rPr>
          <w:sz w:val="30"/>
          <w:szCs w:val="30"/>
          <w:highlight w:val="none"/>
          <w:lang w:eastAsia="zh-CN"/>
        </w:rPr>
      </w:pPr>
      <w:r/>
      <w:bookmarkStart w:id="166" w:name="_Toc120614219"/>
      <w:r>
        <w:rPr>
          <w:rFonts w:hint="eastAsia"/>
          <w:sz w:val="30"/>
          <w:szCs w:val="30"/>
          <w:highlight w:val="none"/>
          <w:lang w:eastAsia="zh-CN"/>
        </w:rPr>
        <w:t xml:space="preserve">六、</w:t>
      </w:r>
      <w:bookmarkEnd w:id="163"/>
      <w:r/>
      <w:bookmarkEnd w:id="164"/>
      <w:r/>
      <w:bookmarkEnd w:id="165"/>
      <w:r>
        <w:rPr>
          <w:rFonts w:hint="eastAsia"/>
          <w:sz w:val="30"/>
          <w:szCs w:val="30"/>
          <w:highlight w:val="none"/>
          <w:lang w:eastAsia="zh-CN"/>
        </w:rPr>
        <w:t xml:space="preserve">定标</w:t>
      </w:r>
      <w:bookmarkEnd w:id="166"/>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67" w:name="_Toc513029238"/>
      <w:r/>
      <w:bookmarkStart w:id="168" w:name="_Toc20823310"/>
      <w:r/>
      <w:bookmarkStart w:id="169" w:name="_Toc16938554"/>
      <w:r>
        <w:rPr>
          <w:rFonts w:hint="eastAsia" w:ascii="宋体" w:hAnsi="宋体" w:eastAsia="宋体"/>
          <w:bCs w:val="0"/>
          <w:highlight w:val="none"/>
          <w:lang w:eastAsia="zh-CN"/>
        </w:rPr>
        <w:t xml:space="preserve">27</w:t>
      </w:r>
      <w:bookmarkEnd w:id="167"/>
      <w:r>
        <w:rPr>
          <w:rFonts w:hint="eastAsia" w:ascii="宋体" w:hAnsi="宋体" w:eastAsia="宋体"/>
          <w:bCs w:val="0"/>
          <w:highlight w:val="none"/>
          <w:lang w:eastAsia="zh-CN"/>
        </w:rPr>
        <w:t xml:space="preserve">.确定</w:t>
      </w:r>
      <w:bookmarkEnd w:id="168"/>
      <w:r/>
      <w:bookmarkEnd w:id="169"/>
      <w:r>
        <w:rPr>
          <w:rFonts w:hint="eastAsia" w:ascii="宋体" w:hAnsi="宋体" w:eastAsia="宋体"/>
          <w:bCs w:val="0"/>
          <w:highlight w:val="none"/>
          <w:lang w:eastAsia="zh-CN"/>
        </w:rPr>
        <w:t xml:space="preserve">中标单位</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sz w:val="24"/>
          <w:szCs w:val="24"/>
          <w:highlight w:val="none"/>
        </w:rPr>
        <w:t xml:space="preserve">代理机构将在“江苏政府采购网”发布中标公告，公告期限为1个工作日。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27.4中标无效的确认</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27.4.2向采购人、代理机构行贿或者提供其他不正当利益的。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500" w:lineRule="exact"/>
        <w:rPr>
          <w:rFonts w:hint="eastAsia" w:ascii="宋体" w:hAnsi="宋体"/>
          <w:sz w:val="24"/>
          <w:szCs w:val="24"/>
          <w:highlight w:val="none"/>
        </w:rPr>
      </w:pPr>
      <w:r/>
      <w:bookmarkStart w:id="170" w:name="_Toc200451960"/>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bookmarkEnd w:id="170"/>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w:t>
      </w:r>
      <w:r>
        <w:rPr>
          <w:rFonts w:hint="eastAsia" w:ascii="宋体" w:hAnsi="宋体"/>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采购人、代理机构联系人、联系方式、通信地址见招标文件第一章。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一经查实，代理机构有权依据政府采购的有关规定，报请政府采购监管部门对该供应商进行相应的行政处罚和记录该供应商的失信信息。</w:t>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108"/>
        <w:ind w:firstLine="452"/>
        <w:keepLines w:val="0"/>
        <w:keepNext w:val="0"/>
        <w:spacing w:before="0" w:after="0" w:line="500" w:lineRule="exact"/>
        <w:rPr>
          <w:sz w:val="30"/>
          <w:szCs w:val="30"/>
          <w:highlight w:val="none"/>
          <w:lang w:eastAsia="zh-CN"/>
        </w:rPr>
      </w:pPr>
      <w:r/>
      <w:bookmarkStart w:id="171" w:name="_Toc513029236"/>
      <w:r/>
      <w:bookmarkStart w:id="172" w:name="_Toc120614220"/>
      <w:r/>
      <w:bookmarkStart w:id="173" w:name="_Toc20823308"/>
      <w:r/>
      <w:bookmarkStart w:id="174" w:name="_Toc16938552"/>
      <w:r>
        <w:rPr>
          <w:rFonts w:hint="eastAsia"/>
          <w:sz w:val="30"/>
          <w:szCs w:val="30"/>
          <w:highlight w:val="none"/>
          <w:lang w:eastAsia="zh-CN"/>
        </w:rPr>
        <w:t xml:space="preserve">七、授予合同</w:t>
      </w:r>
      <w:bookmarkEnd w:id="171"/>
      <w:r/>
      <w:bookmarkEnd w:id="172"/>
      <w:r/>
      <w:bookmarkEnd w:id="173"/>
      <w:r/>
      <w:bookmarkEnd w:id="174"/>
      <w:r/>
      <w:r/>
    </w:p>
    <w:p>
      <w:pPr>
        <w:pStyle w:val="1109"/>
        <w:ind w:firstLine="422"/>
        <w:keepLines w:val="0"/>
        <w:keepNext w:val="0"/>
        <w:spacing w:before="0" w:after="0" w:line="500" w:lineRule="exact"/>
        <w:rPr>
          <w:rFonts w:hint="eastAsia" w:ascii="宋体" w:hAnsi="宋体" w:eastAsia="宋体"/>
          <w:bCs w:val="0"/>
          <w:highlight w:val="none"/>
          <w:lang w:eastAsia="zh-CN"/>
        </w:rPr>
      </w:pPr>
      <w:r/>
      <w:bookmarkStart w:id="175" w:name="_Toc513029237"/>
      <w:r/>
      <w:bookmarkStart w:id="176" w:name="_Toc16938553"/>
      <w:r/>
      <w:bookmarkStart w:id="177" w:name="_Toc20823309"/>
      <w:r>
        <w:rPr>
          <w:rFonts w:hint="eastAsia" w:ascii="宋体" w:hAnsi="宋体" w:eastAsia="宋体"/>
          <w:bCs w:val="0"/>
          <w:highlight w:val="none"/>
          <w:lang w:eastAsia="zh-CN"/>
        </w:rPr>
        <w:t xml:space="preserve">30.签订合同</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30.2中标人非因不可抗力未履行招、投标文件和合同规定的义务，一经查实，代理机构将根据具体情况提请政府采购管理部门作出相应处理。</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09"/>
        <w:ind w:firstLine="422"/>
        <w:keepLines w:val="0"/>
        <w:keepNext w:val="0"/>
        <w:spacing w:before="0" w:after="0" w:line="500" w:lineRule="exact"/>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5"/>
      <w:r/>
      <w:bookmarkEnd w:id="176"/>
      <w:r/>
      <w:bookmarkEnd w:id="177"/>
      <w:r/>
      <w:r/>
    </w:p>
    <w:p>
      <w:pPr>
        <w:pStyle w:val="1107"/>
        <w:ind w:firstLine="720"/>
        <w:jc w:val="center"/>
        <w:spacing w:line="500" w:lineRule="exact"/>
        <w:rPr>
          <w:rFonts w:ascii="黑体" w:eastAsia="黑体"/>
          <w:bCs/>
          <w:sz w:val="36"/>
          <w:szCs w:val="36"/>
          <w:highlight w:val="none"/>
          <w:lang w:eastAsia="zh-CN"/>
        </w:rPr>
      </w:pPr>
      <w:r/>
      <w:bookmarkStart w:id="178" w:name="_Toc513029242"/>
      <w:r/>
      <w:bookmarkStart w:id="179" w:name="_Toc20823314"/>
      <w:r/>
      <w:bookmarkStart w:id="180" w:name="_Toc16938558"/>
      <w:r/>
      <w:bookmarkStart w:id="181" w:name="_Toc120614221"/>
      <w:r/>
      <w:bookmarkStart w:id="182" w:name="_Toc479757207"/>
      <w:r>
        <w:rPr>
          <w:rFonts w:ascii="宋体" w:hAnsi="宋体"/>
          <w:bCs/>
          <w:sz w:val="24"/>
          <w:highlight w:val="none"/>
          <w:shd w:val="clear" w:color="ffffff" w:fill="d9d9d9"/>
          <w:lang w:eastAsia="zh-CN"/>
        </w:rPr>
        <w:br w:type="page" w:clear="all"/>
      </w:r>
      <w:bookmarkEnd w:id="178"/>
      <w:r/>
      <w:bookmarkEnd w:id="179"/>
      <w:r/>
      <w:bookmarkEnd w:id="180"/>
      <w:r/>
      <w:bookmarkEnd w:id="181"/>
      <w:r/>
      <w:bookmarkEnd w:id="182"/>
      <w:r/>
      <w:bookmarkStart w:id="183" w:name="_Toc20823315"/>
      <w:r/>
      <w:bookmarkStart w:id="184" w:name="_Toc513029243"/>
      <w:r/>
      <w:bookmarkStart w:id="185" w:name="_Toc16938559"/>
      <w:r>
        <w:rPr>
          <w:rFonts w:hint="eastAsia" w:ascii="宋体" w:hAnsi="宋体" w:cs="宋体"/>
          <w:b/>
          <w:bCs/>
          <w:sz w:val="36"/>
          <w:szCs w:val="36"/>
          <w:highlight w:val="none"/>
          <w:lang w:eastAsia="zh-CN"/>
        </w:rPr>
        <w:t xml:space="preserve">第三章  合同文本</w:t>
      </w:r>
      <w:bookmarkEnd w:id="183"/>
      <w:r/>
      <w:bookmarkEnd w:id="184"/>
      <w:r/>
      <w:bookmarkEnd w:id="185"/>
      <w:r/>
      <w:r/>
    </w:p>
    <w:p>
      <w:pPr>
        <w:ind w:firstLine="480"/>
        <w:spacing w:line="360" w:lineRule="auto"/>
        <w:rPr>
          <w:rFonts w:hint="eastAsia" w:ascii="宋体" w:hAnsi="宋体"/>
          <w:bCs/>
          <w:sz w:val="24"/>
          <w:highlight w:val="none"/>
        </w:rPr>
      </w:pPr>
      <w:r/>
      <w:bookmarkStart w:id="186" w:name="_Toc20823346"/>
      <w:r/>
      <w:bookmarkStart w:id="187" w:name="_Hlt16619350"/>
      <w:r/>
      <w:bookmarkStart w:id="188" w:name="_Toc16938590"/>
      <w:r/>
      <w:bookmarkStart w:id="189" w:name="_Toc120614244"/>
      <w:r/>
      <w:bookmarkStart w:id="190" w:name="_Toc462564139"/>
      <w:r/>
      <w:bookmarkStart w:id="191" w:name="_Toc479757211"/>
      <w:r>
        <w:rPr>
          <w:rFonts w:hint="eastAsia" w:ascii="宋体" w:hAnsi="宋体"/>
          <w:bCs/>
          <w:sz w:val="24"/>
          <w:highlight w:val="none"/>
        </w:rPr>
        <w:t xml:space="preserve">以下为中标后签订本项目合同的通用条款，中标人不得提出实质性的修改。</w:t>
      </w:r>
      <w:r/>
    </w:p>
    <w:p>
      <w:pPr>
        <w:ind w:firstLine="602"/>
        <w:jc w:val="center"/>
        <w:spacing w:line="360" w:lineRule="auto"/>
        <w:rPr>
          <w:rFonts w:hint="eastAsia" w:ascii="宋体" w:hAnsi="宋体"/>
          <w:b/>
          <w:bCs/>
          <w:sz w:val="30"/>
          <w:szCs w:val="20"/>
          <w:highlight w:val="none"/>
        </w:rPr>
      </w:pPr>
      <w:r>
        <w:rPr>
          <w:rFonts w:hint="eastAsia" w:ascii="宋体" w:hAnsi="宋体"/>
          <w:b/>
          <w:sz w:val="30"/>
          <w:highlight w:val="none"/>
        </w:rPr>
        <w:t xml:space="preserve">江苏省政府采购合同（货物）（合同编号）</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p>
    <w:p>
      <w:pPr>
        <w:ind w:firstLine="480"/>
        <w:spacing w:line="400" w:lineRule="exact"/>
        <w:rPr>
          <w:rFonts w:hint="eastAsia"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sz w:val="24"/>
          <w:szCs w:val="24"/>
          <w:highlight w:val="none"/>
        </w:rPr>
        <w:t xml:space="preserve">本合同金额为（大写）： _____________</w:t>
      </w:r>
      <w:r>
        <w:rPr>
          <w:rFonts w:hint="eastAsia" w:hAnsi="宋体"/>
          <w:sz w:val="24"/>
          <w:szCs w:val="24"/>
          <w:highlight w:val="none"/>
        </w:rPr>
        <w:t xml:space="preserve">圆</w:t>
      </w:r>
      <w:r>
        <w:rPr>
          <w:rFonts w:hAnsi="宋体"/>
          <w:sz w:val="24"/>
          <w:szCs w:val="24"/>
          <w:highlight w:val="none"/>
        </w:rPr>
        <w:t xml:space="preserve">（______元）人民币</w:t>
      </w:r>
      <w:r>
        <w:rPr>
          <w:rFonts w:hint="eastAsia" w:hAnsi="宋体"/>
          <w:sz w:val="24"/>
          <w:szCs w:val="24"/>
          <w:highlight w:val="none"/>
        </w:rPr>
        <w:t xml:space="preserve">或其他币种</w:t>
      </w:r>
      <w:r>
        <w:rPr>
          <w:rFonts w:hAnsi="宋体"/>
          <w:sz w:val="24"/>
          <w:szCs w:val="24"/>
          <w:highlight w:val="none"/>
        </w:rPr>
        <w:t xml:space="preserve">。</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p>
    <w:p>
      <w:pPr>
        <w:ind w:firstLine="480"/>
        <w:spacing w:line="400" w:lineRule="exact"/>
        <w:rPr>
          <w:rFonts w:hint="eastAsia" w:ascii="宋体" w:hAnsi="宋体"/>
          <w:color w:val="000000"/>
          <w:sz w:val="24"/>
          <w:highlight w:val="none"/>
        </w:rPr>
      </w:pPr>
      <w:r>
        <w:rPr>
          <w:rFonts w:hAnsi="宋体"/>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p>
    <w:p>
      <w:pPr>
        <w:ind w:firstLine="480"/>
        <w:spacing w:line="400" w:lineRule="exact"/>
        <w:rPr>
          <w:rFonts w:hint="eastAsia"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元作为本合同的履约保证金。</w:t>
      </w:r>
      <w:r>
        <w:rPr>
          <w:rFonts w:hint="eastAsia" w:ascii="宋体" w:hAnsi="宋体" w:cs="Courier New"/>
          <w:color w:val="000000"/>
          <w:sz w:val="24"/>
          <w:szCs w:val="24"/>
          <w:highlight w:val="none"/>
        </w:rPr>
        <w:t xml:space="preserve">（不得超过合同金额的10%）</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ind w:firstLine="480"/>
        <w:spacing w:line="400" w:lineRule="exact"/>
        <w:rPr>
          <w:rFonts w:hint="eastAsia" w:ascii="宋体" w:hAnsi="宋体"/>
          <w:color w:val="000000"/>
          <w:sz w:val="24"/>
          <w:szCs w:val="24"/>
          <w:highlight w:val="none"/>
        </w:rPr>
      </w:pPr>
      <w:r>
        <w:rPr>
          <w:rFonts w:hint="eastAsia" w:ascii="宋体" w:hAnsi="宋体"/>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p>
    <w:p>
      <w:pPr>
        <w:ind w:firstLine="482"/>
        <w:spacing w:line="40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p>
    <w:p>
      <w:pPr>
        <w:ind w:firstLine="480"/>
        <w:spacing w:line="400" w:lineRule="exact"/>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Cs/>
          <w:color w:val="000000"/>
          <w:sz w:val="24"/>
          <w:szCs w:val="24"/>
          <w:highlight w:val="none"/>
        </w:rPr>
        <w:t xml:space="preserve">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sz w:val="24"/>
          <w:szCs w:val="24"/>
          <w:highlight w:val="none"/>
        </w:rPr>
        <w:t xml:space="preserve">8</w:t>
      </w:r>
      <w:r>
        <w:rPr>
          <w:rFonts w:ascii="宋体" w:hAnsi="宋体" w:cs="Courier New"/>
          <w:bCs/>
          <w:sz w:val="24"/>
          <w:szCs w:val="24"/>
          <w:highlight w:val="none"/>
        </w:rPr>
        <w:t xml:space="preserve">.2</w:t>
      </w:r>
      <w:r>
        <w:rPr>
          <w:rFonts w:ascii="宋体" w:hAnsi="宋体" w:cs="Courier New"/>
          <w:sz w:val="24"/>
          <w:szCs w:val="24"/>
          <w:highlight w:val="none"/>
        </w:rPr>
        <w:t xml:space="preserve">当采购数量与实际使用数量不一致时，</w:t>
      </w:r>
      <w:r>
        <w:rPr>
          <w:rFonts w:hint="eastAsia" w:ascii="宋体" w:hAnsi="宋体" w:cs="Courier New"/>
          <w:sz w:val="24"/>
          <w:szCs w:val="24"/>
          <w:highlight w:val="none"/>
        </w:rPr>
        <w:t xml:space="preserve">乙方</w:t>
      </w:r>
      <w:r>
        <w:rPr>
          <w:rFonts w:ascii="宋体" w:hAnsi="宋体" w:cs="Courier New"/>
          <w:sz w:val="24"/>
          <w:szCs w:val="24"/>
          <w:highlight w:val="none"/>
        </w:rPr>
        <w:t xml:space="preserve">应根据实际使用量供货，合同的最</w:t>
      </w:r>
      <w:r>
        <w:rPr>
          <w:rFonts w:ascii="宋体" w:hAnsi="宋体" w:cs="Courier New"/>
          <w:color w:val="000000"/>
          <w:sz w:val="24"/>
          <w:szCs w:val="24"/>
          <w:highlight w:val="none"/>
        </w:rPr>
        <w:t xml:space="preserve">终结算金额按实际使用量乘以成交单价进行计算。</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firstLine="482"/>
        <w:spacing w:line="400" w:lineRule="exact"/>
        <w:rPr>
          <w:rFonts w:hint="eastAsia"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w:t>
      </w:r>
      <w:r>
        <w:rPr>
          <w:rFonts w:hint="eastAsia" w:ascii="宋体" w:hAnsi="宋体" w:cs="Courier New"/>
          <w:color w:val="000000"/>
          <w:sz w:val="24"/>
          <w:szCs w:val="24"/>
          <w:highlight w:val="none"/>
        </w:rPr>
        <w:t xml:space="preserve">上述</w:t>
      </w:r>
      <w:r>
        <w:rPr>
          <w:rFonts w:ascii="宋体" w:hAnsi="宋体" w:cs="Courier New"/>
          <w:color w:val="000000"/>
          <w:sz w:val="24"/>
          <w:szCs w:val="24"/>
          <w:highlight w:val="none"/>
        </w:rPr>
        <w:t xml:space="preserve">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none"/>
        </w:rPr>
        <w:t xml:space="preserve">身</w:t>
      </w:r>
      <w:r>
        <w:rPr>
          <w:rFonts w:ascii="宋体" w:hAnsi="宋体" w:cs="Courier New"/>
          <w:color w:val="000000"/>
          <w:sz w:val="24"/>
          <w:szCs w:val="24"/>
          <w:highlight w:val="none"/>
        </w:rPr>
        <w:t xml:space="preserve">维修，维修时只收部件成本费。</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p>
    <w:p>
      <w:pPr>
        <w:ind w:firstLine="480"/>
        <w:spacing w:line="400" w:lineRule="exact"/>
        <w:rPr>
          <w:rFonts w:hint="eastAsia" w:ascii="宋体" w:hAnsi="宋体" w:cs="Courier New"/>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乙方应在货物发运前对其进行满足运输距离、防潮、防震、防锈和防破损装卸等</w:t>
      </w:r>
      <w:r>
        <w:rPr>
          <w:rFonts w:ascii="宋体" w:hAnsi="宋体" w:cs="Courier New"/>
          <w:sz w:val="24"/>
          <w:szCs w:val="24"/>
          <w:highlight w:val="none"/>
        </w:rPr>
        <w:t xml:space="preserve">要求包装，以保证货物安全运达甲方指定地点。</w:t>
      </w:r>
      <w:r>
        <w:rPr>
          <w:rFonts w:hint="eastAsia" w:ascii="宋体" w:hAnsi="宋体"/>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 </w:t>
      </w:r>
      <w:r>
        <w:rPr>
          <w:rFonts w:ascii="宋体" w:hAnsi="宋体" w:cs="Courier New"/>
          <w:color w:val="000000"/>
          <w:sz w:val="24"/>
          <w:szCs w:val="24"/>
          <w:highlight w:val="none"/>
        </w:rPr>
        <w:t xml:space="preserve">的违约金。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 甲方无故逾期验收和办理货款支付手续的</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甲方应按逾期付款总额每日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向乙方支付违约金。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 乙方逾期交付货物的，乙方应按逾期交货总额每日千分之</w:t>
      </w:r>
      <w:r>
        <w:rPr>
          <w:rFonts w:hint="eastAsia" w:ascii="宋体" w:hAnsi="宋体" w:cs="Courier New"/>
          <w:color w:val="000000"/>
          <w:sz w:val="24"/>
          <w:szCs w:val="24"/>
          <w:highlight w:val="none"/>
        </w:rPr>
        <w:t xml:space="preserve">五</w:t>
      </w:r>
      <w:r>
        <w:rPr>
          <w:rFonts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30%  </w:t>
      </w:r>
      <w:r>
        <w:rPr>
          <w:rFonts w:ascii="宋体" w:hAnsi="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、合同生效及其他</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《中华人民共和国民法典》《中华人民共和国政府采购法》等</w:t>
      </w:r>
      <w:r>
        <w:rPr>
          <w:rFonts w:ascii="宋体" w:hAnsi="宋体" w:cs="Courier New"/>
          <w:color w:val="000000"/>
          <w:sz w:val="24"/>
          <w:szCs w:val="24"/>
          <w:highlight w:val="none"/>
        </w:rPr>
        <w:t xml:space="preserve">有关条文执行。</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四</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w:t>
      </w:r>
      <w:r>
        <w:rPr>
          <w:rFonts w:hint="eastAsia" w:ascii="宋体" w:hAnsi="宋体" w:cs="Courier New"/>
          <w:color w:val="000000"/>
          <w:sz w:val="24"/>
          <w:szCs w:val="24"/>
          <w:highlight w:val="none"/>
        </w:rPr>
        <w:t xml:space="preserve">二</w:t>
      </w:r>
      <w:r>
        <w:rPr>
          <w:rFonts w:ascii="宋体" w:hAnsi="宋体" w:cs="Courier New"/>
          <w:color w:val="000000"/>
          <w:sz w:val="24"/>
          <w:szCs w:val="24"/>
          <w:highlight w:val="none"/>
        </w:rPr>
        <w:t xml:space="preserve">份。</w:t>
      </w:r>
      <w:r/>
    </w:p>
    <w:p>
      <w:pPr>
        <w:ind w:left="480" w:hanging="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p>
    <w:p>
      <w:pPr>
        <w:ind w:firstLine="240"/>
        <w:spacing w:line="400" w:lineRule="exact"/>
        <w:rPr>
          <w:rFonts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p>
    <w:p>
      <w:pPr>
        <w:jc w:val="center"/>
        <w:spacing w:line="400" w:lineRule="exact"/>
        <w:rPr>
          <w:rFonts w:hint="eastAsia" w:ascii="宋体" w:hAnsi="宋体" w:cs="Courier New"/>
          <w:color w:val="000000"/>
          <w:sz w:val="24"/>
          <w:szCs w:val="24"/>
          <w:highlight w:val="none"/>
        </w:rPr>
      </w:pP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jc w:val="center"/>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见证方：</w:t>
      </w:r>
      <w:r/>
    </w:p>
    <w:p>
      <w:pPr>
        <w:jc w:val="left"/>
        <w:spacing w:line="360" w:lineRule="auto"/>
        <w:rPr>
          <w:rFonts w:hint="eastAsia" w:ascii="宋体" w:hAnsi="宋体" w:cs="宋体"/>
          <w:b/>
          <w:sz w:val="28"/>
          <w:szCs w:val="28"/>
          <w:highlight w:val="none"/>
        </w:rPr>
      </w:pPr>
      <w:r>
        <w:rPr>
          <w:rFonts w:hint="eastAsia" w:ascii="宋体" w:hAnsi="宋体"/>
          <w:bCs/>
          <w:sz w:val="24"/>
          <w:szCs w:val="24"/>
          <w:highlight w:val="none"/>
        </w:rPr>
        <w:t xml:space="preserve">见证日期</w:t>
      </w:r>
      <w:r>
        <w:rPr>
          <w:rFonts w:ascii="宋体" w:hAnsi="宋体" w:cs="Courier New"/>
          <w:color w:val="000000"/>
          <w:sz w:val="24"/>
          <w:szCs w:val="24"/>
          <w:highlight w:val="none"/>
        </w:rPr>
        <w:t xml:space="preserve">：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rPr>
          <w:rFonts w:ascii="宋体" w:hAnsi="宋体"/>
          <w:bCs/>
          <w:sz w:val="24"/>
          <w:szCs w:val="24"/>
          <w:highlight w:val="none"/>
        </w:rPr>
        <w:br w:type="page" w:clear="all"/>
      </w:r>
      <w:r>
        <w:rPr>
          <w:rFonts w:hint="eastAsia" w:ascii="宋体" w:hAnsi="宋体" w:cs="宋体"/>
          <w:b/>
          <w:sz w:val="28"/>
          <w:szCs w:val="28"/>
          <w:highlight w:val="none"/>
        </w:rPr>
        <w:t xml:space="preserve">附件1</w:t>
      </w:r>
      <w:r/>
    </w:p>
    <w:p>
      <w:pPr>
        <w:ind w:firstLine="562"/>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商品包装政府采购需求标准（试行）</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一、适用范围</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本标准规定了商品使用的塑料、纸质、木质等包装材料的环保要求。</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二、商品包装环保要求</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1.商品包装层数不得超过3 层，空隙率不大于 40%；</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2.商品包装尽可能使用单一材质的包装材料，如因功能需求必须使用不同材质，不同材质间应便于分离；</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3.商品包装中铅、汞、镉、六价铬的总含量应不大于100mg/kg；</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4.商品包装印刷使用的油墨中挥发性有机化合物（VOCs）含量应不大于 5g（以重量计）；</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 6色；</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6.纸质商品包装应使用 75%以上的可再生纤维原料生产；</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三、检测方法</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1.商品包装中重金属（铅、汞、铜、六价铬）总量的检测按照 GB/T 10004-2008《包装用塑料复合膜、袋干法复合挤出复合》规定的方法进行。</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2.商品包装印刷使用的油墨中挥发性有机化合物（VOCs）的检测按照GB/T 23986-2009《色漆和清漆 挥发性有机化合物（VOC）含量的测定 气相色谱法》规定的方法进行。</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562"/>
        <w:jc w:val="left"/>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ind w:firstLine="562"/>
        <w:jc w:val="left"/>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ind w:firstLine="562"/>
        <w:jc w:val="left"/>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jc w:val="left"/>
        <w:widowControl/>
        <w:rPr>
          <w:rFonts w:hint="eastAsia" w:ascii="宋体" w:hAnsi="宋体" w:cs="宋体"/>
          <w:b/>
          <w:sz w:val="28"/>
          <w:szCs w:val="28"/>
          <w:highlight w:val="none"/>
        </w:rPr>
      </w:pPr>
      <w:r>
        <w:rPr>
          <w:rFonts w:ascii="宋体" w:hAnsi="宋体" w:cs="宋体"/>
          <w:b/>
          <w:sz w:val="28"/>
          <w:szCs w:val="28"/>
          <w:highlight w:val="none"/>
        </w:rPr>
        <w:br w:type="page" w:clear="all"/>
      </w:r>
      <w:r/>
    </w:p>
    <w:p>
      <w:pPr>
        <w:ind w:firstLine="562"/>
        <w:jc w:val="left"/>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附件2</w:t>
      </w:r>
      <w:r/>
    </w:p>
    <w:p>
      <w:pPr>
        <w:ind w:firstLine="562"/>
        <w:jc w:val="center"/>
        <w:spacing w:line="360" w:lineRule="auto"/>
        <w:rPr>
          <w:rFonts w:hint="eastAsia" w:ascii="宋体" w:hAnsi="宋体" w:cs="宋体"/>
          <w:sz w:val="24"/>
          <w:szCs w:val="24"/>
          <w:highlight w:val="none"/>
        </w:rPr>
      </w:pPr>
      <w:r>
        <w:rPr>
          <w:rFonts w:hint="eastAsia" w:ascii="宋体" w:hAnsi="宋体" w:cs="宋体"/>
          <w:b/>
          <w:sz w:val="28"/>
          <w:szCs w:val="28"/>
          <w:highlight w:val="none"/>
        </w:rPr>
        <w:t xml:space="preserve">快递包装政府采购需求标准（ 试行 ）</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一、适用范围</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本标准中的快递包装主要指快递封装材料，包括封套、胶带、面单、包装袋/箱、填充物、集装袋、周转箱等。</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二、快递包装环保要求</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1.快递包装中重金属 （铅、汞、锡、六价铬） 总量应不大于100mg/kg；</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2.快递包装印刷使用的油墨中不应添加邻苯二甲酸酯，其挥发性有机化合物（VOCs）含量应不大于5g（以重量计）；</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 150 mg/kg；</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6.快递中使用的充气类填充物不得使用聚氯乙烯作为原料，且原料为单一材质制成，生物分解率大于 60%；</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7.快递中使用的集装袋应为单一材质制成，其重复使用次数应不小于80 次；</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9.快递包装中不得使用溶剂型胶粘剂；</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10.快递应使用电子面单；</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11.直接使用商品包装作为快递包装的商品，其商品包装满足《商品包装政府采购需求标准（试行）》即可；</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12.快递包装产品质量和封装方式应符合相关国家或行业标准技术指标要求。</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三、检测方法</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1.快递包装中重金属（铅、汞、镉、六价铬）总量的检测按照 GB/T 10004-2008《包装用塑料复合膜、袋干法复合、挤出复合》规定的方法进行。</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2.快递包装印刷使用的油墨中挥发性有机化合物（VOCs）的检测按照 GB/T 23986-2009《色漆和清漆 挥发性有机化合物（VOC）含量的测定 气相色谱法》规定的方法进行。</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3.快递包装所使用的塑料包装的生物降解率的检测按照 GB/T 20197-2006《降解塑料的定义、分类、标识和降解性能要求》规定的方法进行。</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4.快递包装使用纸基材的包装材料中有机氯的检测按照 GB/T 22904-2008《纸浆、纸和纸板总氯和有机氯的检定》规定的方法进行。</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ind w:firstLine="480"/>
        <w:spacing w:line="360" w:lineRule="auto"/>
        <w:rPr>
          <w:rFonts w:hint="eastAsia" w:hAnsi="宋体" w:cs="宋体"/>
          <w:sz w:val="24"/>
          <w:szCs w:val="24"/>
          <w:highlight w:val="none"/>
        </w:rPr>
        <w:sectPr>
          <w:footerReference w:type="default" r:id="rId13"/>
          <w:footnotePr/>
          <w:endnotePr/>
          <w:type w:val="nextPage"/>
          <w:pgSz w:w="11906" w:h="16838" w:orient="portrait"/>
          <w:pgMar w:top="1440" w:right="1440" w:bottom="1440" w:left="1417" w:header="0" w:footer="816" w:gutter="0"/>
          <w:pgNumType w:start="1"/>
          <w:cols w:num="1" w:sep="0" w:space="0" w:equalWidth="1"/>
          <w:docGrid w:linePitch="360"/>
        </w:sectPr>
      </w:pPr>
      <w:r>
        <w:rPr>
          <w:rFonts w:hint="eastAsia" w:hAnsi="宋体" w:cs="宋体"/>
          <w:bCs/>
          <w:sz w:val="24"/>
          <w:szCs w:val="24"/>
          <w:highlight w:val="none"/>
        </w:rPr>
        <w:br w:type="page" w:clear="all"/>
      </w:r>
      <w:bookmarkEnd w:id="186"/>
      <w:bookmarkEnd w:id="187"/>
      <w:bookmarkEnd w:id="188"/>
      <w:bookmarkEnd w:id="189"/>
      <w:r/>
    </w:p>
    <w:p>
      <w:pPr>
        <w:ind w:firstLine="560"/>
        <w:jc w:val="center"/>
        <w:spacing w:line="360" w:lineRule="auto"/>
        <w:rPr>
          <w:rFonts w:hint="eastAsia" w:ascii="宋体" w:hAnsi="宋体" w:cs="宋体"/>
          <w:b/>
          <w:bCs/>
          <w:sz w:val="36"/>
          <w:szCs w:val="36"/>
          <w:highlight w:val="none"/>
        </w:rPr>
      </w:pPr>
      <w:r/>
      <w:bookmarkStart w:id="192" w:name="_Toc49090575"/>
      <w:r/>
      <w:bookmarkStart w:id="193" w:name="_Toc26554093"/>
      <w:r>
        <w:rPr>
          <w:rFonts w:hint="eastAsia" w:ascii="宋体" w:hAnsi="宋体" w:cs="宋体"/>
          <w:b/>
          <w:bCs/>
          <w:sz w:val="36"/>
          <w:szCs w:val="36"/>
          <w:highlight w:val="none"/>
        </w:rPr>
        <w:t xml:space="preserve">第四章 采购需求</w:t>
      </w:r>
      <w:r/>
    </w:p>
    <w:p>
      <w:p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本项目属性：货物类项目</w:t>
      </w:r>
      <w:r/>
    </w:p>
    <w:p>
      <w:p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投标人所投内容必须满足以下要求，不得有负偏离。</w:t>
      </w:r>
      <w:r/>
    </w:p>
    <w:p>
      <w:p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本项目标的物所属行业：工业</w:t>
      </w:r>
      <w:r/>
    </w:p>
    <w:p>
      <w:p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核心产品：虚拟现实训练舱</w:t>
      </w:r>
      <w:r/>
    </w:p>
    <w:p>
      <w:pPr>
        <w:jc w:val="center"/>
        <w:keepLines/>
        <w:keepNext/>
        <w:spacing w:line="360" w:lineRule="auto"/>
        <w:rPr>
          <w:rFonts w:hint="eastAsia" w:ascii="宋体" w:hAnsi="宋体" w:cs="宋体"/>
          <w:b/>
          <w:bCs/>
          <w:sz w:val="28"/>
          <w:szCs w:val="28"/>
          <w:highlight w:val="none"/>
        </w:rPr>
        <w:outlineLvl w:val="0"/>
      </w:pPr>
      <w:r>
        <w:rPr>
          <w:rFonts w:hint="eastAsia" w:ascii="宋体" w:hAnsi="宋体" w:cs="宋体"/>
          <w:b/>
          <w:bCs/>
          <w:sz w:val="28"/>
          <w:szCs w:val="28"/>
          <w:highlight w:val="none"/>
        </w:rPr>
        <w:t xml:space="preserve">第一部分 项目技术要求</w:t>
      </w:r>
      <w:r/>
    </w:p>
    <w:p>
      <w:pPr>
        <w:ind w:firstLine="56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一、采购标的需实现的功能或者目标，以及为落实政府采购政策需满足的要求；</w:t>
      </w:r>
      <w:r/>
    </w:p>
    <w:p>
      <w:p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项目概况：本项目旨在响应《“健康中国2030”规划纲要》《关于加强学生心理健康管理工作的通知》及《关于加快推进教育数字化的意见》等政策要求，构建覆盖学生心理健康筛查、预警、干预、跟踪全流程的综合性数智化心理健康平台。项目须充分利用已经过数据治理的学生学业、行为、消费等多维数据，实现从“被动应对”向“主动预防、数据驱动”的心理健康服务模式转变。</w:t>
      </w:r>
      <w:r/>
    </w:p>
    <w:p>
      <w:p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2.本项目是否专门面向中小微企业：是。</w:t>
      </w:r>
      <w:r/>
    </w:p>
    <w:p>
      <w:pPr>
        <w:keepLines/>
        <w:keepNext/>
        <w:spacing w:line="360" w:lineRule="auto"/>
        <w:rPr>
          <w:rFonts w:hint="eastAsia" w:ascii="宋体" w:hAnsi="宋体" w:cs="宋体"/>
          <w:b/>
          <w:bCs/>
          <w:sz w:val="24"/>
          <w:szCs w:val="24"/>
          <w:highlight w:val="none"/>
        </w:rPr>
        <w:outlineLvl w:val="0"/>
      </w:pPr>
      <w:r>
        <w:rPr>
          <w:rFonts w:hint="eastAsia" w:ascii="宋体" w:hAnsi="宋体" w:cs="宋体"/>
          <w:b/>
          <w:bCs/>
          <w:sz w:val="24"/>
          <w:szCs w:val="24"/>
          <w:highlight w:val="none"/>
        </w:rPr>
        <w:t xml:space="preserve">二、采购标的需执行的国家相关标准、行业标准、地方标准或者其他标准、规范；</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《信息安全技术 信息系统灾难恢复规范》（GB/T 20988）</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《信息安全技术 网络安全等级保护基本要求》（GB/T 22239）</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《信息安全技术 信息系统安全等级保护实施指南》（GB/T 25058）</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《信息技术 安全技术 网络安全 系列多部分标准》（GB/T 25068）</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《信息安全技术 网络安全等级保护测评要求》（GB/T 28448）</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《信息安全技术 网站内容安全检查产品 安全技术要求》（GA/T 1396）</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《信息安全技术 个人信息安全规范》（GB/T 35273）</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《互联网心理服务心理测评服务通用规范》（GB/T 45253-2025）</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《中小学心理健康教育指导纲要》（教基一〔2012〕15号）</w:t>
      </w:r>
      <w:r/>
    </w:p>
    <w:p>
      <w:pPr>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 </w:t>
      </w:r>
      <w:r>
        <w:rPr>
          <w:rFonts w:hint="eastAsia" w:ascii="宋体" w:hAnsi="宋体" w:cs="宋体"/>
          <w:b/>
          <w:bCs/>
          <w:sz w:val="24"/>
          <w:szCs w:val="24"/>
          <w:highlight w:val="none"/>
        </w:rPr>
        <w:t xml:space="preserve">三、采购标的需满足的质量、安全、技术规格、物理特性等要求； </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质量标准：合格，满足采购人要求。</w:t>
      </w:r>
      <w:r/>
    </w:p>
    <w:p>
      <w:pPr>
        <w:keepLines/>
        <w:keepNext/>
        <w:spacing w:line="360" w:lineRule="auto"/>
        <w:rPr>
          <w:rFonts w:hint="eastAsia" w:ascii="宋体" w:hAnsi="宋体" w:cs="宋体"/>
          <w:b/>
          <w:bCs/>
          <w:sz w:val="24"/>
          <w:szCs w:val="24"/>
          <w:highlight w:val="none"/>
        </w:rPr>
        <w:outlineLvl w:val="0"/>
      </w:pPr>
      <w:r>
        <w:rPr>
          <w:rFonts w:hint="eastAsia" w:ascii="宋体" w:hAnsi="宋体" w:cs="宋体"/>
          <w:b/>
          <w:bCs/>
          <w:sz w:val="24"/>
          <w:szCs w:val="24"/>
          <w:highlight w:val="none"/>
        </w:rPr>
        <w:t xml:space="preserve">四、采购标的的数量、采购项目交付或者实施的时间和地点；</w:t>
      </w:r>
      <w:r/>
    </w:p>
    <w:p>
      <w:pPr>
        <w:rPr>
          <w:rFonts w:hint="eastAsia" w:ascii="宋体" w:hAnsi="宋体"/>
          <w:sz w:val="24"/>
          <w:highlight w:val="none"/>
        </w:rPr>
      </w:pPr>
      <w:r>
        <w:rPr>
          <w:rFonts w:hint="eastAsia" w:ascii="宋体" w:hAnsi="宋体"/>
          <w:sz w:val="24"/>
          <w:highlight w:val="none"/>
        </w:rPr>
        <w:br w:type="page" w:clear="all"/>
      </w:r>
      <w:r/>
    </w:p>
    <w:p>
      <w:pPr>
        <w:ind w:firstLine="480"/>
        <w:spacing w:line="360" w:lineRule="auto"/>
        <w:rPr>
          <w:rFonts w:hint="eastAsia" w:ascii="宋体" w:hAnsi="宋体"/>
          <w:sz w:val="24"/>
          <w:highlight w:val="none"/>
        </w:rPr>
      </w:pPr>
      <w:r>
        <w:rPr>
          <w:rFonts w:hint="eastAsia" w:ascii="宋体" w:hAnsi="宋体"/>
          <w:sz w:val="24"/>
          <w:highlight w:val="none"/>
        </w:rPr>
        <w:t xml:space="preserve">（1）采购清单</w:t>
      </w:r>
      <w:r/>
    </w:p>
    <w:p>
      <w:pPr>
        <w:pStyle w:val="889"/>
        <w:rPr>
          <w:rFonts w:hint="eastAsia"/>
          <w:highlight w:val="none"/>
          <w:lang w:eastAsia="zh-CN"/>
        </w:rPr>
      </w:pPr>
      <w:r>
        <w:rPr>
          <w:rFonts w:hint="eastAsia"/>
          <w:highlight w:val="none"/>
          <w:lang w:eastAsia="zh-CN"/>
        </w:rPr>
      </w:r>
      <w:r/>
    </w:p>
    <w:tbl>
      <w:tblPr>
        <w:tblStyle w:val="88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68"/>
        <w:gridCol w:w="6521"/>
        <w:gridCol w:w="1981"/>
      </w:tblGrid>
      <w:tr>
        <w:trPr>
          <w:jc w:val="center"/>
          <w:tblHead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序号</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设备名称</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台/套数</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积极情绪记录机</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青春寄语互动宣泄装置</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心灵小屋</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情绪互动解压装置</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下棋机器人围棋大师版</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下棋机器人象棋旗舰版</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AI接待机器人</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心理挂图1</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心理挂图2</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Mar>
              <w:left w:w="17" w:type="dxa"/>
              <w:top w:w="17" w:type="dxa"/>
              <w:right w:w="17" w:type="dxa"/>
              <w:bottom w:w="17" w:type="dxa"/>
            </w:tcMa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tcMar>
              <w:left w:w="17" w:type="dxa"/>
              <w:top w:w="17" w:type="dxa"/>
              <w:right w:w="17" w:type="dxa"/>
              <w:bottom w:w="17" w:type="dxa"/>
            </w:tcMa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无声挂钟</w:t>
            </w:r>
            <w:r/>
          </w:p>
        </w:tc>
        <w:tc>
          <w:tcPr>
            <w:tcMar>
              <w:left w:w="17" w:type="dxa"/>
              <w:top w:w="17" w:type="dxa"/>
              <w:right w:w="17" w:type="dxa"/>
              <w:bottom w:w="17" w:type="dxa"/>
            </w:tcMa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心理辅助救援仪</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AI绘画投射分析装置</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智能情绪识别训练仪</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心理沙盘</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3D电子心理沙盘</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智能身心反馈训练调节装置</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VR沉浸式动感单车</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心理宣教展示装置</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多元积极训练提升仪</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呐喊互动解压装置</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团体辅导活动包</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心理剧工具箱</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心理能量快充站</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文化书写展示装置</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正向情绪干预与强化机</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26</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情绪信箱</w:t>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27</w:t>
            </w:r>
            <w:r/>
          </w:p>
        </w:tc>
        <w:tc>
          <w:tcPr>
            <w:tcW w:w="3371" w:type="pct"/>
            <w:vAlign w:val="center"/>
            <w:textDirection w:val="lrTb"/>
            <w:noWrap w:val="false"/>
          </w:tcPr>
          <w:p>
            <w:pPr>
              <w:jc w:val="center"/>
              <w:widowControl/>
              <w:rPr>
                <w:rFonts w:hint="eastAsia" w:ascii="宋体" w:hAnsi="宋体" w:cs="宋体"/>
                <w:color w:val="000000"/>
                <w:sz w:val="24"/>
                <w:szCs w:val="24"/>
                <w:highlight w:val="none"/>
              </w:rPr>
            </w:pPr>
            <w:r/>
            <w:bookmarkStart w:id="194" w:name="OLE_LINK3"/>
            <w:r>
              <w:rPr>
                <w:rFonts w:hint="eastAsia" w:ascii="宋体" w:hAnsi="宋体" w:cs="宋体"/>
                <w:color w:val="000000"/>
                <w:sz w:val="24"/>
                <w:szCs w:val="24"/>
                <w:highlight w:val="none"/>
                <w:lang w:bidi="ar"/>
              </w:rPr>
              <w:t xml:space="preserve">虚拟现实训练舱</w:t>
            </w:r>
            <w:bookmarkEnd w:id="194"/>
            <w:r/>
            <w:r/>
          </w:p>
        </w:tc>
        <w:tc>
          <w:tcPr>
            <w:tcW w:w="102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28</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深蹲杠铃</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29</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专业体操垫</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30</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跨越式跳高垫</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跨栏架</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32</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卧推杠铃</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镁粉架</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栏架推车</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镁粉划线器</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7人制足球门</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一体化智慧黑板</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38</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钢琴</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39</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合并式功放</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40</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音响</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r>
      <w:tr>
        <w:trPr>
          <w:jc w:val="center"/>
        </w:trPr>
        <w:tc>
          <w:tcPr>
            <w:tcW w:w="604"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w:t>
            </w:r>
            <w:r/>
          </w:p>
        </w:tc>
        <w:tc>
          <w:tcPr>
            <w:tcW w:w="3371"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麦克风</w:t>
            </w:r>
            <w:r/>
          </w:p>
        </w:tc>
        <w:tc>
          <w:tcPr>
            <w:tcW w:w="1024" w:type="pct"/>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r>
    </w:tbl>
    <w:p>
      <w:pPr>
        <w:rPr>
          <w:rFonts w:hint="eastAsia" w:ascii="宋体" w:hAnsi="宋体" w:cs="宋体"/>
          <w:sz w:val="24"/>
          <w:highlight w:val="none"/>
        </w:rPr>
      </w:pPr>
      <w:r>
        <w:rPr>
          <w:rFonts w:hint="eastAsia" w:ascii="宋体" w:hAnsi="宋体" w:cs="宋体"/>
          <w:sz w:val="24"/>
          <w:highlight w:val="none"/>
        </w:rPr>
      </w:r>
      <w:r/>
    </w:p>
    <w:p>
      <w:pPr>
        <w:numPr>
          <w:ilvl w:val="0"/>
          <w:numId w:val="4"/>
        </w:numPr>
        <w:ind w:firstLine="470"/>
        <w:spacing w:line="440" w:lineRule="exact"/>
        <w:rPr>
          <w:rFonts w:hint="eastAsia" w:ascii="宋体" w:hAnsi="宋体" w:cs="宋体"/>
          <w:sz w:val="24"/>
          <w:highlight w:val="none"/>
        </w:rPr>
      </w:pPr>
      <w:r>
        <w:rPr>
          <w:rFonts w:hint="eastAsia" w:ascii="宋体" w:hAnsi="宋体" w:cs="宋体"/>
          <w:sz w:val="24"/>
          <w:highlight w:val="none"/>
        </w:rPr>
        <w:t xml:space="preserve">技术参数与功能指标：</w:t>
      </w:r>
      <w:r/>
    </w:p>
    <w:tbl>
      <w:tblPr>
        <w:tblStyle w:val="884"/>
        <w:tblW w:w="4988"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75"/>
        <w:gridCol w:w="682"/>
        <w:gridCol w:w="8692"/>
      </w:tblGrid>
      <w:tr>
        <w:trPr>
          <w:tblHeader/>
        </w:trPr>
        <w:tc>
          <w:tcPr>
            <w:tcMar>
              <w:left w:w="17" w:type="dxa"/>
              <w:top w:w="17" w:type="dxa"/>
              <w:right w:w="17" w:type="dxa"/>
              <w:bottom w:w="17" w:type="dxa"/>
            </w:tcMar>
            <w:tcW w:w="275" w:type="dxa"/>
            <w:vAlign w:val="center"/>
            <w:textDirection w:val="lrTb"/>
            <w:noWrap w:val="false"/>
          </w:tcPr>
          <w:p>
            <w:pPr>
              <w:jc w:val="center"/>
              <w:widowControl/>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序号</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设备名称</w:t>
            </w:r>
            <w:r/>
          </w:p>
        </w:tc>
        <w:tc>
          <w:tcPr>
            <w:tcMar>
              <w:left w:w="17" w:type="dxa"/>
              <w:top w:w="17" w:type="dxa"/>
              <w:right w:w="17" w:type="dxa"/>
              <w:bottom w:w="17" w:type="dxa"/>
            </w:tcMar>
            <w:tcW w:w="8692" w:type="dxa"/>
            <w:vAlign w:val="center"/>
            <w:textDirection w:val="lrTb"/>
            <w:noWrap w:val="false"/>
          </w:tcPr>
          <w:p>
            <w:pPr>
              <w:jc w:val="center"/>
              <w:spacing w:line="360" w:lineRule="exact"/>
              <w:widowControl/>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技术参数与功能指标</w:t>
            </w:r>
            <w:r/>
          </w:p>
        </w:tc>
      </w:tr>
      <w:tr>
        <w:trPr/>
        <w:tc>
          <w:tcPr>
            <w:tcMar>
              <w:left w:w="17" w:type="dxa"/>
              <w:top w:w="17" w:type="dxa"/>
              <w:right w:w="17" w:type="dxa"/>
              <w:bottom w:w="17" w:type="dxa"/>
            </w:tcMar>
            <w:tcW w:w="275" w:type="dxa"/>
            <w:vAlign w:val="center"/>
            <w:textDirection w:val="lrTb"/>
            <w:noWrap w:val="false"/>
          </w:tcPr>
          <w:p>
            <w:pPr>
              <w:jc w:val="righ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积极情绪记录机</w:t>
            </w:r>
            <w:r/>
          </w:p>
        </w:tc>
        <w:tc>
          <w:tcPr>
            <w:tcMar>
              <w:left w:w="17" w:type="dxa"/>
              <w:top w:w="17" w:type="dxa"/>
              <w:right w:w="17" w:type="dxa"/>
              <w:bottom w:w="17" w:type="dxa"/>
            </w:tcMar>
            <w:tcW w:w="8692" w:type="dxa"/>
            <w:vAlign w:val="center"/>
            <w:textDirection w:val="lrTb"/>
            <w:noWrap w:val="false"/>
          </w:tcPr>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功能要求</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1.要求支持打卡端、展示端双屏展示，支持打卡端打卡后自动上传至展示端展示。</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2.开始打卡：要求支持用户打卡拍照，提供文字及语音鼓励引导。打卡端支持照片轮播功能，支持点赞及查看各照片微笑指数。</w:t>
            </w:r>
            <w:r/>
          </w:p>
          <w:p>
            <w:pPr>
              <w:spacing w:line="360" w:lineRule="exact"/>
              <w:rPr>
                <w:rFonts w:hint="eastAsia" w:ascii="宋体" w:hAnsi="宋体" w:eastAsia="宋体" w:cs="宋体"/>
                <w:b/>
                <w:bCs/>
                <w:sz w:val="24"/>
                <w:szCs w:val="24"/>
                <w:highlight w:val="none"/>
                <w:shd w:val="clear" w:color="auto" w:fill="ffff00"/>
              </w:rPr>
            </w:pPr>
            <w:r>
              <w:rPr>
                <w:rFonts w:hint="eastAsia" w:ascii="宋体" w:hAnsi="宋体" w:eastAsia="宋体" w:cs="宋体"/>
                <w:color w:val="000000"/>
                <w:sz w:val="24"/>
                <w:szCs w:val="24"/>
                <w:highlight w:val="none"/>
                <w:lang w:bidi="ar"/>
              </w:rPr>
              <w:t xml:space="preserve">3.打卡记录：要求支持用户查看过往微笑打卡记录，提供如打卡时间、微笑指数、获赞数量等数据排序，支持进行点赞支持操作。</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4.要求打卡拍照完成后自动生成微笑指数，支持用户选择重新拍照、保存上传。微笑指数为0时，无法上传照片，提醒用户重新拍照。</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5.支持选择保存上传后自动生成照片编号，展示相似笑容，并在展示端突出显示本次打卡照片。</w:t>
            </w:r>
            <w:r/>
          </w:p>
          <w:p>
            <w:pPr>
              <w:spacing w:line="3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6.</w:t>
            </w:r>
            <w:bookmarkStart w:id="195" w:name="OLE_LINK6"/>
            <w:r>
              <w:rPr>
                <w:rFonts w:hint="eastAsia" w:ascii="宋体" w:hAnsi="宋体" w:eastAsia="宋体" w:cs="宋体"/>
                <w:color w:val="000000"/>
                <w:sz w:val="24"/>
                <w:szCs w:val="24"/>
                <w:highlight w:val="none"/>
                <w:lang w:bidi="ar"/>
              </w:rPr>
              <w:t xml:space="preserve">微笑科普：要求提供如“积极心境大揭秘”“微笑只是一种保护色”“情绪驾驭术”等</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bidi="ar"/>
              </w:rPr>
              <w:t xml:space="preserve">篇图文类文章，提供如“揭开情绪面纱”“当我们谈到焦虑”等</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篇微笑视听，提供如“超能力面试”“便衣”等</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个会心一笑音频。</w:t>
            </w:r>
            <w:bookmarkEnd w:id="195"/>
            <w:r/>
            <w:r/>
          </w:p>
          <w:p>
            <w:pPr>
              <w:spacing w:line="3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7.展示端支持展示如照片以球体旋转形式呈现</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bidi="ar"/>
              </w:rPr>
              <w:t xml:space="preserve">球形矩阵、照片墙布局</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bidi="ar"/>
              </w:rPr>
              <w:t xml:space="preserve">矩形、照片从中心向外扩散展开</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bidi="ar"/>
              </w:rPr>
              <w:t xml:space="preserve">放射形扩散、照片沿多轴线缠绕展示多轴旋转等3D动效。支持选择显示打卡范围，自定义展示周期，如“24小时内”“3天内”“7天内”等。</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8.要求提供记录清理，支持查看系统保存的最早记录日期，支持清理特定日期之前全部打卡记录。</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二、产品组成</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1.包含主系统1套；打卡端1台；显示端1台。</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三、硬件配置要求</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1.打卡端外观尺寸：700mm*550mm*1775mm（±5mm）。</w:t>
            </w:r>
            <w:r/>
          </w:p>
          <w:p>
            <w:pPr>
              <w:spacing w:line="3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2.打卡端屏幕尺寸：≥32英寸。</w:t>
            </w:r>
            <w:r/>
          </w:p>
          <w:p>
            <w:pPr>
              <w:rPr>
                <w:rFonts w:hint="eastAsia" w:ascii="宋体" w:hAnsi="宋体" w:cs="宋体"/>
                <w:sz w:val="24"/>
                <w:szCs w:val="24"/>
                <w:highlight w:val="none"/>
              </w:rPr>
            </w:pPr>
            <w:r>
              <w:rPr>
                <w:rFonts w:hint="eastAsia" w:ascii="宋体" w:hAnsi="宋体" w:eastAsia="宋体" w:cs="宋体"/>
                <w:color w:val="000000"/>
                <w:sz w:val="24"/>
                <w:szCs w:val="24"/>
                <w:highlight w:val="none"/>
                <w:lang w:bidi="ar"/>
              </w:rPr>
              <w:t xml:space="preserve">3.显示端屏幕尺寸：≥75寸。</w:t>
            </w:r>
            <w:r/>
          </w:p>
        </w:tc>
      </w:tr>
      <w:tr>
        <w:trPr/>
        <w:tc>
          <w:tcPr>
            <w:tcMar>
              <w:left w:w="17" w:type="dxa"/>
              <w:top w:w="17" w:type="dxa"/>
              <w:right w:w="17" w:type="dxa"/>
              <w:bottom w:w="17" w:type="dxa"/>
            </w:tcMar>
            <w:tcW w:w="275" w:type="dxa"/>
            <w:vAlign w:val="center"/>
            <w:textDirection w:val="lrTb"/>
            <w:noWrap w:val="false"/>
          </w:tcPr>
          <w:p>
            <w:pPr>
              <w:jc w:val="righ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青春寄语互动宣泄装置</w:t>
            </w:r>
            <w:r/>
          </w:p>
        </w:tc>
        <w:tc>
          <w:tcPr>
            <w:tcMar>
              <w:left w:w="17" w:type="dxa"/>
              <w:top w:w="17" w:type="dxa"/>
              <w:right w:w="17" w:type="dxa"/>
              <w:bottom w:w="17" w:type="dxa"/>
            </w:tcMa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一、一体化柜体系统</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1.材质与工艺：基材采用1mm（±0.5mm）厚冷轧钢板，表面静电喷塑处理，涂层厚度≥60μm，附着力等级为1级，耐刮擦、耐老化，长期使用不褪色。</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2.结构与安装：整体为模块化设计，安装牢固，可承受高频次触摸、操作不松动；内置隐藏式布线槽，强弱电分离，符合电气安全规范。</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3.环保性能：环保性能：采用优质环氧树脂粉末静电喷涂，环保无毒害，无气味；表面无颗粒、气泡、渣点，颜色均匀。</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二、小型碎纸机系统</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auto"/>
                <w:sz w:val="24"/>
                <w:szCs w:val="24"/>
                <w:highlight w:val="none"/>
                <w:lang w:bidi="ar"/>
              </w:rPr>
              <w:t xml:space="preserve">. 碎纸性能：段状碎纸，碎纸效果≤4mm×20mm，单次进纸≥5张，连续工作时间≥10分钟，满足高频次使用需求；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auto"/>
                <w:sz w:val="24"/>
                <w:szCs w:val="24"/>
                <w:highlight w:val="none"/>
                <w:lang w:bidi="ar"/>
              </w:rPr>
              <w:t xml:space="preserve">2. 安全防护：具备过热自动停机、过载</w:t>
            </w:r>
            <w:r>
              <w:rPr>
                <w:rFonts w:hint="eastAsia" w:ascii="宋体" w:hAnsi="宋体" w:cs="宋体"/>
                <w:color w:val="000000"/>
                <w:sz w:val="24"/>
                <w:szCs w:val="24"/>
                <w:highlight w:val="none"/>
                <w:lang w:bidi="ar"/>
              </w:rPr>
              <w:t xml:space="preserve">保护、防误触安全锁功能，入纸口防夹手设计通过国家玩具安全标准GB 6675测试；</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3.噪音与能耗：工作噪音≤55dB，待机功率≤1W，节能环保，适合校园/场馆长期使用。</w:t>
            </w:r>
            <w:r/>
          </w:p>
        </w:tc>
      </w:tr>
      <w:tr>
        <w:trPr/>
        <w:tc>
          <w:tcPr>
            <w:tcMar>
              <w:left w:w="17" w:type="dxa"/>
              <w:top w:w="17" w:type="dxa"/>
              <w:right w:w="17" w:type="dxa"/>
              <w:bottom w:w="17" w:type="dxa"/>
            </w:tcMar>
            <w:tcW w:w="275" w:type="dxa"/>
            <w:vAlign w:val="center"/>
            <w:textDirection w:val="lrTb"/>
            <w:noWrap w:val="false"/>
          </w:tcPr>
          <w:p>
            <w:pPr>
              <w:jc w:val="righ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心灵小屋</w:t>
            </w:r>
            <w:r/>
          </w:p>
        </w:tc>
        <w:tc>
          <w:tcPr>
            <w:tcMar>
              <w:left w:w="17" w:type="dxa"/>
              <w:top w:w="17" w:type="dxa"/>
              <w:right w:w="17" w:type="dxa"/>
              <w:bottom w:w="17" w:type="dxa"/>
            </w:tcMar>
            <w:tcW w:w="8692" w:type="dxa"/>
            <w:vAlign w:val="center"/>
            <w:textDirection w:val="lrTb"/>
            <w:noWrap w:val="false"/>
          </w:tcPr>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一、硬件空间</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1.外观尺寸：≥1100*900*2100mm </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2.内空尺寸：≥1000*800*1960mm</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3.舱体材质：实木多层隔声板、聚酯纤维棉、涤纶纤维布、304不锈钢家具材质</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4.家具材质：桦木多层板、聚氨酯海绵、涤纶纤维布</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5.电源输入：民用单相交流电220V、50Hz</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6.电源输出：220V 5A、5V </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7.最大功率：≥1kW</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8.氛围灯：≥3.5W、≥170LM、≥4000K</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9.阅读灯：≥5W、≥160LM、≥3000K</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10.风扇转速：600-1500rpm</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11.换气效率：30m/h</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12.隔声量：≥25dB</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13.功能配置：触控一体互动屏、顶置氛围灯、写字桌、阅读护眼灯、人体工学臂弯式沙发、可调新风系统 、电源面板 （USB口+正五孔插座）</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二、AI交互终端</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1.CPU：≥八核</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2.存储：内存（RAM）‌：≥ ‌4GB‌；‌存储（ROM/SSD）‌：≥ ‌16GB</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3.显示屏：≥21寸高清IPS屏</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4.分辨率：≥1920*1080</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5.摄像头：≥200万像素</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6.扬声器：支持</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7.麦克风：支持</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8.联网方式：有线网、无线网</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9.净重：≤7kg</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三、学生AI伙伴</w:t>
            </w:r>
            <w:r/>
          </w:p>
          <w:p>
            <w:pPr>
              <w:ind w:firstLine="240"/>
              <w:jc w:val="left"/>
              <w:spacing w:line="360" w:lineRule="auto"/>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提供不少于20个智能体，包括心灵伙伴、学习助手、趣味解压等维度，包括英语陪练、演说指导、诗词鉴赏、作文助手、故事叙述专家、情绪垃圾桶、生涯领航者、萌宠陪伴、夸夸暖心陪伴等智能体。提供AI心理辅导师智能体</w:t>
            </w:r>
            <w:r>
              <w:rPr>
                <w:rFonts w:hint="eastAsia" w:ascii="宋体" w:hAnsi="宋体" w:cs="宋体"/>
                <w:color w:val="000000"/>
                <w:sz w:val="24"/>
                <w:szCs w:val="24"/>
                <w:highlight w:val="none"/>
                <w:lang w:eastAsia="zh-CN" w:bidi="ar"/>
              </w:rPr>
              <w:t xml:space="preserve">。</w:t>
            </w:r>
            <w:r>
              <w:rPr>
                <w:rFonts w:hint="eastAsia" w:ascii="宋体" w:hAnsi="宋体" w:cs="宋体"/>
                <w:b/>
                <w:bCs/>
                <w:sz w:val="24"/>
                <w:szCs w:val="24"/>
                <w:highlight w:val="none"/>
              </w:rPr>
              <w:t xml:space="preserve">（提供产品功能页面截图并加盖公章，供货产品功能页面需与截图保持一致）</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2.需支持以语音的方式和智能体进行对话；</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3.要求情感陪伴类智能体采用心理大语言模型，且该大语言模型通过国家网信办《生成式人工智能服务管理暂行办法》备案，可在互联网信息服务算法备案系统（https://beian.cac.gov.cn/）中查询到生成合成类（深度合成）的算法备案；</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四、正念冥想</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1.提供不少于35个正念冥想主题；</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2.至少包含当下生活、心流体验、情绪调节、自我洞察等维度，帮助学生选择合适的分类和主题调节心情；</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五、心理危机监测与预警</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1.提供动态监测与预警管理，系统基于学生日常的对话等行为数据，动态对学生心理进行等级预警，生成学生心理健康状态监测预警档案；</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2.需要支持心理老师查看预警详细内容，包括学生的个人信息、近半年的预警记录；</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3.需要支持心理老师可查看到高危预警的原对话内容；</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4.需要支持自伤自杀预警实时发送短信给系统设置的负责人；</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5.需要支持自伤自杀预警实时电话通知给系统设置的负责人；</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六、用户管理</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1.需要支持学校组织架构的编辑、修改、删除。</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2.需要支持对系统用户进行管理，需要支持手动新增用户，对用户信息进行编辑修改、删除、禁用；</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3.需要支持模板导入用户，并支持自动生成组织架构；</w:t>
            </w:r>
            <w:r/>
          </w:p>
          <w:p>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4.需要支持批量导入学生照片，用于学生人脸识别登录；</w:t>
            </w:r>
            <w:r/>
          </w:p>
        </w:tc>
      </w:tr>
      <w:tr>
        <w:trPr/>
        <w:tc>
          <w:tcPr>
            <w:tcMar>
              <w:left w:w="17" w:type="dxa"/>
              <w:top w:w="17" w:type="dxa"/>
              <w:right w:w="17" w:type="dxa"/>
              <w:bottom w:w="17" w:type="dxa"/>
            </w:tcMa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情绪互动解压装置</w:t>
            </w:r>
            <w:r/>
          </w:p>
        </w:tc>
        <w:tc>
          <w:tcPr>
            <w:tcMar>
              <w:left w:w="17" w:type="dxa"/>
              <w:top w:w="17" w:type="dxa"/>
              <w:right w:w="17" w:type="dxa"/>
              <w:bottom w:w="17" w:type="dxa"/>
            </w:tcMar>
            <w:tcW w:w="8692" w:type="dxa"/>
            <w:vAlign w:val="center"/>
            <w:textDirection w:val="lrTb"/>
            <w:noWrap w:val="false"/>
          </w:tcPr>
          <w:p>
            <w:pPr>
              <w:numPr>
                <w:ilvl w:val="0"/>
                <w:numId w:val="5"/>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球体直径：φ100～150mm（可根据现场尺寸调整），表面包覆层厚度≥5mm，按压回弹性能良好。</w:t>
            </w:r>
            <w:r/>
          </w:p>
          <w:p>
            <w:pPr>
              <w:numPr>
                <w:ilvl w:val="0"/>
                <w:numId w:val="5"/>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耐用性：单模块可承受≥15万次按压，无功能失效、结构断裂问题。</w:t>
            </w:r>
            <w:r/>
          </w:p>
          <w:p>
            <w:pPr>
              <w:numPr>
                <w:ilvl w:val="0"/>
                <w:numId w:val="5"/>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基底塑料：采用食品级ABS/PP材料，无BPA、无邻苯二甲酸酯类增塑剂。</w:t>
            </w:r>
            <w:r/>
          </w:p>
          <w:p>
            <w:pPr>
              <w:numPr>
                <w:ilvl w:val="0"/>
                <w:numId w:val="5"/>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表面包覆：采用环保PU/EVA材料，阻燃等级符合GB/T 2408标准V-0级，烟密度等级≥SDR 40，燃烧时无有毒有害气体释放。</w:t>
            </w:r>
            <w:r/>
          </w:p>
          <w:p>
            <w:pPr>
              <w:numPr>
                <w:ilvl w:val="0"/>
                <w:numId w:val="5"/>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表面涂层：采用环保水性漆，VOC含量符合GB 30981标准，重金属（铅、镉、铬、汞）含量≤90mg/kg。</w:t>
            </w:r>
            <w:r/>
          </w:p>
        </w:tc>
      </w:tr>
      <w:tr>
        <w:trPr/>
        <w:tc>
          <w:tcPr>
            <w:tcMar>
              <w:left w:w="17" w:type="dxa"/>
              <w:top w:w="17" w:type="dxa"/>
              <w:right w:w="17" w:type="dxa"/>
              <w:bottom w:w="17" w:type="dxa"/>
            </w:tcMa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下棋机器人围棋大师版</w:t>
            </w:r>
            <w:r/>
          </w:p>
        </w:tc>
        <w:tc>
          <w:tcPr>
            <w:tcMar>
              <w:left w:w="17" w:type="dxa"/>
              <w:top w:w="17" w:type="dxa"/>
              <w:right w:w="17" w:type="dxa"/>
              <w:bottom w:w="17" w:type="dxa"/>
            </w:tcMa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1.AI习题精练，涵盖从0基础到业余5段，共7个级别、题目数量超过2000题、包含吃子，死活，对杀等题型；</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2.棋力闯关：不少于20关，最高关卡可达专业9段（专业0段至专业9段每段至少设置2个关卡）；</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3.巅峰对决：无需闯关，打开即最高棋力对战（即第21关）；</w:t>
            </w:r>
            <w:r/>
          </w:p>
          <w:p>
            <w:pPr>
              <w:jc w:val="left"/>
              <w:spacing w:line="36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4.星球联盟：在线对弈 可选择三方平台进行对弈，目前对接的三方平台：99围棋、新博围棋、弈客少儿、弈客围棋、佳弈围棋、匹配均为棋力相当真人用户；</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5.五子棋：不少于10个等级；</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6.手机APP：能够进行设备管理、棋手管理、对弈记录复盘等； </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AI打谱：包含百余位中日韩名家的上万局棋谱，以及当湖十局等经典名谱，可随心所欲选择自己感兴趣的名家名谱进行学习&amp;研究，打谱过程中账号提供了多种便捷功能，如自动打谱、手动打谱、快进模式、脱谱对弈可根据需求灵活选择；</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8.好友约战围棋——APP，支持2种方式好友约战</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①账号对应机器上，可发送给好友，邀请，好友APP与发起方机器对弈</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②双方使用机器人一起对弈，在机器人上创建房间，输入房间号，进行好友约战</w:t>
            </w:r>
            <w:r/>
          </w:p>
        </w:tc>
      </w:tr>
      <w:tr>
        <w:trPr/>
        <w:tc>
          <w:tcPr>
            <w:tcMar>
              <w:left w:w="17" w:type="dxa"/>
              <w:top w:w="17" w:type="dxa"/>
              <w:right w:w="17" w:type="dxa"/>
              <w:bottom w:w="17" w:type="dxa"/>
            </w:tcMa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下棋机器人象棋旗舰版</w:t>
            </w:r>
            <w:r/>
          </w:p>
        </w:tc>
        <w:tc>
          <w:tcPr>
            <w:tcMar>
              <w:left w:w="17" w:type="dxa"/>
              <w:top w:w="17" w:type="dxa"/>
              <w:right w:w="17" w:type="dxa"/>
              <w:bottom w:w="17" w:type="dxa"/>
            </w:tcMa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1.AI学棋功能，1V1“小灶”教学以及中象协专业课程  在家就可以用机器考取中象协认证证书（官网可查）；</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2.棋力闯关功能，不少于15关；</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3.残局闯关功能，残局至少共100关对弈方式，</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4.娱乐模式：可提升棋力；</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5.巅峰对决：无需闯关，打开即最高棋力对战（即第21关）；</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6.自摆残局，自行摆放残局，自行破解；</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7.AI支一招（每一局可由机器帮助支招三次）。</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8.好友约战功能：用户可以在机器人上创建房间，小程序邀请好友进行对战，远程对弈PK。</w:t>
            </w:r>
            <w:r/>
          </w:p>
          <w:p>
            <w:pPr>
              <w:numPr>
                <w:ilvl w:val="255"/>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9.象棋真人排位赛开启，可匹配真人对手</w:t>
            </w:r>
            <w:r/>
          </w:p>
        </w:tc>
      </w:tr>
      <w:tr>
        <w:trPr/>
        <w:tc>
          <w:tcPr>
            <w:tcMar>
              <w:left w:w="17" w:type="dxa"/>
              <w:top w:w="17" w:type="dxa"/>
              <w:right w:w="17" w:type="dxa"/>
              <w:bottom w:w="17" w:type="dxa"/>
            </w:tcMa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AI接待机器人</w:t>
            </w:r>
            <w:r/>
          </w:p>
        </w:tc>
        <w:tc>
          <w:tcPr>
            <w:tcMar>
              <w:left w:w="17" w:type="dxa"/>
              <w:top w:w="17" w:type="dxa"/>
              <w:right w:w="17" w:type="dxa"/>
              <w:bottom w:w="17" w:type="dxa"/>
            </w:tcMa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智能心理服务机器人是基于心理场景应用而设计开发的新型智能服务系统。是以智能传感互联、人机交互、新型显示、云平台、边缘计算以及大数据处理等新一代信息技术为特征，集合了芯片+算法、全感知视觉识别、语音全链条技术、麦克风阵列和室内自主导航平台等全链条AI技术的终端服务产品。</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一、功能参数：</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1.心理问答：内置丰富的心理知识库，能够语音问答反馈，具有心理科普教育功能。支持知识库问答内容自定义扩展，让机器人进行深度学习。</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2.带领参观：支持参观路线设置，并可以对参观者进行路线引导和场馆功能室的讲解介绍。</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3.智能呐喊宣泄：内置呐喊宣泄系统，包含十大宣泄主题，直接语音唤醒进入。</w:t>
            </w:r>
            <w:r/>
          </w:p>
          <w:p>
            <w:pPr>
              <w:pStyle w:val="893"/>
              <w:ind w:left="0" w:firstLine="0"/>
              <w:rPr>
                <w:rFonts w:hint="eastAsia"/>
                <w:highlight w:val="none"/>
              </w:rPr>
            </w:pPr>
            <w:r>
              <w:rPr>
                <w:rFonts w:hint="eastAsia" w:ascii="宋体" w:hAnsi="宋体" w:cs="宋体"/>
                <w:b/>
                <w:bCs/>
                <w:sz w:val="24"/>
                <w:szCs w:val="24"/>
                <w:highlight w:val="none"/>
              </w:rPr>
              <w:t xml:space="preserve">（提供产品功能页面截图并加盖公章，供货产品功能页面需与截图保持一致）</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4.放松训练：内置放松训练模块，包括冥想放松、呼吸放松、肌肉放松和萨提亚放松。通过对话，进入相应的放松模块。</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5.心理设备讲解：支持对心理服务场所的产品设备进行专业的功能讲解和使用指导。支持PPT讲解，控制PPT翻页。</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6.唤醒功能：支持自定义唤醒词，通过视觉唤醒，使机器人随时处于交互状态。</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7.人脸识别：支持人脸注册，支持人脸跟随，多人时进行焦点跟随。支持设置专属欢迎语、人名屏幕显示。</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8.积极情绪引导：能够分析人脸信息，可以得出微笑指数，以及愤怒、厌恶、恐惧、喜悦、平静、悲伤和惊讶七种表情。实现颜值分析、皮肤状态检测。</w:t>
            </w:r>
            <w:r>
              <w:rPr>
                <w:rFonts w:hint="eastAsia" w:ascii="宋体" w:hAnsi="宋体" w:cs="宋体"/>
                <w:b/>
                <w:bCs/>
                <w:sz w:val="24"/>
                <w:szCs w:val="24"/>
                <w:highlight w:val="none"/>
              </w:rPr>
              <w:t xml:space="preserve">（提供产品功能页面截图并加盖公章，供货产品功能页面需与截图保持一致）</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9.来访接待：具有人体识别功能，能够主动招揽。检测到人体后，进行打招呼，并迎上去。</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10.问路引领：支持问路功能，并可以带领来访者到达指定地点。</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11.巡逻播报：支持自定义巡逻路线、语音播报和定时巡逻。</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12.自主充电：支持自主充电，电量低于10%，机器人能够自主前往充电桩充电。支持定时充电，也可以通过管理员口令，随时让机器人去充电。</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13.宣传播报：支持自定义宣传内容播报，支持定时播放，不打扰人。</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14.娱乐辅助功能：唱歌、跳舞、合影、闲聊、故事、诗词、笑话、天气等。</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15.微信小程序：支持手机端管理，具有查看机器人基础状态信息，远程监控、巡逻和邀约等功能。</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16.系统升级：系统能够在线自动升级，嵌入式软件融合，自由拓展，云端数据输出，确保隐私安全。</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二、硬件参数：</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1.产品尺寸：≥100cm*41cm；</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2.产品净重：≤18kg；</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3.产品颜色：星空灰、昼夜黑等；</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4.环境要求：存储温度：-40℃~—70℃；工作温度-10℃—+50℃ 湿度（RH）：10%—90%；</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5.屏幕尺寸：≥14寸大屏，高清分辨率，超越所有笔记本/Pad/Phone等随身屏尺寸。</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6.高清摄像头：≥4800万像素，视野广阔无盲区，进光量至少是普通摄像头4倍；</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7.极简设计，一键操作，头部顶端中间区域集成了语音交互区（6MIC）和触摸唤醒区（中间环状按键），辅以凹凸造型的功能快捷按键，一键跟随，方便快捷。</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8.随身托盘，便捷实用：颈部托盘沉台设计，可以使机器人运送轻量物品。表面喷涂橡胶漆，能有效防止机器人在移动中物品坠落的风险发生。</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9.搭载高通骁龙八核CPU，卓越性能/澎湃体验；</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10.5组扬声器，家用影院级震撼音效，5组扬声器，巧妙地将高中低频段高保真音箱融于一身，声音洪亮，层次更加丰富。声场宽阔，让您感受声声入扣的身临其境。重低音部分呈现深沉、厚重，为您带来更加震撼澎湃体验。</w:t>
            </w:r>
            <w:r/>
          </w:p>
        </w:tc>
      </w:tr>
      <w:tr>
        <w:trPr/>
        <w:tc>
          <w:tcPr>
            <w:tcMar>
              <w:left w:w="17" w:type="dxa"/>
              <w:top w:w="17" w:type="dxa"/>
              <w:right w:w="17" w:type="dxa"/>
              <w:bottom w:w="17" w:type="dxa"/>
            </w:tcMa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心理挂图1</w:t>
            </w:r>
            <w:r/>
          </w:p>
        </w:tc>
        <w:tc>
          <w:tcPr>
            <w:tcMar>
              <w:left w:w="17" w:type="dxa"/>
              <w:top w:w="17" w:type="dxa"/>
              <w:right w:w="17" w:type="dxa"/>
              <w:bottom w:w="17" w:type="dxa"/>
            </w:tcMa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具体要求如下：</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1.要求挂图蕴含心理学含义且具备不同主题，至少包括治愈系、励志系等主题，通过挂图帮助用户缓解心情、释放心理压力。</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2.要求挂图尺寸不小于630*530mm，画面尺寸不小于20寸。</w:t>
            </w:r>
            <w:r/>
          </w:p>
        </w:tc>
      </w:tr>
      <w:tr>
        <w:trPr/>
        <w:tc>
          <w:tcPr>
            <w:tcMar>
              <w:left w:w="17" w:type="dxa"/>
              <w:top w:w="17" w:type="dxa"/>
              <w:right w:w="17" w:type="dxa"/>
              <w:bottom w:w="17" w:type="dxa"/>
            </w:tcMa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tcMar>
              <w:left w:w="17" w:type="dxa"/>
              <w:top w:w="17" w:type="dxa"/>
              <w:right w:w="17" w:type="dxa"/>
              <w:bottom w:w="17" w:type="dxa"/>
            </w:tcMa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心理挂图2</w:t>
            </w:r>
            <w:r/>
          </w:p>
        </w:tc>
        <w:tc>
          <w:tcPr>
            <w:tcMar>
              <w:left w:w="17" w:type="dxa"/>
              <w:top w:w="17" w:type="dxa"/>
              <w:right w:w="17" w:type="dxa"/>
              <w:bottom w:w="17" w:type="dxa"/>
            </w:tcMa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1.设计内容：文字内容为学生发展指导中心规章制度、简介等内容，以及相关图案造型等。</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2.设计要求：墙面设计、制作、安装。</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3.制作要求：墙布打底，精品字工艺。</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4.规格尺寸：造型尺寸不低于800*1200mm。</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5.安装位置：门厅。</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无声挂钟</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直径≥30cm</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p>
        </w:tc>
        <w:tc>
          <w:tcPr>
            <w:tcW w:w="682"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心理辅助救援仪</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功能要求：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1.支持开启/关闭语音引导，提示距危机事件发生已过去的时间，支持根据危机事件发生日期提供不同训练方案。</w:t>
            </w:r>
            <w:r/>
          </w:p>
          <w:p>
            <w:pPr>
              <w:jc w:val="left"/>
              <w:spacing w:line="360" w:lineRule="exact"/>
              <w:widowControl/>
              <w:rPr>
                <w:rFonts w:hint="eastAsia" w:ascii="宋体" w:hAnsi="宋体" w:cs="宋体"/>
                <w:b/>
                <w:bCs/>
                <w:sz w:val="24"/>
                <w:szCs w:val="24"/>
                <w:highlight w:val="none"/>
              </w:rPr>
            </w:pPr>
            <w:r>
              <w:rPr>
                <w:rFonts w:hint="eastAsia" w:ascii="宋体" w:hAnsi="宋体" w:cs="宋体"/>
                <w:color w:val="000000"/>
                <w:sz w:val="24"/>
                <w:szCs w:val="24"/>
                <w:highlight w:val="none"/>
                <w:lang w:bidi="ar"/>
              </w:rPr>
              <w:t xml:space="preserve">2.用户可使用无需注册的游客模式，体验安全感、放松、稳定感等主题功能，包含内在安全岛、蝴蝶拍、渐进肌肉放松等训练内容，便于快速试用、即时舒缓情绪压力。</w:t>
            </w:r>
            <w:r>
              <w:rPr>
                <w:rFonts w:hint="eastAsia" w:ascii="宋体" w:hAnsi="宋体" w:cs="宋体"/>
                <w:b/>
                <w:bCs/>
                <w:sz w:val="24"/>
                <w:szCs w:val="24"/>
                <w:highlight w:val="none"/>
              </w:rPr>
              <w:t xml:space="preserve">（提供产品功能页面截图并加盖公章，供货产品功能页面需与截图保持一致）</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3.用户注册后首次登录需完善基础信息、危机信息等急救档案，支持根据男女性别选择提供不同人物形象。提供如被欺凌、失业、遭受暴力等≥2</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项危机事件具体类型选择，并支持单选或多选。</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4.提供在危机事件发生日期为30天/1个月内的紧急调节、测评后调节方案。支持用户在情况特别紧急希望快速得到帮助时，进行紧急调节，提供</w:t>
            </w:r>
            <w:r>
              <w:rPr>
                <w:rFonts w:hint="eastAsia" w:ascii="宋体" w:hAnsi="宋体" w:cs="宋体"/>
                <w:color w:val="000000"/>
                <w:sz w:val="24"/>
                <w:szCs w:val="24"/>
                <w:highlight w:val="none"/>
                <w:lang w:val="en-US" w:eastAsia="zh-CN" w:bidi="ar"/>
              </w:rPr>
              <w:t xml:space="preserve">≥3类</w:t>
            </w:r>
            <w:r>
              <w:rPr>
                <w:rFonts w:hint="eastAsia" w:ascii="宋体" w:hAnsi="宋体" w:cs="宋体"/>
                <w:color w:val="000000"/>
                <w:sz w:val="24"/>
                <w:szCs w:val="24"/>
                <w:highlight w:val="none"/>
                <w:lang w:bidi="ar"/>
              </w:rPr>
              <w:t xml:space="preserve">主题调节，支持通过音视频形式进行分段式训练，训练结束后生成报告。</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bidi="ar"/>
              </w:rPr>
              <w:t xml:space="preserve">支持用户在感觉能够承受的情况下，选择测评后调节。支持通过≥5项应激情绪进行快速评估，或通过完成如事件冲击量表修订版进行系统评估。支持进行测评后再匹配合适的调节方案，训练结束后生成报告。</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提供危机事件发生日期为1—3个月以内的方案，根据前测－训练－后测的流程，包括PTSD初筛量表、训练方案、“情绪自评量表”“HRV监测”等内容，训练结束后生成报告。首页提示最近评估日期、评估结果、训练进度等信息。</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7.通过实时监测心率、血氧等数据，覆盖脉搏波形、协调度、压力指数、放松度等关键指标。协调度、压力指数、放松度采用百分制评估。点击参数或图表可查看其详细介绍信息。</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提供心率变异程度的曲线图、散点图（代表心率变异性的结果图之一）、HRT直方图（横轴为心率，竖轴为个数）、心率的平均值、心率的标准差、NN间期平均值、相邻RR间期差值的均方根、相邻RR间期的标准差等≥11项指标数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9.提供功率谱图（利用快速傅里叶转换法，将心率变异性波形图转换为功率谱密度图）、标准化HF（HF-norm）、交感及副交感张力的平衡（LF/HF）、总功率（TP）、高频功率（HF）、低频功率（LF）等≥8项指标数据。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提供危机事件发生3个月以上的方案。通过创伤后应激障碍自评量表进行测评后，再匹配合适的调节方案，训练结束后生成报告。集成基于EMDR（眼动脱敏再处理）的8阶段眼动训练方案，用户可追踪小球速度、颜色、尺寸的个性化调整。提供心理着陆、蝴蝶拍、呼吸放松、屏幕技术、内在安全岛、渐进肌肉放松、积极想象、正念呼吸等调节方法。</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11.屏幕技术：应用想象放松法动态地将闯入性画面从彩色变为黑白最后完全消失，危机场景中出现的声音越来越小直至消失，在想象中自我暗示减轻闯入性画面对用户身心的影响。</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12.内在安全岛：运用想象法改善用户情绪，帮助用户找寻内在安全地，从而缓解用户紧张、焦虑、不安的情绪。</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13.支持通过如“画面闯入”“胸口发紧”“焦虑不安”等≥7种条件类型查询档案，支持用户自主查看、删除、导出训练档案，进行档案管理。</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14.训练档案包含如测评报告、训练进程、训练说明、训练原理、温馨提示等≥5类内容，测评报告包含量表名称、测评得分、评估日期、测评结果等≥4条信息。</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1.包含主系统1套；指夹式生物反馈采集仪1个；控制台1套。</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1.要求外观尺寸：1520mm*650mm*700mm（±50mm）。</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2.要求控制台屏幕尺寸： ≥23英寸。</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p>
        </w:tc>
        <w:tc>
          <w:tcPr>
            <w:tcW w:w="682"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AI绘画投射分析装置</w:t>
            </w:r>
            <w:r/>
          </w:p>
        </w:tc>
        <w:tc>
          <w:tcPr>
            <w:tcW w:w="8692" w:type="dxa"/>
            <w:vAlign w:val="center"/>
            <w:textDirection w:val="lrTb"/>
            <w:noWrap w:val="false"/>
          </w:tcPr>
          <w:p>
            <w:pPr>
              <w:numPr>
                <w:ilvl w:val="0"/>
                <w:numId w:val="6"/>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功能描述</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1.系统内置AI小助手、曼陀罗性格倾向测验、趣味测验、成长任务、绘画展厅、主题绘画、用户管理、档案管理等功能模块。</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2.成长任务提供完整的训练流程，包含绘画示意、图案绘制、AI语音交互引导、报告分析4个部分，按照“讲解→绘画→引导回顾→分析”的流程进行训练。</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成长任务模块，包含保护篇、分化篇、凝聚篇、整合篇、指引篇、超越篇、回顾篇6个阶段任务。后续阶段需完成前序任务方可解锁，引导用户分阶段参与绘画，逐步提升心理能量。完成成长任务后，呈现分析报告。</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4.系统提供详细的成长任务报告分析，包含个人基础信息、绘画时长、报告生成时间、心理能量等级说明、作品展示、颜色分析等。心理能量值划分</w:t>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个等级（</w:t>
            </w:r>
            <w:r>
              <w:rPr>
                <w:rFonts w:hint="eastAsia" w:ascii="宋体" w:hAnsi="宋体" w:cs="宋体"/>
                <w:color w:val="000000"/>
                <w:sz w:val="24"/>
                <w:szCs w:val="24"/>
                <w:highlight w:val="none"/>
                <w:lang w:val="en-US" w:eastAsia="zh-CN" w:bidi="ar"/>
              </w:rPr>
              <w:t xml:space="preserve">低、中、高</w:t>
            </w:r>
            <w:r>
              <w:rPr>
                <w:rFonts w:hint="eastAsia" w:ascii="宋体" w:hAnsi="宋体" w:cs="宋体"/>
                <w:color w:val="000000"/>
                <w:sz w:val="24"/>
                <w:szCs w:val="24"/>
                <w:highlight w:val="none"/>
                <w:lang w:bidi="ar"/>
              </w:rPr>
              <w:t xml:space="preserve">），以不同颜色进行呈现，并指示出用户所处能量位置。完成6个阶段成长任务后，系统呈现成长回顾功能。可依次查看6个阶段绘制的作品，AI综合6个阶段任务完成情况，生成综合报告。</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综合报告包含整体心理能量变化、颜色与心理状态的关联、用户成长总结、建议与展望等4部分内容。心理能量变化综合6个阶段成长任务，从初期阶段、中期阶段、后期阶段三部分进行比较分析，并生成6阶段成长任务心理能量值曲线图。</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6.系统具有曼陀罗性格倾向测验，包含图案选择、曼陀罗绘制、性格分析。完成绘画后系统通过AI算法分析绘画内容，生成个性化的性格分析报告。</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7.性格分析报告包含性格类型图、优势特征、劣势特征、突破性任务、作品展示、颜色分析、特征分析、辅导建议等≥8项内容。</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8.系统具有AI小助手功能，支持用户与AI进行语音交互，可了解系统介绍、曼陀罗绘画起源、每日画签等内容。</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9.系统具有主题曼陀罗模块，内置如自我曼陀罗、情绪曼陀罗等不少于8个经典心理主题。每个主题均配有视频讲解、步骤介绍。完成绘画后，系统出具分析报告。</w:t>
            </w:r>
            <w:r/>
          </w:p>
          <w:p>
            <w:pPr>
              <w:spacing w:line="360" w:lineRule="exact"/>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10.系统具有趣味测验模块，内置如测测你的焦虑程度、测测你的色彩感知等不少于16个绘画测验游戏，完成后自动生成测验结果。</w:t>
            </w:r>
            <w:r>
              <w:rPr>
                <w:rFonts w:hint="eastAsia" w:ascii="宋体" w:hAnsi="宋体" w:cs="宋体"/>
                <w:b/>
                <w:bCs/>
                <w:sz w:val="24"/>
                <w:szCs w:val="24"/>
                <w:highlight w:val="none"/>
              </w:rPr>
              <w:t xml:space="preserve">（提供产品功能页面截图并加盖公章，供货产品功能页面需与截图保持一致）</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11.系统管理端须具有用户管理功能，支持编辑、添加、删除用户。</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12.系统具有绘画展厅模块，包含绘画中的心理学、心理画展2部分内容。绘画中的心理学提供如“当东方智慧遇上曼陀罗绘画”等不少于16篇文章。心理画展以图文的形式科普心理绘画。</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13.每日画签功能支持用户选择了解今日财运、学业、事业、爱情、财富、健康等方面内容，并根据抽取画签结果进行进一步AI深度了解。</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系统具有档案管理功能，包括成长任务档案、主题绘画档案。成长任务档案全面记录任务生成时间、任务完成进度、进度更新时间等。支持根据任务生成时间进行筛选。报告根据成长任务完成情况，整合综合报告、性格倾向测验、保护篇、分化篇、凝聚篇、整合篇、指引篇、超越篇等内容。</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14.要求系统管理端须具有用户管理功能，支持编辑、添加、删除用户。</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1.包含主系统1套；控制台1套；绘画笔1支。</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1.要求外观尺寸：872mm*525mm*420mm（±50mm）；</w:t>
            </w:r>
            <w:r/>
          </w:p>
          <w:p>
            <w:pP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2.要求控制台屏幕尺寸为≥21寸。</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智能情绪识别训练仪</w:t>
            </w:r>
            <w:r/>
          </w:p>
        </w:tc>
        <w:tc>
          <w:tcPr>
            <w:tcW w:w="8692" w:type="dxa"/>
            <w:vAlign w:val="center"/>
            <w:textDirection w:val="lrTb"/>
            <w:noWrap w:val="false"/>
          </w:tcPr>
          <w:p>
            <w:pPr>
              <w:numPr>
                <w:ilvl w:val="0"/>
                <w:numId w:val="7"/>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功能要求</w:t>
            </w:r>
            <w:r/>
          </w:p>
          <w:p>
            <w:pPr>
              <w:numPr>
                <w:ilvl w:val="0"/>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1.支持通过每日一签记录≥5种心情，提供≥12种主题选项，支持输入经历和感受等心情日记。</w:t>
            </w:r>
            <w:r/>
          </w:p>
          <w:p>
            <w:pPr>
              <w:spacing w:line="360" w:lineRule="exact"/>
              <w:rPr>
                <w:rFonts w:hint="eastAsia" w:ascii="宋体" w:hAnsi="宋体" w:cs="宋体"/>
                <w:b/>
                <w:bCs/>
                <w:sz w:val="24"/>
                <w:szCs w:val="24"/>
                <w:highlight w:val="none"/>
              </w:rPr>
            </w:pPr>
            <w:r>
              <w:rPr>
                <w:rFonts w:hint="eastAsia" w:ascii="宋体" w:hAnsi="宋体" w:cs="宋体"/>
                <w:color w:val="000000"/>
                <w:sz w:val="24"/>
                <w:szCs w:val="24"/>
                <w:highlight w:val="none"/>
                <w:lang w:bidi="ar"/>
              </w:rPr>
              <w:t xml:space="preserve">2.提供情绪积极指数、情绪稳定性指数、情绪弹性指数等多维情绪检测报告，包含不同维度得分、理想分值（百分制）等，提供如面部情绪识别数据结果、情绪图片诱导实验数据结果、面部情绪变化数据结果、情绪稳定性问卷数据结果、情绪弹性问卷数据结果等≥5组数据结果。</w:t>
            </w:r>
            <w:r>
              <w:rPr>
                <w:rFonts w:hint="eastAsia" w:ascii="宋体" w:hAnsi="宋体" w:cs="宋体"/>
                <w:b/>
                <w:bCs/>
                <w:sz w:val="24"/>
                <w:szCs w:val="24"/>
                <w:highlight w:val="none"/>
              </w:rPr>
              <w:t xml:space="preserve">（提供产品功能页面截图并加盖公章，供货产品功能页面需与截图保持一致）</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3.提供如“绘制生命树”“情绪问答”等≥7款心理体验项目。</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4.提供倒计时为30秒的快速情绪识别，识别中提示积极词语引导，帮助用户洞察内心，了解自我情绪。支持通过扫描二维码下载报告，或导出报告到本机。</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5.系统具有情绪识别小屋、积极训练中心、趣味体验场、个人小屋、档案信箱、心情日记等功能。</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6.提供本周/月情绪状况，包含积极情绪、消极情绪百分比等，支持选择日期范围、情绪状态等查询记录。</w:t>
            </w:r>
            <w:r/>
          </w:p>
          <w:p>
            <w:pPr>
              <w:spacing w:line="24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7.提供如积极/消极占比统计图、7种情绪占比统计图、情绪变化趋势图等数据图表分析</w:t>
            </w:r>
            <w:r>
              <w:rPr>
                <w:rFonts w:hint="eastAsia" w:ascii="宋体" w:hAnsi="宋体" w:cs="宋体"/>
                <w:color w:val="000000"/>
                <w:sz w:val="24"/>
                <w:szCs w:val="24"/>
                <w:highlight w:val="none"/>
                <w:lang w:val="en-US" w:eastAsia="zh-CN" w:bidi="ar"/>
              </w:rPr>
              <w:t xml:space="preserve">报告</w:t>
            </w:r>
            <w:r>
              <w:rPr>
                <w:rFonts w:hint="eastAsia" w:ascii="宋体" w:hAnsi="宋体" w:cs="宋体"/>
                <w:color w:val="000000"/>
                <w:sz w:val="24"/>
                <w:szCs w:val="24"/>
                <w:highlight w:val="none"/>
                <w:lang w:bidi="ar"/>
              </w:rPr>
              <w:t xml:space="preserve">；提供7种情绪占比排名前三的情绪代表图，包含不同情绪占比、出现频率等数据；提供不同动态卡通动物形象作为情绪代表，如快乐小鸟等。</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8.提供面部情绪识别、图形情绪感知、自我评估三个阶段多维情绪检测，支持通过扫描二维码下载报告，或导出报告到本机。</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9.支持管理员账号进行用户管理，可添加用户，并对已存在的账号进行查看、编辑、删除等操作</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10.提供情绪总体印象，包含积极－消极、稳定－不稳定等维度四种组合结果，支持根据多维情绪检测结果智能推荐内容。</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11.提供基于人本主义心理学原理研发的“绘制生命树”体验游戏。</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12.提供“情绪问答”体验游戏，通过问答可了解情绪的意义，体会情绪的价值，了解身体的反应。</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13.提供如“情绪是什么”“如何避免情绪化？”等≥30篇心理文章。提供如“原来真的可以气出胃病”“拒绝情绪化进食”等≥30节心理课程。提供如“和谐轻音”“森林清晨”“治愈心灵”等≥32款音频。</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14.提供如“奔跑的方块”“印章糖”“小羊回家”等≥20款趣味体验场游戏。</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15.提供档案信箱，支持通过选择报告日期查询报告，支持对快速情绪识别、多维情绪检测报告进行查看、删除等操作。</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16.提供基本信息、面部信息、成长等级等个人小屋内容，包含初级、中级、高级、专家、大师等五级成长等级，支持更换、解除面部信息。</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17.支持用户通过如登录岛屿、快速情绪识别等不少于</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项的任务操作，领取一定贝壳及成长值。使用贝壳值解锁一定内容，如积极训练中心的部分心理课程或心灵之舞的部分音乐。</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18.支持用户注册并绑定人脸信息后，后续可通过识别面部信息刷脸登录。</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1.包含主系统1套；控制台1套。</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1.要求外观尺寸：1720mm*750mm*265mm（±10mm），底座尺寸：550mm*750mm（±5mm）。</w:t>
            </w:r>
            <w:r/>
          </w:p>
          <w:p>
            <w:pPr>
              <w:numPr>
                <w:ilvl w:val="255"/>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2.要求控制台屏幕尺寸：≥21英寸。</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心理沙盘</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一、功能要求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1.个体沙箱1个：规格长度70cm*宽度55cm*高度5cm（±10cm）；橡木板材，内侧蓝色。</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2.沙具1000件：提供如人物类、死亡类、文体类、食物类、家居类、交通类、军事类、建筑类、动物类、植物类、自然物类、名胜古迹类、颜色形状类、符号类、钱币类等不少于15类主题沙具。</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3.沙具摆放架2个：高度约160cm*宽度约80cm*深度约30cm（±5cm）；橡木板材，9层设计。</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4.细沙≥15kg：天然细沙、颗粒光滑、大小均匀、手感好。</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5.要求提供至少30课时的沙盘培训微课一套，课程以双人访谈QA一对一解答的方式，分主题讲解沙盘游戏咨询的理论背景、实操技术，能让初学者迅速入门。</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3D电子心理沙盘</w:t>
            </w:r>
            <w:r/>
          </w:p>
        </w:tc>
        <w:tc>
          <w:tcPr>
            <w:tcW w:w="8692" w:type="dxa"/>
            <w:vAlign w:val="center"/>
            <w:textDirection w:val="lrTb"/>
            <w:noWrap w:val="false"/>
          </w:tcPr>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功能要求</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1.提供制作沙盘和沙盘管理功能模块，支持管理员账号进行用户管理、沙盘管理。</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2.支持自由开启、关闭音乐，调节音量大小及自定义选择音乐曲目。</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3.支持进行阈值设置，调节移动灵敏度、旋转灵敏度、堆沙强度、挖沙强度、平整强度等。</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4.支持查看沙具列表，支持点击图标定位沙具位置，便于快速找到指定沙具。</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5.提供如建筑物、植物、动物、人物等≥1490件3D沙具模型。部分沙具模型带有骨骼动画效果，如牛、猫、野兔、男人、女人等模型具备原地活动动画效果。</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6.支持对沙具进行≥3种旋转方式、≥4种缩放方式的操作，达到如放大、拉宽、增高、倒置、倾倒等效果，支持对沙具进行移动和删除操作。</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7.支持对地形进行抬升、平整、下降等高度修改操作。抬升地形时模拟沙子堆起效果；下降地形到一定位置时，出现蓝色区域，模拟水的效果。</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8.支持通过调整地形及沙具位置，对沙具进行掩埋、悬浮等操作，实现如悬浮飞行、潜泳等效果。</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9.支持绘制如沙子、石子、青草、鲜花等≥4种贴图路径，支持通过在沙盘范围内触控涂抹，实现部分地面风貌状态变换。提供如“万里晴空”“多云”“阴天”“黄昏落日”“寂静深夜”等≥8种环境设置，支持用户自由选择心仪场景。</w:t>
            </w:r>
            <w:r>
              <w:rPr>
                <w:rFonts w:hint="eastAsia" w:ascii="宋体" w:hAnsi="宋体" w:cs="宋体"/>
                <w:b/>
                <w:bCs/>
                <w:sz w:val="24"/>
                <w:szCs w:val="24"/>
                <w:highlight w:val="none"/>
              </w:rPr>
              <w:t xml:space="preserve">（提供产品功能页面截图并加盖公章，供货产品功能页面需与截图保持一致）</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w:t>
            </w:r>
            <w:r>
              <w:rPr>
                <w:rFonts w:hint="eastAsia" w:ascii="宋体" w:hAnsi="宋体" w:cs="宋体"/>
                <w:color w:val="000000"/>
                <w:sz w:val="24"/>
                <w:szCs w:val="24"/>
                <w:highlight w:val="none"/>
                <w:lang w:bidi="ar"/>
              </w:rPr>
              <w:t xml:space="preserve">提供如雨、雪等不少于2种动态天气展示。                                                                                                                                                11、具有导出报告功能，智能生成文档格式的沙盘游戏分析报告，包含姓名、性别等基本信息以及沙具总数量、沙盘名称、自我像、记录时间、沙盘图片、沙具摆放列表、沙具寓意分析、环境寓意分析等内容。</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12.提供如沙子、石子、青草、鲜花等不少于4种地面设置，支持对沙盘内整体地面风貌状态进行变换。</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13.支持对沙盘边框进行是否显示设置。</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14.支持将当前场景进行屏幕截图，保存到指定目录下，便于对场景进行留图记录。</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15.支持自定义保存沙盘名称、选择自我像等操作。</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支持调整沙盘视距，进行居中显示、重置视角等操作，可通过触控对沙盘场景进行360度环绕及一定区域内移动的操作。支持进行沙盘管理，可查看沙盘名称、用户名称、制作时间、制作时长、沙具数量等内容，支持查看、删除沙游作品。</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17.支持查看沙游作品，包括数据分析和视频回放功能，可完整记录沙游制作过程信息，全程录制沙游制作过程。</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18.支持进行数据查看，包括“显示被移除沙具”“显示被隐藏沙具”“显示被移动沙具”等。</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19.提供沙游作品的用户操作列表，包含如修改地形、修改环境、沙具操作等状态，以及类型、时间等内容。</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20.支持查看沙游作品的沙具列表，包含名称、类型、时间等信息。</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21.支持选择沙游作品的第一人称、第三人称两种观看模式。使用第一人称视角时，支持在沙盘作品场景中移动、转换视角。使用第三人称视角时，支持视距调整、重置视角等操作。</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22.支持查看沙游作品视频回放，支持进行开始/暂停播放、重置场景等操作，提供时间轴显示。</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1.包含主系统1套；控制台1套。</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1.要求外观尺寸：1140mm*650mm*（880-1280）mm（±50mm）。</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2.要求控制台尺寸：≥43英寸。</w:t>
            </w:r>
            <w:r/>
          </w:p>
          <w:p>
            <w:pPr>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3.要求自动升降高度：屏幕距地高度调节范围：880mm 至1280mm。</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智能身心反馈训练调节装置</w:t>
            </w:r>
            <w:r/>
          </w:p>
        </w:tc>
        <w:tc>
          <w:tcPr>
            <w:tcW w:w="8692" w:type="dxa"/>
            <w:vAlign w:val="center"/>
            <w:textDirection w:val="lrTb"/>
            <w:noWrap w:val="false"/>
          </w:tcPr>
          <w:p>
            <w:pPr>
              <w:numPr>
                <w:ilvl w:val="0"/>
                <w:numId w:val="8"/>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功能要求</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1.内置呼吸助手视觉提示窗，动态展示呼、吸效果，支持灵活调整呼吸速度；脉搏波形动态显示窗，实时监测心率、血氧指标，增强用户体验的直观性与互动性。</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2.系统提供详细训练报告，包括训练类型、记录时间、训练时长、训练项目、健康说明、辅导建议、知识拓展等，提供压力指数及协调指数0-100五级计分（极差、差、正常、良好、优）及理想分值、具体分值。</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3.涵盖肌肉放松训练、冥想放松训练、呼吸放松训练、拥抱潜意识、净化身心、感谢自己、摆脱不安、悲伤辅导、超越思维、改善沟通、改善焦虑、积极心态等≥1</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种科学训练指导方向，引导用户正确进行心理调适。</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系统核心：本系统深度融合心率变异性生物反馈科技，集成HRV身心监测及减压放松训练两大功能，包括HRV参数监测、心理评估、反馈训练、音乐放松、场景放松、训练指导、眼动训练、应激训练等不少于8个功能模块，旨在全方位辅助用户进行压力释放与心理调适。</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通过实时监测心率、血氧等数据，覆盖脉搏波形、时域分析、频域分析、协调指数、压力指数等关键指标。协调指数与压力指数采用百分制评估。点击参数或图表可查看其详细介绍信息。支持监测结束后生成报告，报告支持导出。</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6.提供心率变异程度的心率的标准差、散点图、曲线图、HRT直方图、心率的平均值、NN间期平均值、相邻RR间期差值的均方根、相邻RR间期的标准差等≥11项时域分析指标数据。</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7.提供功率谱图、标准化HF（HF-norm）、交感及副交感张力的平衡（LF/HF）、总功率（TP）、高频功率（HF）、低频功率（LF）等≥8项频域分析指标数据。</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8.集成≥14种专业心理评估量表，如自我压力测试、显性焦虑量表等，每个量表提供详细介绍说明，支持选择自动跳转至下一题，测评后即时生成报告。</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提供如“意念识字”“竞技赛跑”“百花齐放”等≥12款反馈训练项目，支持难度分级（简单、普通、困难），训练界面实时反馈心率、血氧及协调度，训练场景随生理指标数值及训练进度而变化，提升训练趣味性与效果。</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10.提供如“自然音乐”“精力再生”“心理能量”等≥8个主题的音乐库，支持进入管理模式自定义音乐分类与文件，打造个性化放松空间。</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11.提供如“广袤沙漠”“日光海岸”“恬静草原”等≥14款高清放松场景及音乐，营造身临其境的放松体验。</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12.提供应激训练，提供≥14种场景及音乐，支持全屏沉浸式体验。</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13.集成基于EMDR（眼动脱敏再处理）的8阶段眼动训练方案，提供≥6条提示，支持眼球追踪小球速度、颜色、尺寸的个性化调整，满足不同训练需求。</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14.智能座椅调控：融合智能匹配与手动匹配双重模式，内置复位座舱、紧急操作等功能，确保紧急情况下的即时制动，保障用户的训练安全。</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15.智能按摩：为实现最佳的放松效果，系统针对每一环节自动生成与之匹配的按摩方式。</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16.手动按摩：提供如悬浮位、固定位、坐姿位三种姿态选择，结合主题、自由、气囊三种按摩模式，支持选择头罩遮挡、打开、固定，支持光疗、热敷功能自由开关。</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17.提供如“酸痛缓和”“舒畅心情”“筋骨舒展”等≥6个主题按摩；提供揉捏、叩击、拍打、揉捏叩击、指压等≥5种自由按摩形式，支持针对按摩位置、速度、幅度进行自定义调节；提供全身、脚腿部、腰坐部、手肩部等≥4种气压按摩模式。</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18.训练档案管理：全面记录训练类型、记录日期及训练档案等，支持针对训练类型进行筛选，报告整合HRV记录数据。管理员可便捷查询与管理训练档案，支持报告导出功能。</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19.支持进行指夹传感器配置、反馈训练相关配置、蓝牙椅控配置，提供训练难度值（简单、普通、困难）自定义配置。</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1.包含主系统1套；减压舱1台；指夹式生物反馈采集仪1套；训练端1台。</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1.要求训练端尺寸：280mm×175mm×10mm（±5mm）。</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2.要求训练端屏幕尺寸：≥11英寸。</w:t>
            </w:r>
            <w:r/>
          </w:p>
          <w:p>
            <w:pPr>
              <w:numPr>
                <w:ilvl w:val="255"/>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3.要求减压舱竖立尺寸1460mm*830mm*1300mm（±50mm），全倒尺寸1750mm*830mm*920mm（±50mm）。</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VR沉浸式动感单车</w:t>
            </w:r>
            <w:r/>
          </w:p>
        </w:tc>
        <w:tc>
          <w:tcPr>
            <w:tcW w:w="8692" w:type="dxa"/>
            <w:vAlign w:val="center"/>
            <w:textDirection w:val="lrTb"/>
            <w:noWrap w:val="false"/>
          </w:tcPr>
          <w:p>
            <w:pPr>
              <w:numPr>
                <w:ilvl w:val="0"/>
                <w:numId w:val="9"/>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功能要求</w:t>
            </w:r>
            <w:r/>
          </w:p>
          <w:p>
            <w:pPr>
              <w:numPr>
                <w:ilvl w:val="0"/>
                <w:numId w:val="1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首页提供当前脉搏、轴向、速度、服务器连接状态等信息。</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提供设备使用、运动安全、身心调节等多种训练指导，包含设备使用提示、VR头盔使用说明、动感单车使用说明、热身准备、运动姿态、骑行呼吸、穿着要求、训练后放松调节、训练禁忌等内容。</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2.用户可在训练端自由注册信息，注册成功后即可进行训练，要求训练端至少具备训练指导、智能训练、自助训练、互动训练、档案中心等功能，可以充分满足用户各项训练需求，帮助用户科学宣泄心理压力。</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3.提供≥12道智能评估选择题，涵盖如“我觉得不快乐”“哪一场景可以让你身心放松”等题目，答题结束后自动显示评估结果，评估结果包含指导语、训练场景、训练时长、训练音乐等内容。</w:t>
            </w:r>
            <w:bookmarkStart w:id="196" w:name="OLE_LINK2"/>
            <w:r>
              <w:rPr>
                <w:rFonts w:hint="eastAsia" w:ascii="宋体" w:hAnsi="宋体" w:cs="宋体"/>
                <w:b/>
                <w:bCs/>
                <w:sz w:val="24"/>
                <w:szCs w:val="24"/>
                <w:highlight w:val="none"/>
              </w:rPr>
              <w:t xml:space="preserve">（提供产品功能页面截图并加盖公章，供货产品功能页面需与截图保持一致）</w:t>
            </w:r>
            <w:bookmarkEnd w:id="196"/>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提供如“森林骑行”“雪地骑行”“沙滩骑行”等≥11款自助训练虚拟场景，其中≥5款场景支持通过转动轴向调整骑行角度进行自由探索，≥5款场景支持固定路线骑行探索。提供如“动感系列”“古典系列”“轻柔系列”等系列≥22首训练音乐，支持自定义训练时长。</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5.系统实时监测采集训练者的生物反馈数据，配合场景、游戏、音乐等形式来对训练者进行减压训练，系统由训练端和管理端两部分组成。</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6.提供VR模式和PC模式两种训练模式，VR模式下支持训练者佩戴VR头显进行心理训练，训练过程中，训练画面可实现头显、屏幕同步显示。PC模式下支持通过观看屏幕进行心理训练。</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7.提供历次的智能训练、自助训练记录，包含如记录时间、训练场景、训练时间、训练音乐等内容，支持在训练记录页面再次进入训练。</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8.支持在同一局域网中，多台VR动感单车身心调适系统设备可扩展为多人团体训练，即团体训练模式下可支持多个训练端同时在同一个训练游戏中进行团体互动训练。</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9.内置≥6款单人训练，以互动训练游戏的形式展现，提供如简单、普通、困难等三级难度选择。内置≥2款团体训练游戏，支持创建房间，查看玩家列表、准备状态、当前人数等信息，支持自由设置游戏长度。</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10.支持训练过程中，可实时监测训练者脉搏生物反馈指标，并在训练场景中显示脉搏（次/分钟）、速度（千米/小时）、距离（米）等。</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11.内置脉搏参数采集传感器，芯片采集设备预置单车车把中，支持采集用户脉搏参数。</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12.支持查看、导出、删除本地训练档案，档案内容涵盖个人信息、训练信息、训练结果等，提供如区间饼图、脉搏时间曲线图、速度区间图表等内容。</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13.内置角度方向和运动速度传感器，支持检测训练者的骑行速度和方向角度。</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1.包含主系统1套；动感单车1部；VR头显1个；控制台1套。</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1.要求单车尺寸：1145mm*530mm*1095mm（±50mm）。</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2.要求头显尺寸：190mm*2810mm*125mm（±10mm）。</w:t>
            </w:r>
            <w:r/>
          </w:p>
          <w:p>
            <w:pPr>
              <w:numPr>
                <w:ilvl w:val="255"/>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3.要求控制台屏幕尺寸：≥43英寸。</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心理宣教展示装置</w:t>
            </w:r>
            <w:r/>
          </w:p>
        </w:tc>
        <w:tc>
          <w:tcPr>
            <w:tcW w:w="8692" w:type="dxa"/>
            <w:vAlign w:val="center"/>
            <w:textDirection w:val="lrTb"/>
            <w:noWrap w:val="false"/>
          </w:tcPr>
          <w:p>
            <w:pPr>
              <w:numPr>
                <w:ilvl w:val="0"/>
                <w:numId w:val="11"/>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液晶屏显示尺寸≥55寸，分辨率≥3840*2160，显示比例16:9，支持横、竖安装方式，厚度≤50mm。</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2.整机边框采用金属边框，角部采用圆角设计，外边框采用喷涂环保木纹工艺。</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3.屏幕采用了高雾度偏光片，屏体雾度值≥25%，可视角度≥178°，最大亮度≥350nit。</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4.整机安装到墙面后无任何外置、外露、外挂的线材、天线及元器件模块隐藏。</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5.内置2.0声道环绕功放，支持音视频声音外放。</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6.整机接口：USB 2.0≥2，HDMI-IN≥1,RJ45≥1，内置Wi-Fi模块（10M/100M/1000M），内置蓝牙模块。全部端口采用隐藏设计，无可见外露端口。</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7.CPU≥4核，工作频率≥1.9GHz。运行内存≥2G，存储空间≥8G。</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8.兼容主流多媒体格式。视频格式：MPEG1、MPEG2、MPEG4、 H.263、H.264等；音频格式：MP3等；图片格式：JPG、JPEG、BMP、PNG、GIF 等。</w:t>
            </w:r>
            <w:r/>
          </w:p>
          <w:p>
            <w:pPr>
              <w:jc w:val="left"/>
              <w:spacing w:line="360" w:lineRule="exact"/>
              <w:widowControl/>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9.信息发布系统与设备一体化集成，无需外接任何信息发布设备即可完成信息发布。</w:t>
            </w:r>
            <w:r>
              <w:rPr>
                <w:rFonts w:hint="eastAsia" w:ascii="宋体" w:hAnsi="宋体" w:cs="宋体"/>
                <w:b/>
                <w:bCs/>
                <w:color w:val="000000"/>
                <w:sz w:val="24"/>
                <w:szCs w:val="24"/>
                <w:highlight w:val="none"/>
                <w:lang w:bidi="ar"/>
              </w:rPr>
              <w:t xml:space="preserve">（提供CNAS或CMA认证的检验中心所出具的权威检测报告复印件并加盖厂家公章）</w:t>
            </w:r>
            <w:r/>
          </w:p>
          <w:p>
            <w:pPr>
              <w:jc w:val="left"/>
              <w:spacing w:line="360" w:lineRule="exact"/>
              <w:widowControl/>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10.整机带有三个实体按键，可以对播放的节目进行前后翻页和暂停/播放控制。</w:t>
            </w:r>
            <w:r/>
          </w:p>
          <w:p>
            <w:pPr>
              <w:jc w:val="left"/>
              <w:spacing w:line="360" w:lineRule="exact"/>
              <w:widowControl/>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11.支持手机通过蓝牙连接整机，对整机进行遥控控制。</w:t>
            </w:r>
            <w:r/>
          </w:p>
          <w:p>
            <w:pPr>
              <w:rPr>
                <w:rFonts w:hint="eastAsia" w:ascii="宋体" w:hAnsi="宋体" w:cs="宋体"/>
                <w:sz w:val="24"/>
                <w:szCs w:val="24"/>
                <w:highlight w:val="none"/>
              </w:rPr>
            </w:pPr>
            <w:r>
              <w:rPr>
                <w:rFonts w:hint="eastAsia" w:ascii="宋体" w:hAnsi="宋体" w:cs="宋体"/>
                <w:sz w:val="24"/>
                <w:szCs w:val="24"/>
                <w:highlight w:val="none"/>
              </w:rPr>
              <w:t xml:space="preserve">12.独家授权至少50张心理治愈原创插画，版权归用户方所有。</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多元积极训练提升仪</w:t>
            </w:r>
            <w:r/>
          </w:p>
        </w:tc>
        <w:tc>
          <w:tcPr>
            <w:tcW w:w="8692" w:type="dxa"/>
            <w:vAlign w:val="center"/>
            <w:textDirection w:val="lrTb"/>
            <w:noWrap w:val="false"/>
          </w:tcPr>
          <w:p>
            <w:pPr>
              <w:numPr>
                <w:ilvl w:val="0"/>
                <w:numId w:val="12"/>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功能要求</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1.提供改善焦虑、感谢自己、进化身心、躯体放松、拥抱潜意识、自我疗愈等≥</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种放松指导方案。</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训练方案提供完整训练流程，包含自我评估、心理训练、情绪引导、测后评估四大训练模块，按照前测评估→游戏训练→放松指导→后测评估的流程进行训练。训练报告提供用户信息、训练结果说明、训练数据、自我评估对比、辅导建议等≥5项内容。自我评估对比展示训练前、后得分情况（10分制），提供相关建议。</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3.系统内置心理扫描、训练方案、自助调节、自由训练、数据中心、个人中心等多个功能模块。</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4.支持查看历史方案，根据生成时间前后进行编号，提供心理扫描报告、训练报告。</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5.主页显示最新一次的心理扫描结果，包含五大方向文字解释及百分比展示。</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支持首次扫描可点击“开始扫描”完成心理健康检测，之后将显示“重新扫描”，根据每次扫描结果不同，训练方案也不同。心理健康检测提供60道单选测试题目，支持用户根据自己的实际情况选择最符合自己的选项，提供答题时长显示，完成后自动生成详细的心理扫描报告。</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7.支持根据心理扫描结果的12个子维度具体得分情况，自动生成定制化训练方案，如根据得分最低的四个维度生成四套训练方案，提示生成时间及完成进度。</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心理扫描报告提供如情绪反应、人际关系、压力反应等≥5大方向得分情况分布，包含用户得分情况、人群平均数等指标，以及如深呼吸、冥想等辅导建议。提供如抑郁情绪，焦虑情绪，愤怒情绪，团队协作，社交恐惧，人际交往，睡眠质量，精力水平，生理反应，自尊自信，积极乐观，生活质量等5大方向组成维度说明。提供12子维度得分情况说明，包含文字、柱状图等</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9.提供如“人际交往”“如何和领导沟通”“如何消除焦虑”等≥16篇心理阅读文章。提供如“抑郁情绪”“焦虑情绪”“团队协作”等≥12款自助调节主题方案。</w:t>
            </w:r>
            <w:r/>
          </w:p>
          <w:p>
            <w:pPr>
              <w:spacing w:line="360" w:lineRule="exact"/>
              <w:rPr>
                <w:rFonts w:hint="eastAsia" w:ascii="宋体" w:hAnsi="宋体" w:cs="宋体"/>
                <w:b/>
                <w:bCs/>
                <w:sz w:val="24"/>
                <w:szCs w:val="24"/>
                <w:highlight w:val="none"/>
              </w:rPr>
            </w:pPr>
            <w:r>
              <w:rPr>
                <w:rFonts w:hint="eastAsia" w:ascii="宋体" w:hAnsi="宋体" w:cs="宋体"/>
                <w:color w:val="000000"/>
                <w:sz w:val="24"/>
                <w:szCs w:val="24"/>
                <w:highlight w:val="none"/>
                <w:lang w:bidi="ar"/>
              </w:rPr>
              <w:t xml:space="preserve">10.提供如“解压点击”“叠叠高”“击打小球”等≥11款自助调节心理游戏，包含≥4款击打类、≥2款呐喊类，包含≥5款触屏类游戏。</w:t>
            </w:r>
            <w:r>
              <w:rPr>
                <w:rFonts w:hint="eastAsia" w:ascii="宋体" w:hAnsi="宋体" w:cs="宋体"/>
                <w:b/>
                <w:bCs/>
                <w:sz w:val="24"/>
                <w:szCs w:val="24"/>
                <w:highlight w:val="none"/>
              </w:rPr>
              <w:t xml:space="preserve">（提供产品功能页面截图并加盖公章，供货产品功能页面需与截图保持一致）</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11.提供如“白噪音”“减压助眠”“经典音乐”等≥8种音乐放松类型，包含≥100首音乐，支持随机播放、单曲循环、列表循环播放等操作。</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12.提供如“90项症状清单”等≥8个心理评估量表，显示答题进度和答题时长，自动记录测评结果，并生成测评报告，报告包含因子得分说明、辅导建议等。</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13.提供如“朝气蓬勃”“璀璨夜空”“神秘海底”“雨中荷叶”等不少于4大主题的自由训练，提供主题介绍，支持自由选择击打、呐喊模式。</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14.支持进行击打传感器设置，支持调整击打阈值，提供传感器状态图。支持进行呐喊传感器设置，支持调整呐喊阈值，提供传感器状态图。</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15.提供本月/本年训练内容排行榜、近三次心理扫描情况对比等综合报告。</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16.提供心理扫描历史记录，根据心理扫描时间倒序排列，支持查看、删除操作。</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17.提供如账号、密码、姓名、性别、出生日期、组织机构等不少于6项个人中心内容，支持用户自主修改，管理账号可对所有用户账号的个人信息及密码进行修改。</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1.要求包含主系统1套；控制台1套；移动式击打靶1个；无线加速度传感器1套。</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1.要求控制台尺寸：1575mm*990mm(±50mm) ，底座750mm*550mm（±50mm）。</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2.要求控制台屏幕尺寸：≥43寸。</w:t>
            </w:r>
            <w:r/>
          </w:p>
          <w:p>
            <w:pPr>
              <w:numPr>
                <w:ilvl w:val="255"/>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3.要求无线加速传感器尺寸：130mm*65mm*25mm(±5mm</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呐喊互动解压装置 </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一、一体化装置结构</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1.基材与工艺：背板采用1.5mm(±0.5mm</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厚冷轧钢板，表面静电喷塑处理，涂层厚度≥60μm，附着力等级1级，耐刮擦、耐老化，长期使用不褪色；面板采用5mm（±0.5mm）厚亚克力板，高清UV喷绘，色彩还原度≥90%，无异味、不泛黄。</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2.模块化设计：装置采用模块化组装结构，便于后期维护与部件更换；内置隐藏式布线槽，强弱电分离，符合GB 7251电气安全规范。</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3.安全防护：整体边角全圆角处理，无尖锐棱角；所有接线端子均做绝缘防护，避免触电风险。</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二、分贝感应系统（专业级）</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1.硬件配置：采用工业级高保真拾音麦克风，频率响应范围20Hz~20kHz，灵敏度-42dB±2dB，支持30~130dB宽范围检测；内置DSP数字降噪芯片，可过滤背景噪音，仅对人声/呐喊声做出响应，抗干扰能力强。</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2.功能扩展：支持多级分贝阈值设置，可自定义不同分贝值对应的灯光效果；具备数据统计功能，可记录使用次数、峰值分贝值，支持后台导出数据。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3.稳定性：拾音模块具备防啸叫、防过载保护功能，可连续7×24小时稳定运行，无死机、无卡顿。</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三、灯光互动系统</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 灯光配置：采用高亮度SMD LED灯珠，单颗灯珠功率≥0.2W，</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 控制主机：采用工业级控制主机，搭载ARM Cortex-A7处理器，运行内存≥1GB，存储≥8GB；支持脱机运行，无需外接电脑，可通过U盘更新灯光程序与音效（若含音效功能）。</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3.防护性能：灯光模块整体防护等级≥IP65，防潮防尘，适合室内潮湿环境使用；灯珠具备过流、过热保护功能，单颗损坏不影响整体使用。</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4.分贝显示与拓展功能</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四、显示终端：采用≥0.5英寸LED数码显示屏，红色/绿色高亮显示，可视距离≥5米，支持自动亮度调节，适应不同光线环境。</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团体辅导活动包</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一、功能要求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1.要求团体辅导教具箱基于群体动力学、社会学习理论等相关专业理论，通过团体活动的方式开展心理行为训练，帮助个体自我成长、促进团体凝聚力提升。</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2.要求至少包含自我认知、环境适应、沟通交往、竞争合作、创新实践、学习管理、心灵成长、情绪管理、生命认知、生涯规划、意志责任、团队协作等12个经典活动主题，60个游戏项目，满足20个人同时使用。</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3.自我认知主题至少包含价值拍卖、优点大轰炸、画“自画像”、背后留言、目标搜索5个活动项目。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4.环境适应主题至少包含寻人行动、个性名片、寻找归属、有缘相识4个活动项目。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5.沟通交往主题至少包含变形虫、我说你画、盲人旅行、最佳配图、我说你剪5个活动项目。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6.竞争合作主题至少包含有轨电车、同心杆、两人三足、七彩连环炮、摸石过河、“啄木鸟”行动6个活动项目。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7.创新实践主题至少包含遵从指导、心中的塔、传球夺秒、平面魔方、畅想拼图5个活动项目。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8.学习管理主题至少包含集思广益、管理七巧板、广告设计、于无声处、一分钟价值、管理金字塔、汉诺塔7个活动项目。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9.心灵成长主题至少包含收获“糖弹”、感恩父母、命运之牌、规则的意义、看我“走过来”5个活动项目。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10.情绪管理主题至少包含你演我猜、情绪电梯、知心人3个活动项目。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11.生命认知主题至少包含生命鱼骨、平凡的生命赞歌、口绘生命、携手穿越阴霾4个活动项目。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12.生涯规划主题至少包含生涯量量看、家族职业树、职业决策平衡单、生涯彩虹、职业大猜谜5个活动项目。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13.意志责任主题至少包含举手仪式、承担责任、手指的力量、祝福花篮、家乡的认知5个活动项目。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14.团队协作主题至少包含解开手链、蚂蚁翻叶子、能量传输、雷池取水、永字八法、巧接彩珠6个活动项目。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15.要求至少具备2套生涯探索教具卡，至少包含兴趣、能力、价值观3项内容，其中兴趣棋1套、兴趣雷达图1张、兴趣卡不少于60张、能力卡不少于77张、价值观卡不少于44张，且采用油卡纸精致印刷。</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1.要求包含器材箱4个、60个项目的器材、活动手册1本。</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心理剧工具箱</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一、功能要求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1.要求道具基于心理情景剧的实际使用需要进行设计。通过合理使用道具，以戏剧化的形式进行心理健康教育，促进学生对自我心理感受的关注，提高心理健康素养。</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2.要求道具箱须包括生命教育、自我成长、自我认知、职业规划、生涯规划、树立价值观、情绪调节、环境适应、人际关系、恋爱问题、网络成瘾等多个主题，至少20个活动。</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3.要求每个活动须包括相应剧本及道具，要求剧本详细说明每个活动的设计理念、辅导目标、适用人群、主要角色、建议场地、活动所需道具、活动所需音乐、活动所需背景图、剧情简介等内容。</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4.要求生命教育主题至少须具有3个活动项目，要求包含渔翁与富翁的对话、感悟人生、重生等活动项目。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5.要求自我成长至少须具有2个活动项目，要求包含三兄弟的故事、想说爱你不容易等活动项目。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6.要求自我认知至少须具有1个活动项目，要求包含电影院门口的风波等活动项目。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7.要求职业规划至少须具有3个活动项目，要求包含招聘、职来直往、学渣求职记等活动项目。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8.要求生涯规划至少须具有2个活动项目，要求包含大学毕业季、当迷茫泛滥成灾等活动项目。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9.要求树立价值观至少须具有1个活动项目，要求包含休闲好时光等活动项目。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10.要求情绪调节至少须具有1个活动项目，要求包含神奇之门等活动项目。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11.要求环境适应至少须具有1个活动项目，要求包含我的大学等活动项目。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12.要求人际关系至少须具有2个活动项目，要求包含错误、一路阳光，温暖前行等活动项目。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13.要求恋爱问题至少须具有3个活动项目，要求包含当爱已成往事、成长心路、爱情还是友情等活动项目。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14.要求网络成瘾至少须具有1个活动项目，要求包含网络成瘾等活动项目。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15.要求道具须具有活动所需的背景音乐、背景图片等。</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1.要求包含器材箱2个；配套道具1组；活动剧本20本；U盘1个。</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1.要求器材箱尺寸400mm*500mm*600mm（±50mm）。</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心理能量快充站</w:t>
            </w:r>
            <w:r/>
          </w:p>
        </w:tc>
        <w:tc>
          <w:tcPr>
            <w:tcW w:w="8692" w:type="dxa"/>
            <w:vAlign w:val="center"/>
            <w:textDirection w:val="lrTb"/>
            <w:noWrap w:val="false"/>
          </w:tcPr>
          <w:p>
            <w:pPr>
              <w:numPr>
                <w:ilvl w:val="0"/>
                <w:numId w:val="13"/>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功能要求</w:t>
            </w:r>
            <w:r/>
          </w:p>
          <w:p>
            <w:pPr>
              <w:numPr>
                <w:ilvl w:val="0"/>
                <w:numId w:val="14"/>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提供如挑战规则、挑战目的、挑战操作演示等即刻挑战项目内容。</w:t>
            </w:r>
            <w:r/>
          </w:p>
          <w:p>
            <w:pPr>
              <w:numPr>
                <w:ilvl w:val="0"/>
                <w:numId w:val="14"/>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2.提供如“依恋类型与亲密关系”“心理学研究中的伦理规范”等大于等于25种小视听科普视频</w:t>
            </w:r>
            <w:r/>
          </w:p>
          <w:p>
            <w:pPr>
              <w:numPr>
                <w:ilvl w:val="0"/>
                <w:numId w:val="14"/>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支持即刻挑战项目，挑战成功即可获得盲盒。提供两次重新抽选的机会。支持用户挑战成功后选择继续闯关或抽取盲盒，若选择继续闯关，后续挑战失败，盲盒抽取机会清零。</w:t>
            </w:r>
            <w:r/>
          </w:p>
          <w:p>
            <w:pPr>
              <w:numPr>
                <w:ilvl w:val="0"/>
                <w:numId w:val="14"/>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系统内置即刻挑战、同心共绘、心理充能等3大功能模块，用户可通过参与一系列心理挑战，获得抽取盲盒的机会，以趣味互动的方式提升心理素养。</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5.提供如“守护边界”“心灵探析”“不合理信念终结者”等≥15款即刻挑战项目，提供≥3条挑战规则，≥3个挑战难度。</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6.首页支持展示盲盒六款盲盒内容物照片，并特殊标注隐藏款。提供使用说明，以弹幕形式展示盲盒奖励获取名单。</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7.提供心理学那点事功能，包含心理科普、心理学家的故事、生活中的心理学、有趣的心理学实验等不少于4个主题，提供≥96篇文章。</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8.提供答案之书功能，支持根据引导语操作获取“我的答案”卡牌。</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9.提供如“感恩日记”“时间管理矩阵”“个人SWOT分析表”等≥6款心理学小工具，支持用户扫描二维码下载工具内容。</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10.提供小彩蛋盲盒掉落，支持在使用心理充能模块过程中随机触发心理知识挑战，获取抽取盲盒机会。</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11.提供如绿意盎然等同心共绘主题，每个主题提供不少于25个画块，支持用户自由选择画块进行涂色，提供≥200种颜色选择，可调节画笔大小、橡皮大小，支持撤销操作。</w:t>
            </w:r>
            <w:r/>
          </w:p>
          <w:p>
            <w:pPr>
              <w:numPr>
                <w:ilvl w:val="0"/>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12.</w:t>
            </w:r>
            <w:r>
              <w:rPr>
                <w:rFonts w:hint="eastAsia" w:ascii="宋体" w:hAnsi="宋体" w:cs="宋体"/>
                <w:color w:val="000000"/>
                <w:sz w:val="24"/>
                <w:szCs w:val="24"/>
                <w:highlight w:val="none"/>
                <w:lang w:bidi="ar"/>
              </w:rPr>
              <w:t xml:space="preserve">支持查看管理员操作记录、盲盒机异常记录等历史记录，对管理员操作进行留痕。</w:t>
            </w:r>
            <w:r/>
          </w:p>
          <w:p>
            <w:pPr>
              <w:spacing w:line="24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13.</w:t>
            </w:r>
            <w:r>
              <w:rPr>
                <w:rFonts w:hint="eastAsia" w:ascii="宋体" w:hAnsi="宋体" w:cs="宋体"/>
                <w:color w:val="000000"/>
                <w:sz w:val="24"/>
                <w:szCs w:val="24"/>
                <w:highlight w:val="none"/>
                <w:lang w:bidi="ar"/>
              </w:rPr>
              <w:t xml:space="preserve">提供后台管理中心，支持选择如总计盲盒掉落、即刻挑战盲盒掉落、小彩蛋盲盒掉落、即刻挑战参与量等进行本周盲盒机数据统计。支持选择日期，查看本日、本周、本月掉落盲盒的数量。支持修改各通道盲盒数量进行盲盒增补，可显示盲盒总数。提供盲盒掉落记录，包含如时间、项目名称、用户名称、掉落详情、盲盒掉落数量等，支持选择日期查询记录。提供盲盒增补记录，包含如时间、通道、增补前盲盒总数、增补后盲盒数、变化量、操作后盲盒总数等，支持下选择日期查询记录。</w:t>
            </w:r>
            <w:r/>
          </w:p>
          <w:p>
            <w:pPr>
              <w:numPr>
                <w:ilvl w:val="0"/>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14.</w:t>
            </w:r>
            <w:r>
              <w:rPr>
                <w:rFonts w:hint="eastAsia" w:ascii="宋体" w:hAnsi="宋体" w:cs="宋体"/>
                <w:color w:val="000000"/>
                <w:sz w:val="24"/>
                <w:szCs w:val="24"/>
                <w:highlight w:val="none"/>
                <w:lang w:bidi="ar"/>
              </w:rPr>
              <w:t xml:space="preserve">支持对即刻挑战进行配置，包含如次数限制、每日次数上限等。支持对小彩蛋进行配置，包含如开启盲盒获取功能、每天最多获取盲盒数量等。</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15.支持智能检测盲盒掉落情况，可提示系统状态异常，提供如时间、货道、状态码、检查参考项等内容。</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16.支持更改首页盲盒展示照片，提供盲盒缺货提醒功能，支持开启历史记录定期清理功能。</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17.提供待机功能，可设置待机开始时长，开启待机后，支持检测长时间未进行操作的情况，返回待机界面，待机情况展示动态画面。</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1.包含主系统1套；盲盒包装500个；礼品200个；控制台1套。</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1.要求外观尺寸：1700mm*850mm*790mm（±50mm）。</w:t>
            </w:r>
            <w:r/>
          </w:p>
          <w:p>
            <w:pPr>
              <w:numPr>
                <w:ilvl w:val="255"/>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2.要求盲盒尺寸：80mm*80mm*85mm（±5mm）。</w:t>
            </w:r>
            <w:r/>
          </w:p>
          <w:p>
            <w:pPr>
              <w:numPr>
                <w:ilvl w:val="255"/>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3.要求控制台屏幕尺寸：≥27英寸。</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文化书写展示装置</w:t>
            </w:r>
            <w:r/>
          </w:p>
        </w:tc>
        <w:tc>
          <w:tcPr>
            <w:tcW w:w="8692" w:type="dxa"/>
            <w:vAlign w:val="center"/>
            <w:textDirection w:val="lrTb"/>
            <w:noWrap w:val="false"/>
          </w:tcPr>
          <w:p>
            <w:pPr>
              <w:numPr>
                <w:ilvl w:val="0"/>
                <w:numId w:val="15"/>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整机设计：</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1.整机尺寸不低于90英寸，屏幕采用超高清LED液晶显示屏，显示比例16:9，分辨率3840×2160；屏幕表面采用全物理钢化玻璃，支持防眩光功能。</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2.嵌入式系统版本不低于Android 14，内存≥2GB，存储空间≥8GB。</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3.采用红外触控技术，支持Windows系统和Android系统进行40点或以上触控。</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4.整机内置2.2声道扬声器，位于设备上边框，顶置朝前发声，前朝向10W高音扬声器2个，上朝向20W中低音扬声器2个，额定总功率60W。</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5.整机内置非独立外扩展的8阵列麦克风，拾音角度≥180°，可用于对教室环境音频进行采集，拾音距离≥12m。</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6.整机全通道支持纸质护眼模式，可实现画面纹理的实时调整；支持纸质纹理：牛皮纸、素描纸、宣纸、水彩纸、水纹纸；支持透明度调节；支持色温调节。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7.整机支持5个自定义前置按键，可通过自定义设置实现前置面板功能按键一键启用任一全局小工具。</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8.整机支持发出超声波信号，智能手机通过麦克风接收后，设备无需在同一局域网内，可实现配对，一键投屏功能，用户无需再手动输入投屏码或扫码获取投屏码。</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9.整机支持蓝牙Bluetooth 5.4标准；内置双Wi-Fi6无线网卡，Wi-Fi及AP热点支持频段2.4GHz/5GHz。</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10.整机上边框内置非独立式摄像头，视场角≥140度且水平视场角≥135度，可拍摄≥1600万像素的照片，支持输出8192×2048分辨率的照片和视频，支持画面畸变矫正功能。</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11.整机摄像头支持人脸识别、清点人数、随机抽人；识别所有学生，显示标记，随机抽选，同时显示标记不少于60人，支持距离摄像头位置≥10米距离的AI识别人脸。</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12.整机支持提笔书写，在Windows系统下可实现无需点击任意功能入口，当检测到红外笔笔尖接触屏幕时，自动进入书写模式。</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整机触摸支持动态压力感应，支持无任何电子功能的普通书写笔在整机上书写或点压时，整机能感应压力变化，书写或点压过程笔迹呈现不同粗细，支持同一支笔，笔头、笔尾书写不同的颜色，且颜色可自定义。</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14.整机支持上边框内置非独立摄像头模组，同时输出至少 3 路视频流，同时支持课堂远程巡课、课堂教学数据采集、本地画面预览。</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15.整机支持色彩空间可选，包含标准模式和sRGB模式，在sRGB模式下可做到高色准△E≤1.0。</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16.整机触摸支持动态压力感应，普通书写笔在整机上书写或点压时，整机能感应压力变化，书写或点压过程笔迹呈现不同粗细。</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17.整机Windows通道支持文件传输应用，支持通过扫码、wifi直联、超声三种方式与手机进行连接，实现文件传输功能。</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18.设备自带地震预警软件，支持在地震预警页面中获取位置，可以手动进行位置校准；支持在地震预警页面中选择提醒阈值；支持在地震预警界面中开启和关闭地震预警服务。</w:t>
            </w:r>
            <w:r>
              <w:rPr>
                <w:rFonts w:hint="eastAsia" w:ascii="宋体" w:hAnsi="宋体" w:cs="宋体"/>
                <w:b/>
                <w:bCs/>
                <w:color w:val="000000"/>
                <w:sz w:val="24"/>
                <w:szCs w:val="24"/>
                <w:highlight w:val="none"/>
                <w:lang w:bidi="ar"/>
              </w:rPr>
              <w:t xml:space="preserve">（提供CNAS或CMA认证的检测机构出具的检测报告复印件并加盖公章）</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19.整机设备教学桌面的教师登录账号后，可自动获取并在桌面显示最近使用的教学课件，点击课件可直接进入授课模式；并支持查看所有个人教学课件资源。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二、插拔式电脑模块：</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1.PC模块可抽拉式插入整机，可实现无单独接线的插拔。</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2.PC模块和整机的连接采用万兆级接口，传输速率≥10Gbps。</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3.电脑模块CPU要求：主频≥2.0GHz，至少8核心十二线程；配置要求：不低于 DDR4 8GB内存，256GB SSD硬盘；接口要求：≥1路HDMI，≥3路USB。</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正向情绪干预与强化机</w:t>
            </w:r>
            <w:r/>
          </w:p>
        </w:tc>
        <w:tc>
          <w:tcPr>
            <w:tcW w:w="8692" w:type="dxa"/>
            <w:vAlign w:val="center"/>
            <w:textDirection w:val="lrTb"/>
            <w:noWrap w:val="false"/>
          </w:tcPr>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一、功能要求</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1.提供训练用户和管理员两种权限管理功能。支持管理员具有档案管理、用户管理功能，可以查看所有用户的训练档案、管理用户信息，实现集中统一管理。</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2.支持通过脑波诱导技术、双耳拍频技术开展训练。</w:t>
            </w:r>
            <w:r/>
          </w:p>
          <w:p>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3.支持脑波音乐训练结束后生成训练报告，提示如“训练少于4分钟不会出具训练报告”等信息。报告包含如训练模块、训练时长、报告生成时间、训练前后脑波数据变化情况、训练前后心理状态变化情况、训练小贴士等≥6类数据。报告支持导出功能。</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4.提供脑波音乐简介、脑波音乐效能、聆听脑波音乐适合的环境和心理准备、脑波音乐对于情绪智商的影响等≥4类文字内容。提供发带连接情况提示。</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支持通过脑波发带对监测者的EEG参数进行实时监测，监测指标包括专注度、放松度和Delta、Theta、Alpha、Beta、Gamma等8个频段的EEG参数。提供“2分钟”倒计时，生理指标包含如折线图、柱状图、指针图等多种形式。</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6.提供如“减轻抑郁”“释放焦虑”“快速助眠”等≥8种脑波音乐减压方案。方案提供如方案文字简介、训练次数、视频动画、训练时长、主题语音引导等内容。</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7.涵盖肌肉放松训练、冥想放松训练、自我疗愈、呼吸放松训练、净化身心、感谢自己、躯体放松、身体扫描等≥</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种冥想放松训练方向，训练至少包括练习介绍、练习类型、适用人群、练习时长等内容，引导用户正确进行心理调适。</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支持脑波监测结束后生成报告，报告中包括用户基本信息、脑波数据、专注度放松度数据、综合分析、辅导建议等。专注度与放松度采用百分制评估，提供四种计分水平，如低水平、一般水平、较高水平、极高水平等。报告支持导出功能。</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支持自由组合音乐调节内容，提供不少于31首背景音乐、不少于390张背景图片、如“大雨”等不少于24种白噪音选择，支持选择1—60分钟的播放时长，内置如“静海美梦”“川水宁响”“星辰解压”等不少于8类主题音乐调节方案。</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10.内置≥6种动态助眠工具。</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1.包含主系统1套；脑波采集仪1套；训练端1台；脑波灯1个、便携箱1个。</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1.要求训练端尺寸：280mm×175mm×10mm（±5mm）。</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2.要求训练端屏幕尺寸：≥11英寸。</w:t>
            </w:r>
            <w:r/>
          </w:p>
          <w:p>
            <w:pPr>
              <w:jc w:val="left"/>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bidi="ar"/>
              </w:rPr>
              <w:t xml:space="preserve">要求脑波主机尺寸：65mm*35mm*10mm（±5mm）；发带尺寸：700mm*30mm（±5mm）。                                                                                                                        4、脑波灯</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（1）通过全彩色LED灯的色彩变化实时显示情绪变化</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 可通过开关来实时切换选择专注度训练模式和放松度训练模式。</w:t>
            </w:r>
            <w:r/>
          </w:p>
          <w:p>
            <w:pPr>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 脑波灯具有灯光提示或语音功能，提供脑波灯开关机、专注/放松模式切换，脑波灯连接状态、脑波仪佩戴正确检测、电量不足、充电指示等状态指示。</w:t>
            </w:r>
            <w:r/>
          </w:p>
          <w:p>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（4）灯泡采用非易碎材质，尺寸不小于25cm</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26</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情绪信箱</w:t>
            </w:r>
            <w:r/>
          </w:p>
        </w:tc>
        <w:tc>
          <w:tcPr>
            <w:tcW w:w="8692" w:type="dxa"/>
            <w:vAlign w:val="center"/>
            <w:textDirection w:val="lrTb"/>
            <w:noWrap w:val="false"/>
          </w:tcPr>
          <w:p>
            <w:pPr>
              <w:numPr>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整体规格：</w:t>
            </w:r>
            <w:r>
              <w:rPr>
                <w:rFonts w:hint="eastAsia" w:ascii="宋体" w:hAnsi="宋体" w:eastAsia="宋体" w:cs="宋体"/>
                <w:color w:val="000000"/>
                <w:sz w:val="24"/>
                <w:szCs w:val="24"/>
                <w:highlight w:val="none"/>
                <w:lang w:val="en-US" w:eastAsia="zh-CN" w:bidi="ar"/>
              </w:rPr>
              <w:t xml:space="preserve">整体尺寸不小于：长2640mm × 宽700mm × 高1300mm（含操作台）</w:t>
            </w:r>
            <w:r>
              <w:rPr>
                <w:rFonts w:hint="eastAsia" w:ascii="宋体" w:hAnsi="宋体" w:cs="宋体"/>
                <w:color w:val="000000"/>
                <w:sz w:val="24"/>
                <w:szCs w:val="24"/>
                <w:highlight w:val="none"/>
                <w:lang w:bidi="ar"/>
              </w:rPr>
              <w:t xml:space="preserve">；</w:t>
            </w:r>
            <w:r/>
          </w:p>
          <w:p>
            <w:pPr>
              <w:numPr>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操作台台面尺寸不小于：长2640mm × 宽350mm × 高750mm，适配青少年书写使用；</w:t>
            </w:r>
            <w:r/>
          </w:p>
          <w:p>
            <w:pPr>
              <w:numPr>
                <w:numId w:val="0"/>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4格分区设计，分别对应“喜悦、生气、难过、担忧”情绪主题                    </w:t>
            </w:r>
            <w:r/>
          </w:p>
          <w:p>
            <w:pPr>
              <w:numPr>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主体材质： 柜体采用环保级板材（实木颗粒板或多层实木板），板材厚度≥18mm，甲醛释放量≤0.050mg/m³，符合《人造板及其制品中甲醛释放限量》（GB 18580-2017）E1级及以上环保标准；表面采用水性环保漆喷涂，橙、黄、绿、红分区配色，色彩鲜艳均匀，无异味、防刮耐磨、耐污易清洁，长期使用不褪色；板材含水率符合国家相关标准，不易变形开裂                                                 </w:t>
            </w:r>
            <w:r/>
          </w:p>
          <w:p>
            <w:pPr>
              <w:numPr>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信箱单元设计：投递口尺寸不小于：宽200mm × 高20mm，边缘全倒圆角处理，无毛刺、无划伤风险；每格信箱配备独立安全锁具，钥匙可由专人保管，保障学生隐私，锁具防锈耐用，开合寿命≥10000次，无卡顿、故障问题 。</w:t>
            </w:r>
            <w:r/>
          </w:p>
          <w:p>
            <w:pPr>
              <w:numPr>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安全防护设计 ：柜体所有边角、操作台边缘均做R30以上圆角处理，无尖锐棱角，杜绝安全隐患；柜体底部加装防滑减震垫，防止设备滑动、倾倒，提升使用稳定性；表面涂层无有害物质析出，符合校园场景安全使用要求                            </w:t>
            </w:r>
            <w:r/>
          </w:p>
          <w:p>
            <w:pPr>
              <w:numPr>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外观标识 ：每格信箱正面印刷清晰的情绪主题文字（烦恼/喜悦/秘密/期待），字体为圆润卡通风格，与箱体配色协调，印刷牢固，不易脱落、褪色；整体造型活泼温暖，适配学校心理空间治愈系装修风格，与软包坐凳、绿植等配套场景适配性强      </w:t>
            </w:r>
            <w:r/>
          </w:p>
          <w:p>
            <w:pPr>
              <w:numPr>
                <w:numId w:val="0"/>
              </w:num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承重与耐用性：操作台台面承重≥50kg，可稳定放置纸笔、卡片盒等物料，无变形、塌陷问题；柜体结构稳固，无晃动、异响，使用寿命≥5年 </w:t>
            </w:r>
            <w:r/>
          </w:p>
        </w:tc>
      </w:tr>
      <w:tr>
        <w:trPr/>
        <w:tc>
          <w:tcPr>
            <w:tcW w:w="27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27</w:t>
            </w:r>
            <w:r/>
          </w:p>
        </w:tc>
        <w:tc>
          <w:tcPr>
            <w:tcW w:w="68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虚拟现实训练舱</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bookmarkStart w:id="197" w:name="_Hlk200704658"/>
            <w:r>
              <w:rPr>
                <w:rFonts w:hint="eastAsia" w:ascii="宋体" w:hAnsi="宋体" w:cs="宋体"/>
                <w:color w:val="000000"/>
                <w:sz w:val="24"/>
                <w:szCs w:val="24"/>
                <w:highlight w:val="none"/>
                <w:lang w:bidi="ar"/>
              </w:rPr>
              <w:t xml:space="preserve">一、功能要求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1.系统包含应激训练、场景放松、心理训练、训练指导、音乐放松、心理视频、心理评估、HRV参数监测、眼动训练等≥9个功能模块。</w:t>
            </w:r>
            <w:r/>
          </w:p>
          <w:p>
            <w:pPr>
              <w:jc w:val="left"/>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2.支持用户完成HRV参数检测后，生成报告，并根据用户得分情况推荐相应训练项目</w:t>
            </w:r>
            <w:r/>
          </w:p>
          <w:p>
            <w:pPr>
              <w:pStyle w:val="893"/>
              <w:ind w:left="0"/>
              <w:rPr>
                <w:rFonts w:hint="eastAsia" w:ascii="宋体" w:hAnsi="宋体" w:cs="宋体"/>
                <w:color w:val="000000"/>
                <w:sz w:val="24"/>
                <w:szCs w:val="24"/>
                <w:highlight w:val="none"/>
                <w:lang w:bidi="ar"/>
              </w:rPr>
            </w:pPr>
            <w:r>
              <w:rPr>
                <w:rFonts w:ascii="宋体" w:hAnsi="宋体" w:cs="宋体"/>
                <w:color w:val="000000"/>
                <w:sz w:val="24"/>
                <w:szCs w:val="24"/>
                <w:highlight w:val="none"/>
                <w:lang w:bidi="ar"/>
              </w:rPr>
              <w:t xml:space="preserve">3.提供如精力唤醒、记忆重构、压力管理等≥1</w:t>
            </w:r>
            <w:r>
              <w:rPr>
                <w:rFonts w:hint="eastAsia" w:ascii="宋体" w:hAnsi="宋体" w:cs="宋体"/>
                <w:color w:val="000000"/>
                <w:sz w:val="24"/>
                <w:szCs w:val="24"/>
                <w:highlight w:val="none"/>
                <w:lang w:val="en-US" w:eastAsia="zh-CN" w:bidi="ar"/>
              </w:rPr>
              <w:t xml:space="preserve">2</w:t>
            </w:r>
            <w:r>
              <w:rPr>
                <w:rFonts w:ascii="宋体" w:hAnsi="宋体" w:cs="宋体"/>
                <w:color w:val="000000"/>
                <w:sz w:val="24"/>
                <w:szCs w:val="24"/>
                <w:highlight w:val="none"/>
                <w:lang w:bidi="ar"/>
              </w:rPr>
              <w:t xml:space="preserve">款心理训练主题，涵盖如“过山车”“大摆锤”“记忆排雷”等游戏项目。提供如应用简介、操作指导等文字介绍。支持开始运行后，控制台管理端自动弹出虚拟现实头显中的场景。</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4.内置呼吸助手视觉提示窗，动态展示呼、吸效果，支持灵活调整呼吸速度；脉搏波形动态显示窗，实时监测心率、血氧指标，增强用户体验的直观性与互动性。</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通过实时监测心率、血氧等数据，覆盖脉搏波形、HRV频域、协调度、放松度、压力指数等关键指标。协调度、放松度、压力指数采用百分制评估。点击参数或图表可查看其详细介绍信息。支持监测结束后生成报告，报告支持导出。</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提供心率变异程度的曲线图、散点图（代表心率变异性的结果图之一）、HRT直方图（横轴为心率，竖轴为个数）、功率谱图（利用快速傅里叶转换法，将心率变异性波形图转换为功率谱密度图）、心率的平均值、心率的标准差、NN间期平均值、相邻RR间期差值的均方根、相邻RR间期的标准差等≥12项指标数据。提供标准化HF（HF-norm）、交感及副交感张力的平衡（LF/HF）、总功率（TP）、高频功率（HF）、低频功率（LF）等≥7项HRV频域指标数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7.集成不少于14种专业心理评估量表，如自我压力测试、显性焦虑量表等，每个量表提供详细介绍说明，支持选择自动跳转至下一题，测评后即时生成报告，并根据用户心理评估结果，推荐相应训练项目。</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8.支持通过训练舱自带操作手柄与虚拟现实训练场景进行交互操作，支持用户通过佩戴虚拟现实头显查看脉搏、血氧等生理指标。</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9.提供如“深海体验”“美丽沙滩”“静美草原”等不少于10款场景放松项目。支持用户转动虚拟现实头显可看到720度虚拟场景。</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10.提供冥想放松、呼吸放松、感谢自己、拥抱潜意识、森林遨游、自爱提升、身体扫描、躯体放松等≥8种科学训练指导方向，结合动态虚拟场景展现，引导用户正确进行心理调适。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11.支持用户自由选择音乐进行放松，支持使用操作手柄控制如开始/暂停、切换角度、显示/隐藏生理状态等操作。</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12.提供如“认识自我”“接纳自我”“心理学研究什么”等≥49个心理视频，支持通过虚拟头显进行焦点控制，通过操作手柄进行播放/暂停、重置视角等操作。</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13.支持应激训练，提供≥14种动态虚拟场景及音乐，支持通过手柄对当下的恐惧等级进行评分。</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14.集成基于EMDR（眼动脱敏再处理）的8步骤眼动训练方案，提供不少于6条提示，支持在沉浸式虚拟场景中进行训练，支持进行眼动小球摆动速度调节、颜色更换、大小调节等。</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15.训练档案管理：全面记录训练类型、记录日期及训练档案等，支持针对训练类型进行筛选，报告整合HRV记录数据。管理员可便捷查询与管理训练档案，支持报告导出功能。</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16.支持进行动作平台配置，提供动作时间、最大行程等配置调节，用户可根据场地大小、训练强度调节训练舱。</w:t>
            </w:r>
            <w:bookmarkEnd w:id="197"/>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二、产品组成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1.包含主系统1套；VR头显1个；指夹式生物反馈采集仪1个；训练舱1套；控制台1套。</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三、硬件配置要求</w:t>
            </w:r>
            <w:r/>
          </w:p>
          <w:p>
            <w:pPr>
              <w:jc w:val="left"/>
              <w:spacing w:line="360" w:lineRule="exact"/>
              <w:widowControl/>
              <w:rPr>
                <w:rFonts w:hint="eastAsia" w:ascii="宋体" w:hAnsi="宋体" w:cs="宋体"/>
                <w:color w:val="000000"/>
                <w:sz w:val="24"/>
                <w:szCs w:val="24"/>
                <w:highlight w:val="none"/>
                <w:lang w:bidi="ar"/>
              </w:rPr>
            </w:pPr>
            <w:r/>
            <w:bookmarkStart w:id="198" w:name="_Hlk106279447"/>
            <w:r/>
            <w:bookmarkStart w:id="199" w:name="_Hlk106278780"/>
            <w:r/>
            <w:bookmarkStart w:id="200" w:name="OLE_LINK12"/>
            <w:r/>
            <w:bookmarkStart w:id="201" w:name="OLE_LINK13"/>
            <w:r>
              <w:rPr>
                <w:rFonts w:hint="eastAsia" w:ascii="宋体" w:hAnsi="宋体" w:cs="宋体"/>
                <w:color w:val="000000"/>
                <w:sz w:val="24"/>
                <w:szCs w:val="24"/>
                <w:highlight w:val="none"/>
                <w:lang w:bidi="ar"/>
              </w:rPr>
              <w:t xml:space="preserve">1.要求</w:t>
            </w:r>
            <w:bookmarkEnd w:id="198"/>
            <w:r/>
            <w:bookmarkEnd w:id="199"/>
            <w:r>
              <w:rPr>
                <w:rFonts w:hint="eastAsia" w:ascii="宋体" w:hAnsi="宋体" w:cs="宋体"/>
                <w:color w:val="000000"/>
                <w:sz w:val="24"/>
                <w:szCs w:val="24"/>
                <w:highlight w:val="none"/>
                <w:lang w:bidi="ar"/>
              </w:rPr>
              <w:t xml:space="preserve">训练舱尺寸：800mm*900mm*1800mm(±50mm</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w:t>
            </w:r>
            <w:bookmarkEnd w:id="200"/>
            <w:r/>
            <w:r/>
          </w:p>
          <w:p>
            <w:pPr>
              <w:jc w:val="left"/>
              <w:spacing w:line="360" w:lineRule="exact"/>
              <w:widowControl/>
              <w:rPr>
                <w:rFonts w:hint="eastAsia" w:ascii="宋体" w:hAnsi="宋体" w:cs="宋体"/>
                <w:color w:val="000000"/>
                <w:sz w:val="24"/>
                <w:szCs w:val="24"/>
                <w:highlight w:val="none"/>
                <w:lang w:bidi="ar"/>
              </w:rPr>
            </w:pPr>
            <w:r/>
            <w:bookmarkStart w:id="202" w:name="_Hlk200726039"/>
            <w:r>
              <w:rPr>
                <w:rFonts w:hint="eastAsia" w:ascii="宋体" w:hAnsi="宋体" w:cs="宋体"/>
                <w:color w:val="000000"/>
                <w:sz w:val="24"/>
                <w:szCs w:val="24"/>
                <w:highlight w:val="none"/>
                <w:lang w:bidi="ar"/>
              </w:rPr>
              <w:t xml:space="preserve">2.要求屏幕尺寸：23.8英寸。</w:t>
            </w:r>
            <w:bookmarkEnd w:id="202"/>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3.要求头显尺寸：约281mm*192mm*124.5mm(±50mm</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w:t>
            </w:r>
            <w:bookmarkEnd w:id="201"/>
            <w:r/>
            <w:r/>
          </w:p>
        </w:tc>
      </w:tr>
      <w:tr>
        <w:trPr/>
        <w:tc>
          <w:tcPr>
            <w:tcW w:w="275"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28</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深蹲杠铃</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1.管材采用75mm×75mm，壁厚3毫米的方管，整体重量125kg，占地尺寸1000×1300×2500mm，配100kg杠铃。</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29</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专业体操垫</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1.海绵垫主体由重泡海绵组成，弹力均衡，柔软适中。</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2.海绵垫基本尺寸：长x宽x厚=2×1×0.1（米）。</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3.海绵垫表面罩帆布套，套子侧面装有拉链及拉手攀，且四周设有排气孔。</w:t>
            </w:r>
            <w:r/>
          </w:p>
        </w:tc>
      </w:tr>
      <w:tr>
        <w:trPr/>
        <w:tc>
          <w:tcPr>
            <w:tcW w:w="275"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 30</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跨越式跳高垫</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1.跳高海绵垫主体由重磅发泡海绵（20kg/M3）组成，弹力均衡，柔软适中。</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2.海绵垫基本尺寸：长x宽x厚=2000x3000x300（mm）。可折叠。</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3.海绵垫表面罩有PVC防撕裂布套，套子侧面装有拉链及拉手攀，且四周设有排气孔。</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31</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跨栏架</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1.跨栏架由底座方管、立柱内管、立柱外管、底横杆、调高定位销及跨栏板部分等组成。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2.栏板为ABS成型材料，可回收，其规格为：1200×70×20（mm）。</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立柱外管采用Ф29*1.2铝管制成，立柱内管采用Ф25*1.5焊管制成，立柱内管内置调高定位销，立柱外管上配置有与其所需高度相对应的高度定位孔，使得调高灵活，定位准确，锁紧可靠。底横杆采用Ф25*1.5焊管制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4.底座方管采用Ф60*40*1.5焊管制成，内置配重，可调至满足比赛规则的要求。</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5.跨栏架可调高度为762、838、914、991、1067mm。</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32</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卧推杠铃</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1.产品尺寸：1615*1680*1310mm</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2.产品净重：88kg</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3.最大训练载荷：300kg</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4.最大人体质量：200kg</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5.主立管规格：50*120*3mm平椭圆管。</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6.脚垫：PVC一次成型</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7.辅助杠铃片悬挂架：采用塑料挂棒，用于放置更多规格的杠铃片，方便</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使用。</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8.保险装置：设计有多个保险装置，确保安全。9、配100kg杠铃</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33</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镁粉架</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1.煤粉盒尺寸：27CM*24CM*22CM。</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2.总高度：100CM。</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3.液压升降底座。</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34</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栏架推车</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1.跨栏架搬运车外形基本尺寸：长×宽×高=1200×730×1060（㎜）。</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2.跨栏架搬运车主要采用φ25×2圆管在专用弯管机上弯曲成型后拼焊而成。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3.跨栏架立架和侧栏可折叠，以便运输和存放时减少空间。</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4.跨栏架一次可置跨栏不少于10个，且其底架设有尼龙走轮，移动方便。 </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35</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镁粉划线器</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1.品名：带盖大号划线车</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2.颜色：红色</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3.材质：钢铁架、PVC尼龙轮 ，划线宽度8CM</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36</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7人制足球门</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1.球门内净基本尺寸：长×高=5000×2000（㎜）</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2.足球门由立杆、横梁、两侧撑杆、两侧横杆和后侧横杆组成。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3.球门立杆和横梁均采用φ89×2.75优质钢管制成，上设网钩，置网方便，球网系线柱两侧撑杆采用φ32×2的钢管制成，两侧横杆和后侧横杆均采用□80×40×2.5方管制作。</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4.横梁和立杆上没有可能危害运动员安全的连接物件露在外面。球门组装完成后，立杆与地面垂直，横梁与立杆的夹角为90°，连接件周边处理圆滑，无棱角。</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5.球门两侧撑杆采用钢丝绳连接紧固，既可增强球门整体稳定性，又可起到撑网的作用。</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6.为保证球门的整体稳定性，在球门后侧横杆位置配置了球门固定压板，保证球门的位置不因运动员的冲撞而移动位置。</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7.球门整体可装拆，便于运输和安装。</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37</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一体化智慧黑板</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一、整机设计：</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整机采用全金属外壳，三拼接平面一体化设计，外观尺寸：宽≥4200mm，高≥1200mm，厚≤120mm；屏幕边缘采用金属圆角包边防护，整机背板采用金属材质，有效屏蔽内部电路器件辐射；防潮耐盐雾蚀锈，适应多种教学环境。</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2.整机屏幕尺寸不低于86英寸，屏幕采用超高清LED液晶显示屏，显示比例16:9，分辨率3840×2160；屏幕表面采用全物理钢化玻璃，支持防眩光功能，玻璃表面硬度≥9H。</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3.嵌入式系统版本不低于Android 14，主频≥1.8GHz，内存≥</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GB，存储空间≥</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GB，整机嵌入式芯片内置2TOPS AI算力，可用于AI图像、音频处理。</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4.采用红外触控方式，支持在Windows系统中进行40点或以上触控，支持在Android系统中进行40点或以上触控。</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5.侧置输入接口具备2路HDMI、1路RS232、1路USB接口；侧置输出接口具备1路音频输出、1路触控USB输出；前置输入接口具备3路USB接口（包含1路Type-C、2路USB）。</w:t>
            </w:r>
            <w:r/>
          </w:p>
          <w:p>
            <w:pPr>
              <w:jc w:val="left"/>
              <w:spacing w:line="360" w:lineRule="exact"/>
              <w:widowControl/>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6.整机内置2.2声道扬声器，位于设备上边框，顶置朝前发声，前朝向10W高音扬声器2个，上朝向20W中低音扬声器2个，额定总功率60W；采用缝隙发声技术，喇叭采用槽式开口设计，不大于5.8mm，扬声器在100%音量下，可做到1米处声压级≥90dB，10米处声压级≥80dB。</w:t>
            </w:r>
            <w:r>
              <w:rPr>
                <w:rFonts w:hint="eastAsia" w:ascii="宋体" w:hAnsi="宋体" w:cs="宋体"/>
                <w:b/>
                <w:bCs/>
                <w:color w:val="000000"/>
                <w:sz w:val="24"/>
                <w:szCs w:val="24"/>
                <w:highlight w:val="none"/>
                <w:lang w:bidi="ar"/>
              </w:rPr>
              <w:t xml:space="preserve">（提供CNAS或CMA认证的检测机构出具的检测报告复印件并加盖公章）</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7.整机内置非独立外扩展的8阵列麦克风，拾音角度≥180°，可用于对教室环境音频进行采集，拾音距离≥12m。</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整机内置非独立摄像头，采用一体化集成设计，可拍摄≥5000万像素的照片，视场角≥150度且水平视场角≥120度，支持输出4:3、16:9比例的图片和视频；在清晰度为3840*2160（4K）分辨率下，支持30帧的视频输出，支持画面畸变矫正功能 。</w:t>
            </w:r>
            <w:r>
              <w:rPr>
                <w:rFonts w:hint="eastAsia" w:ascii="宋体" w:hAnsi="宋体" w:cs="宋体"/>
                <w:b/>
                <w:bCs/>
                <w:color w:val="000000"/>
                <w:sz w:val="24"/>
                <w:szCs w:val="24"/>
                <w:highlight w:val="none"/>
                <w:lang w:bidi="ar"/>
              </w:rPr>
              <w:t xml:space="preserve">（提供CNAS或CMA认证的检测机构出具的检测报告复印件并加盖公章）</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9.整机全通道支持纸质护眼模式，可实现画面纹理的实时调整；支持纸质纹理：牛皮纸、素描纸、宣纸、水彩纸、水纹纸；支持透明度调节；支持色温调节。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11.整机支持发出频率为18kHz-22kHz超声波信号，智能手机通过麦克风接收后，智能手机与整机无需在同一局域网内，可实现配对，一键投屏功能，用户无需再手动输入投屏码或扫码获取投屏码。</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12.整机支持蓝牙Bluetooth 5.4标准，固件版本号HCI13.0/LMP13.0；Wi-Fi制式支持IEEE 802.11 a/b/g/n/ac/ax；内置双Wi-Fi6无线网卡，Wi-Fi及AP热点支持频段2.4GHz/5GHz。</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13.整机摄像头支持人脸识别、清点人数、随机抽人；识别所有学生，显示标记，随机抽选，同时显示标记不少于60人，支持距离摄像头位置≥10米距离的AI识别人脸。</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14.长时间无人使用屏幕可自动熄屏，有效保护屏幕寿命及节能，用户可通过整机内置触摸中控菜单进行开启和关闭，可自定义无人操作熄屏时间间隔为1小时、2小时。</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p>
          <w:p>
            <w:pPr>
              <w:jc w:val="left"/>
              <w:spacing w:line="360" w:lineRule="exact"/>
              <w:widowControl/>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16.支持智能书写功能，书写文字自动识别为标准印刷体，支持图形识别功能，可将多种手绘图形转化为矩形、三角形、圆形等标准图形。</w:t>
            </w:r>
            <w:r/>
          </w:p>
          <w:p>
            <w:pPr>
              <w:jc w:val="left"/>
              <w:spacing w:line="360" w:lineRule="exact"/>
              <w:widowControl/>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17.整机内置的阵列麦支持在无任何外部设备的情况下，实时录制用户朗读内容，识别用户声纹并进行统一身份登录操作，登录后自动获取个人云端教学课件列表，打开教学白板软件时可跳过软件自带登录步骤。</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18.整机Windows通道支持文件传输应用，支持通过扫码、wifi直联、超声三种方式与手机进行连接，实现文件传输功能；接收的文件支持单份删除；接收的文件支持手动全部清空，为防止误清空，全部清空需要经过二次确认。</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19.整机设备教学桌面的教师登录账号后，可自动获取并在桌面显示最近使用的教学课件，点击课件可直接进入授课模式；并支持查看所有个人教学课件资源。</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二、插拔式电脑模块：</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1.PC模块可抽拉式插入整机，可实现无单独接线的插拔，采用按压式卡扣，无需工具就可快速拆卸电脑模块。</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2.PC模块和整机的连接采用万兆级接口，传输速率≥10Gbps。</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3.电脑模块CPU要求：主频≥2.0GHz，8核心十二线程；配置要求：不低于 DDR4 8GB内存，256GB SSD硬盘；接口要求：≥1路HDMI，≥3路USB。</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38</w:t>
            </w:r>
            <w:r/>
          </w:p>
        </w:tc>
        <w:tc>
          <w:tcPr>
            <w:tcW w:w="682" w:type="dxa"/>
            <w:vAlign w:val="center"/>
            <w:textDirection w:val="lrTb"/>
            <w:noWrap w:val="false"/>
          </w:tcPr>
          <w:p>
            <w:pPr>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钢琴</w:t>
            </w:r>
            <w:r/>
          </w:p>
        </w:tc>
        <w:tc>
          <w:tcPr>
            <w:tcW w:w="8692" w:type="dxa"/>
            <w:vAlign w:val="center"/>
            <w:textDirection w:val="lrTb"/>
            <w:noWrap w:val="false"/>
          </w:tcPr>
          <w:p>
            <w:pPr>
              <w:jc w:val="left"/>
              <w:spacing w:line="360" w:lineRule="exact"/>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eastAsia="zh-CN" w:bidi="ar"/>
              </w:rPr>
              <w:t xml:space="preserve">1.</w:t>
            </w:r>
            <w:r>
              <w:rPr>
                <w:rFonts w:hint="eastAsia" w:ascii="宋体" w:hAnsi="宋体" w:cs="宋体"/>
                <w:color w:val="000000"/>
                <w:sz w:val="24"/>
                <w:szCs w:val="24"/>
                <w:highlight w:val="none"/>
                <w:lang w:bidi="ar"/>
              </w:rPr>
              <w:t xml:space="preserve">教师用钢琴，立式钢琴（88键）长15</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0mm，宽6</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0mm，高12</w:t>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0mm，88键（A2~C</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.具有延音踏板和弱音踏板。</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3.</w:t>
            </w:r>
            <w:r>
              <w:rPr>
                <w:rFonts w:hint="eastAsia" w:ascii="宋体" w:hAnsi="宋体" w:cs="宋体"/>
                <w:color w:val="000000"/>
                <w:sz w:val="24"/>
                <w:szCs w:val="24"/>
                <w:highlight w:val="none"/>
                <w:lang w:bidi="ar"/>
              </w:rPr>
              <w:t xml:space="preserve">音板：采用白松制作的加强型实木复合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以小字一组a音为标准音，频率应在440HZ</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447</w:t>
            </w:r>
            <w:r>
              <w:rPr>
                <w:rFonts w:hint="eastAsia" w:ascii="宋体" w:hAnsi="宋体" w:cs="宋体"/>
                <w:color w:val="000000"/>
                <w:sz w:val="24"/>
                <w:szCs w:val="24"/>
                <w:highlight w:val="none"/>
                <w:lang w:eastAsia="zh-CN" w:bidi="ar"/>
              </w:rPr>
              <w:t xml:space="preserve">Hz</w:t>
            </w:r>
            <w:r>
              <w:rPr>
                <w:rFonts w:hint="eastAsia" w:ascii="宋体" w:hAnsi="宋体" w:cs="宋体"/>
                <w:color w:val="000000"/>
                <w:sz w:val="24"/>
                <w:szCs w:val="24"/>
                <w:highlight w:val="none"/>
                <w:lang w:bidi="ar"/>
              </w:rPr>
              <w:t xml:space="preserve">范围之内。基准音组内四、五度音应谐和，全音域内的同度音和八度音应谐和。音质：全音域均匀、连贯、无杂音；音量：全音域均匀，能表现不同的强弱音，层次清楚。</w:t>
            </w:r>
            <w:r>
              <w:rPr>
                <w:rFonts w:hint="eastAsia" w:ascii="宋体" w:hAnsi="宋体" w:cs="宋体"/>
                <w:color w:val="000000"/>
                <w:sz w:val="24"/>
                <w:szCs w:val="24"/>
                <w:highlight w:val="none"/>
                <w:lang w:val="en-US" w:eastAsia="zh-CN" w:bidi="ar"/>
              </w:rPr>
              <w:t xml:space="preserve">音准稳定性：符合最大允许误差要求。</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演奏性能：白键下沉深度</w:t>
            </w:r>
            <w:r>
              <w:rPr>
                <w:rFonts w:hint="eastAsia" w:ascii="宋体" w:hAnsi="宋体" w:cs="宋体"/>
                <w:color w:val="000000"/>
                <w:sz w:val="24"/>
                <w:szCs w:val="24"/>
                <w:highlight w:val="none"/>
                <w:lang w:val="en-US" w:eastAsia="zh-CN" w:bidi="ar"/>
              </w:rPr>
              <w:t xml:space="preserve">符合</w:t>
            </w:r>
            <w:r>
              <w:rPr>
                <w:rFonts w:hint="eastAsia" w:ascii="宋体" w:hAnsi="宋体" w:cs="宋体"/>
                <w:color w:val="000000"/>
                <w:sz w:val="24"/>
                <w:szCs w:val="24"/>
                <w:highlight w:val="none"/>
                <w:lang w:bidi="ar"/>
              </w:rPr>
              <w:t xml:space="preserve">9.5mm—11.5mm。在同一台琴上，</w:t>
            </w:r>
            <w:r>
              <w:rPr>
                <w:rFonts w:hint="eastAsia" w:ascii="宋体" w:hAnsi="宋体" w:cs="宋体"/>
                <w:color w:val="000000"/>
                <w:sz w:val="24"/>
                <w:szCs w:val="24"/>
                <w:highlight w:val="none"/>
                <w:lang w:val="en-US" w:eastAsia="zh-CN" w:bidi="ar"/>
              </w:rPr>
              <w:t xml:space="preserve">白键下沉</w:t>
            </w:r>
            <w:r>
              <w:rPr>
                <w:rFonts w:hint="eastAsia" w:ascii="宋体" w:hAnsi="宋体" w:cs="宋体"/>
                <w:color w:val="000000"/>
                <w:sz w:val="24"/>
                <w:szCs w:val="24"/>
                <w:highlight w:val="none"/>
                <w:lang w:bidi="ar"/>
              </w:rPr>
              <w:t xml:space="preserve">偏差不大于1.0mm，相邻两键偏差不大于0.5mm。琴键负荷：下降负荷为0.39N—0.74N；回升负荷为0.10N—0.39N。琴键运动灵敏、不相互摩擦。踏板运动平稳、灵活、无杂音，踏下弱音踏板，钢琴弦槌的有效击弦行程应能缩短1/4—1/2。延音踏板的止音、延音性能可靠。</w:t>
            </w:r>
            <w:r>
              <w:rPr>
                <w:rFonts w:hint="eastAsia" w:ascii="宋体" w:hAnsi="宋体" w:cs="宋体"/>
                <w:color w:val="000000"/>
                <w:sz w:val="24"/>
                <w:szCs w:val="24"/>
                <w:highlight w:val="none"/>
                <w:lang w:val="en-US" w:eastAsia="zh-CN" w:bidi="ar"/>
              </w:rPr>
              <w:t xml:space="preserve">弱音踏板与延音踏板之间的负荷差不大于9.8。</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键盘：白键前端长度应为48.0mm——52.0mm。</w:t>
            </w:r>
            <w:r>
              <w:rPr>
                <w:rFonts w:hint="eastAsia" w:ascii="宋体" w:hAnsi="宋体" w:cs="宋体"/>
                <w:color w:val="000000"/>
                <w:sz w:val="24"/>
                <w:szCs w:val="24"/>
                <w:highlight w:val="none"/>
                <w:lang w:val="en-US" w:eastAsia="zh-CN" w:bidi="ar"/>
              </w:rPr>
              <w:t xml:space="preserve">八度音程白键宽度164mm—164.4mm。</w:t>
            </w:r>
            <w:r>
              <w:rPr>
                <w:rFonts w:hint="eastAsia" w:ascii="宋体" w:hAnsi="宋体" w:cs="宋体"/>
                <w:color w:val="000000"/>
                <w:sz w:val="24"/>
                <w:szCs w:val="24"/>
                <w:highlight w:val="none"/>
                <w:lang w:bidi="ar"/>
              </w:rPr>
              <w:t xml:space="preserve">每音组白键宽度应符合QB/T 4131-2010 表 1 中 A 的规定。黑键材质为ABS塑键</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黑键上端面宽度应符合 QB/T 4131-2010 表 1 中 A 的规定。黑键</w:t>
            </w:r>
            <w:r>
              <w:rPr>
                <w:rFonts w:hint="eastAsia" w:ascii="宋体" w:hAnsi="宋体" w:cs="宋体"/>
                <w:color w:val="000000"/>
                <w:sz w:val="24"/>
                <w:szCs w:val="24"/>
                <w:highlight w:val="none"/>
                <w:lang w:val="en-US" w:eastAsia="zh-CN" w:bidi="ar"/>
              </w:rPr>
              <w:t xml:space="preserve">下端面</w:t>
            </w:r>
            <w:r>
              <w:rPr>
                <w:rFonts w:hint="eastAsia" w:ascii="宋体" w:hAnsi="宋体" w:cs="宋体"/>
                <w:color w:val="000000"/>
                <w:sz w:val="24"/>
                <w:szCs w:val="24"/>
                <w:highlight w:val="none"/>
                <w:lang w:bidi="ar"/>
              </w:rPr>
              <w:t xml:space="preserve">宽度为11.0m—12.5mm；黑键长度为94mm—96mm。黑键前端距白键面的高度为11.0mm—13.5mm。琴键间隙符合</w:t>
            </w:r>
            <w:r>
              <w:rPr>
                <w:rFonts w:hint="eastAsia" w:ascii="宋体" w:hAnsi="宋体" w:cs="宋体"/>
                <w:color w:val="000000"/>
                <w:sz w:val="24"/>
                <w:szCs w:val="24"/>
                <w:highlight w:val="none"/>
                <w:lang w:val="en-US" w:eastAsia="zh-CN" w:bidi="ar"/>
              </w:rPr>
              <w:t xml:space="preserve">QB/T 4131-2010 表 1 中的规定</w:t>
            </w:r>
            <w:r>
              <w:rPr>
                <w:rFonts w:hint="eastAsia" w:ascii="宋体" w:hAnsi="宋体" w:cs="宋体"/>
                <w:color w:val="000000"/>
                <w:sz w:val="24"/>
                <w:szCs w:val="24"/>
                <w:highlight w:val="none"/>
                <w:lang w:bidi="ar"/>
              </w:rPr>
              <w:t xml:space="preserve">。琴键面排列平整，各键应倒棱、倒角。中盘底面距底面高度不低于570mm，白键面距底面高度不低于640mm。</w:t>
            </w:r>
            <w:r/>
          </w:p>
          <w:p>
            <w:pPr>
              <w:jc w:val="left"/>
              <w:spacing w:line="360" w:lineRule="exact"/>
              <w:widowControl/>
              <w:rPr>
                <w:rFonts w:hint="eastAsia" w:ascii="宋体" w:hAnsi="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铁板：采用传统砂铸铁板工艺，音色纯正</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结构牢固。</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.琴弦：采用德国 Roslau 的防锈钢线，音色纯净，音准稳定。</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9</w:t>
            </w:r>
            <w:r>
              <w:rPr>
                <w:rFonts w:hint="eastAsia" w:ascii="宋体" w:hAnsi="宋体" w:cs="宋体"/>
                <w:color w:val="000000"/>
                <w:sz w:val="24"/>
                <w:szCs w:val="24"/>
                <w:highlight w:val="none"/>
                <w:lang w:bidi="ar"/>
              </w:rPr>
              <w:t xml:space="preserve">.弦码：采用色木</w:t>
            </w:r>
            <w:r>
              <w:rPr>
                <w:rFonts w:hint="eastAsia" w:ascii="宋体" w:hAnsi="宋体" w:cs="宋体"/>
                <w:color w:val="000000"/>
                <w:sz w:val="24"/>
                <w:szCs w:val="24"/>
                <w:highlight w:val="none"/>
                <w:lang w:val="en-US" w:eastAsia="zh-CN" w:bidi="ar"/>
              </w:rPr>
              <w:t xml:space="preserve">整</w:t>
            </w:r>
            <w:r>
              <w:rPr>
                <w:rFonts w:hint="eastAsia" w:ascii="宋体" w:hAnsi="宋体" w:cs="宋体"/>
                <w:color w:val="000000"/>
                <w:sz w:val="24"/>
                <w:szCs w:val="24"/>
                <w:highlight w:val="none"/>
                <w:lang w:bidi="ar"/>
              </w:rPr>
              <w:t xml:space="preserve">板制作，音频振动响应精确，迅速。</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10</w:t>
            </w:r>
            <w:r>
              <w:rPr>
                <w:rFonts w:hint="eastAsia" w:ascii="宋体" w:hAnsi="宋体" w:cs="宋体"/>
                <w:color w:val="000000"/>
                <w:sz w:val="24"/>
                <w:szCs w:val="24"/>
                <w:highlight w:val="none"/>
                <w:lang w:bidi="ar"/>
              </w:rPr>
              <w:t xml:space="preserve">.弦椎：采用优质国产羊毛毡并应用欧洲传统工艺制作的弦椎，音色圆润通畅。</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11</w:t>
            </w:r>
            <w:r>
              <w:rPr>
                <w:rFonts w:hint="eastAsia" w:ascii="宋体" w:hAnsi="宋体" w:cs="宋体"/>
                <w:color w:val="000000"/>
                <w:sz w:val="24"/>
                <w:szCs w:val="24"/>
                <w:highlight w:val="none"/>
                <w:lang w:bidi="ar"/>
              </w:rPr>
              <w:t xml:space="preserve">.琴键：采用实木复合键盘，采用</w:t>
            </w:r>
            <w:r>
              <w:rPr>
                <w:rFonts w:hint="eastAsia" w:ascii="宋体" w:hAnsi="宋体" w:cs="宋体"/>
                <w:color w:val="000000"/>
                <w:sz w:val="24"/>
                <w:szCs w:val="24"/>
                <w:highlight w:val="none"/>
                <w:lang w:eastAsia="zh-CN" w:bidi="ar"/>
              </w:rPr>
              <w:t xml:space="preserve">哑</w:t>
            </w:r>
            <w:r>
              <w:rPr>
                <w:rFonts w:hint="eastAsia" w:ascii="宋体" w:hAnsi="宋体" w:cs="宋体"/>
                <w:color w:val="000000"/>
                <w:sz w:val="24"/>
                <w:szCs w:val="24"/>
                <w:highlight w:val="none"/>
                <w:lang w:bidi="ar"/>
              </w:rPr>
              <w:t xml:space="preserve">光黑键，色泽和质感如同乌木，键皮采用赛璐珞塑料，键盘表面硬度为 2H 以上。</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12</w:t>
            </w:r>
            <w:r>
              <w:rPr>
                <w:rFonts w:hint="eastAsia" w:ascii="宋体" w:hAnsi="宋体" w:cs="宋体"/>
                <w:color w:val="000000"/>
                <w:sz w:val="24"/>
                <w:szCs w:val="24"/>
                <w:highlight w:val="none"/>
                <w:lang w:bidi="ar"/>
              </w:rPr>
              <w:t xml:space="preserve">.脚轮：采用</w:t>
            </w:r>
            <w:r>
              <w:rPr>
                <w:rFonts w:hint="eastAsia" w:ascii="宋体" w:hAnsi="宋体" w:cs="宋体"/>
                <w:color w:val="000000"/>
                <w:sz w:val="24"/>
                <w:szCs w:val="24"/>
                <w:highlight w:val="none"/>
                <w:lang w:val="en-US" w:eastAsia="zh-CN" w:bidi="ar"/>
              </w:rPr>
              <w:t xml:space="preserve">双</w:t>
            </w:r>
            <w:r>
              <w:rPr>
                <w:rFonts w:hint="eastAsia" w:ascii="宋体" w:hAnsi="宋体" w:cs="宋体"/>
                <w:color w:val="000000"/>
                <w:sz w:val="24"/>
                <w:szCs w:val="24"/>
                <w:highlight w:val="none"/>
                <w:lang w:bidi="ar"/>
              </w:rPr>
              <w:t xml:space="preserve">轮脚轮，具有转</w:t>
            </w:r>
            <w:r>
              <w:rPr>
                <w:rFonts w:hint="eastAsia" w:ascii="宋体" w:hAnsi="宋体" w:cs="宋体"/>
                <w:color w:val="000000"/>
                <w:sz w:val="24"/>
                <w:szCs w:val="24"/>
                <w:highlight w:val="none"/>
                <w:lang w:val="en-US" w:eastAsia="zh-CN" w:bidi="ar"/>
              </w:rPr>
              <w:t xml:space="preserve">动</w:t>
            </w:r>
            <w:r>
              <w:rPr>
                <w:rFonts w:hint="eastAsia" w:ascii="宋体" w:hAnsi="宋体" w:cs="宋体"/>
                <w:color w:val="000000"/>
                <w:sz w:val="24"/>
                <w:szCs w:val="24"/>
                <w:highlight w:val="none"/>
                <w:lang w:bidi="ar"/>
              </w:rPr>
              <w:t xml:space="preserve">灵活，推行顺畅，</w:t>
            </w:r>
            <w:r>
              <w:rPr>
                <w:rFonts w:hint="eastAsia" w:ascii="宋体" w:hAnsi="宋体" w:cs="宋体"/>
                <w:color w:val="000000"/>
                <w:sz w:val="24"/>
                <w:szCs w:val="24"/>
                <w:highlight w:val="none"/>
                <w:lang w:eastAsia="zh-CN" w:bidi="ar"/>
              </w:rPr>
              <w:t xml:space="preserve">噪声</w:t>
            </w:r>
            <w:r>
              <w:rPr>
                <w:rFonts w:hint="eastAsia" w:ascii="宋体" w:hAnsi="宋体" w:cs="宋体"/>
                <w:color w:val="000000"/>
                <w:sz w:val="24"/>
                <w:szCs w:val="24"/>
                <w:highlight w:val="none"/>
                <w:lang w:bidi="ar"/>
              </w:rPr>
              <w:t xml:space="preserve">低的特点。脚踏：金属铸造，踏脚负荷为 3.5kg 左右。</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13</w:t>
            </w:r>
            <w:r>
              <w:rPr>
                <w:rFonts w:hint="eastAsia" w:ascii="宋体" w:hAnsi="宋体" w:cs="宋体"/>
                <w:color w:val="000000"/>
                <w:sz w:val="24"/>
                <w:szCs w:val="24"/>
                <w:highlight w:val="none"/>
                <w:lang w:bidi="ar"/>
              </w:rPr>
              <w:t xml:space="preserve">.外壳涂饰：采用国内名牌的不饱和树脂环保漆，并应用静电喷涂，令漆面光亮平整。</w:t>
            </w:r>
            <w:r/>
          </w:p>
          <w:p>
            <w:pPr>
              <w:jc w:val="left"/>
              <w:spacing w:line="360" w:lineRule="exact"/>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14</w:t>
            </w:r>
            <w:r>
              <w:rPr>
                <w:rFonts w:hint="eastAsia" w:ascii="宋体" w:hAnsi="宋体" w:cs="宋体"/>
                <w:color w:val="000000"/>
                <w:sz w:val="24"/>
                <w:szCs w:val="24"/>
                <w:highlight w:val="none"/>
                <w:lang w:bidi="ar"/>
              </w:rPr>
              <w:t xml:space="preserve">.背柱：采用五背柱设计，保证了弦列振动的边界条件而且相应提高了钢琴总装配精度。</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.气候适应性：钢琴在生产过程中进入干燥气候模拟处理并在出仓后进行二次精细整理，使产品适应北方气候，在寒冷干燥的环境下均处理稳定状态。</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.击弦机：</w:t>
            </w:r>
            <w:r>
              <w:rPr>
                <w:rFonts w:hint="eastAsia" w:ascii="宋体" w:hAnsi="宋体" w:cs="宋体"/>
                <w:color w:val="000000"/>
                <w:sz w:val="24"/>
                <w:szCs w:val="24"/>
                <w:highlight w:val="none"/>
                <w:lang w:val="en-US" w:eastAsia="zh-CN" w:bidi="ar"/>
              </w:rPr>
              <w:t xml:space="preserve">乐曼尔</w:t>
            </w:r>
            <w:r>
              <w:rPr>
                <w:rFonts w:hint="eastAsia" w:ascii="宋体" w:hAnsi="宋体" w:cs="宋体"/>
                <w:color w:val="000000"/>
                <w:sz w:val="24"/>
                <w:szCs w:val="24"/>
                <w:highlight w:val="none"/>
                <w:lang w:bidi="ar"/>
              </w:rPr>
              <w:t xml:space="preserve">采用</w:t>
            </w:r>
            <w:r>
              <w:rPr>
                <w:rFonts w:hint="eastAsia" w:ascii="宋体" w:hAnsi="宋体" w:cs="宋体"/>
                <w:color w:val="000000"/>
                <w:sz w:val="24"/>
                <w:szCs w:val="24"/>
                <w:highlight w:val="none"/>
                <w:lang w:val="en-US" w:eastAsia="zh-CN" w:bidi="ar"/>
              </w:rPr>
              <w:t xml:space="preserve">优质</w:t>
            </w:r>
            <w:r>
              <w:rPr>
                <w:rFonts w:hint="eastAsia" w:ascii="宋体" w:hAnsi="宋体" w:cs="宋体"/>
                <w:color w:val="000000"/>
                <w:sz w:val="24"/>
                <w:szCs w:val="24"/>
                <w:highlight w:val="none"/>
                <w:lang w:bidi="ar"/>
              </w:rPr>
              <w:t xml:space="preserve">材料，弦椎击弦距离不少于 43 mm</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弦椎无晃动，采</w:t>
            </w:r>
            <w:r>
              <w:rPr>
                <w:rFonts w:hint="eastAsia" w:ascii="宋体" w:hAnsi="宋体" w:cs="宋体"/>
                <w:color w:val="000000"/>
                <w:sz w:val="24"/>
                <w:szCs w:val="24"/>
                <w:highlight w:val="none"/>
                <w:lang w:val="en-US" w:eastAsia="zh-CN" w:bidi="ar"/>
              </w:rPr>
              <w:t xml:space="preserve">用</w:t>
            </w:r>
            <w:r>
              <w:rPr>
                <w:rFonts w:hint="eastAsia" w:ascii="宋体" w:hAnsi="宋体" w:cs="宋体"/>
                <w:color w:val="000000"/>
                <w:sz w:val="24"/>
                <w:szCs w:val="24"/>
                <w:highlight w:val="none"/>
                <w:lang w:bidi="ar"/>
              </w:rPr>
              <w:t xml:space="preserve">优质毛毡制造，制音效果好，平音头毡密度为0.16</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0.22mm</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三角毡密度为 0.25mm-0.30mm </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色泽均匀一致，无分层，调整到位后，制音头离弦，贴弦一致，动作整齐有效。</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.干燥处理：木制作经过两年以上自然风干，再根据不同的部件采用不同的烘干方式释放木材的内应力，呢毡经过防潮，防霉，防蛀处理。</w:t>
            </w:r>
            <w:r/>
          </w:p>
          <w:p>
            <w:p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18.</w:t>
            </w:r>
            <w:r>
              <w:rPr>
                <w:rFonts w:hint="eastAsia" w:ascii="宋体" w:hAnsi="宋体" w:cs="宋体"/>
                <w:color w:val="000000"/>
                <w:sz w:val="24"/>
                <w:szCs w:val="24"/>
                <w:highlight w:val="none"/>
                <w:lang w:bidi="ar"/>
              </w:rPr>
              <w:t xml:space="preserve">基本结构、外壳符合GB/T 10159---20</w:t>
            </w:r>
            <w:r>
              <w:rPr>
                <w:rFonts w:hint="eastAsia" w:ascii="宋体" w:hAnsi="宋体" w:cs="宋体"/>
                <w:color w:val="000000"/>
                <w:sz w:val="24"/>
                <w:szCs w:val="24"/>
                <w:highlight w:val="none"/>
                <w:lang w:val="en-US" w:eastAsia="zh-CN" w:bidi="ar"/>
              </w:rPr>
              <w:t xml:space="preserve">15《钢琴》</w:t>
            </w:r>
            <w:r>
              <w:rPr>
                <w:rFonts w:hint="eastAsia" w:ascii="宋体" w:hAnsi="宋体" w:cs="宋体"/>
                <w:color w:val="000000"/>
                <w:sz w:val="24"/>
                <w:szCs w:val="24"/>
                <w:highlight w:val="none"/>
                <w:lang w:bidi="ar"/>
              </w:rPr>
              <w:t xml:space="preserve">的相关要求。</w:t>
            </w:r>
            <w:r/>
          </w:p>
          <w:p>
            <w:pPr>
              <w:jc w:val="left"/>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
              </w:rPr>
              <w:t xml:space="preserve">19.</w:t>
            </w:r>
            <w:r>
              <w:rPr>
                <w:rFonts w:hint="eastAsia" w:ascii="宋体" w:hAnsi="宋体" w:cs="宋体"/>
                <w:color w:val="000000"/>
                <w:sz w:val="24"/>
                <w:szCs w:val="24"/>
                <w:highlight w:val="none"/>
                <w:lang w:bidi="ar"/>
              </w:rPr>
              <w:t xml:space="preserve">每台钢琴应配套钢琴</w:t>
            </w:r>
            <w:r>
              <w:rPr>
                <w:rFonts w:hint="eastAsia" w:ascii="宋体" w:hAnsi="宋体" w:cs="宋体"/>
                <w:color w:val="000000"/>
                <w:sz w:val="24"/>
                <w:szCs w:val="24"/>
                <w:highlight w:val="none"/>
                <w:lang w:eastAsia="zh-CN" w:bidi="ar"/>
              </w:rPr>
              <w:t xml:space="preserve">凳一个</w:t>
            </w:r>
            <w:r>
              <w:rPr>
                <w:rFonts w:hint="eastAsia" w:ascii="宋体" w:hAnsi="宋体" w:cs="宋体"/>
                <w:color w:val="000000"/>
                <w:sz w:val="24"/>
                <w:szCs w:val="24"/>
                <w:highlight w:val="none"/>
                <w:lang w:bidi="ar"/>
              </w:rPr>
              <w:t xml:space="preserve">，设计合理，坚固耐用，与钢琴款型相配</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配琴罩一</w:t>
            </w:r>
            <w:r>
              <w:rPr>
                <w:rFonts w:hint="eastAsia" w:ascii="宋体" w:hAnsi="宋体" w:cs="宋体"/>
                <w:color w:val="000000"/>
                <w:sz w:val="24"/>
                <w:szCs w:val="24"/>
                <w:highlight w:val="none"/>
                <w:lang w:eastAsia="zh-CN" w:bidi="ar"/>
              </w:rPr>
              <w:t xml:space="preserve">只、键盘呢一条、擦琴布一块、琴脚垫四只。</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39</w:t>
            </w:r>
            <w:r/>
          </w:p>
        </w:tc>
        <w:tc>
          <w:tcPr>
            <w:tcW w:w="682"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合并式功放</w:t>
            </w:r>
            <w:r/>
          </w:p>
        </w:tc>
        <w:tc>
          <w:tcPr>
            <w:tcW w:w="8692" w:type="dxa"/>
            <w:vAlign w:val="center"/>
            <w:textDirection w:val="lrTb"/>
            <w:noWrap w:val="false"/>
          </w:tcPr>
          <w:p>
            <w:pPr>
              <w:numPr>
                <w:ilvl w:val="0"/>
                <w:numId w:val="16"/>
              </w:num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具有自动散热系统和多功能保护电路。</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2.音频支持无线连接播放功能，可自动连接和交互控制；</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3.具有≥1路HDMI输入、≥1路光纤、≥1路同轴输入、≥2路RCA音频输入、≥1路RCA音频输出、≥1路麦克风输出接口；</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4.具有≥3路有线话筒输入，可实现话筒音量、高低音、混响、延时调节；</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5.带≥1个U盘播放器，支持播放MP3、WMA、FLAC、APE等多种音频文件；</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6.前面板具备≥1个显示屏，实现当前输入源、音效模式、音量大小等设置状态显示。</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7.设备具有≥1个输入音源切换按钮，≥1个DSP预设切换按钮，≥1个防啸叫等级切换按钮；</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8.配套遥控器，能够实现音乐DSP效果、麦克风DSP效果、混响、回音、延时、重复、啸叫抑制、音量、高中低音调节等切换调节功能。</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9.额定功率（8Ω）：≥350W x 2；频率响应等同或优于20Hz~20kHz；信噪比：≥75dB；谐波失真：≤0.1%</w:t>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10.为响应绿色发展政策，投标的产品制造商须具有符合GB/T23331-2020或ISO50001-2018的证书</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40</w:t>
            </w:r>
            <w:r/>
          </w:p>
        </w:tc>
        <w:tc>
          <w:tcPr>
            <w:tcW w:w="682" w:type="dxa"/>
            <w:vAlign w:val="center"/>
            <w:textDirection w:val="lrTb"/>
            <w:noWrap w:val="false"/>
          </w:tcPr>
          <w:p>
            <w:pP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音响</w:t>
            </w:r>
            <w:r/>
          </w:p>
        </w:tc>
        <w:tc>
          <w:tcPr>
            <w:tcW w:w="8692" w:type="dxa"/>
            <w:vAlign w:val="center"/>
            <w:textDirection w:val="lrTb"/>
            <w:noWrap w:val="false"/>
          </w:tcPr>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1.卡包音箱采用≥1只10寸低音、≥2只3寸高音单元</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2.额定阻抗：≥8Ω</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3.最大声压级：≥115dB</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4.额定功率（AES）：≥320W</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5.采用横向吊挂安装方式，覆盖角度：≥H100°×V 50°</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6.灵敏度：≥93dB</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7.频率响应等同或优于35Hz-18kHz</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8.为保证产品质量，投标产品的制造商须具有符合GB/T 19001-2016或ISO9001-2015标准的证书，证书认证范围需包含“音响”或“音箱”关键词</w:t>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9.为保证产品效果，投标产品的制造商须具有符合GB/T 27922-2011或GB/T 16868-2009标准的售后服务证书，证书等级达到十星级以上</w:t>
            </w:r>
            <w:r/>
          </w:p>
        </w:tc>
      </w:tr>
      <w:tr>
        <w:trPr/>
        <w:tc>
          <w:tcPr>
            <w:tcW w:w="275" w:type="dxa"/>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t xml:space="preserve">41</w:t>
            </w:r>
            <w:r/>
          </w:p>
        </w:tc>
        <w:tc>
          <w:tcPr>
            <w:tcW w:w="682"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麦克风</w:t>
            </w:r>
            <w:r/>
          </w:p>
        </w:tc>
        <w:tc>
          <w:tcPr>
            <w:tcW w:w="8692" w:type="dxa"/>
            <w:vAlign w:val="center"/>
            <w:textDirection w:val="lrTb"/>
            <w:noWrap w:val="false"/>
          </w:tcPr>
          <w:p>
            <w:pPr>
              <w:numPr>
                <w:ilvl w:val="0"/>
                <w:numId w:val="17"/>
              </w:num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采用锁相环PLL频率合成方式，超外差二次变频设计。</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2.具备数字导频、静音电路、红外自动对频技术</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3.全系采用升压设计，话筒电池电量下降时不影响使用；</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4.麦克风检测到离开人手静止后≥3秒自动静音，≥5分钟后进入节能待机状态，≥15分钟后自动关机。</w:t>
            </w:r>
            <w:r>
              <w:rPr>
                <w:rFonts w:hint="eastAsia" w:ascii="宋体" w:hAnsi="宋体" w:cs="宋体"/>
                <w:b/>
                <w:bCs/>
                <w:color w:val="auto"/>
                <w:sz w:val="24"/>
                <w:szCs w:val="24"/>
                <w:highlight w:val="none"/>
                <w:lang w:bidi="ar"/>
              </w:rPr>
              <w:t xml:space="preserve">（提供CNAS或CMA认证的检测机构出具的检测报告复印件并加盖公章）</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5.采用FM调频，≥2×100个信道可调</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6.整套系统频率响应等同或优于40Hz-18kHz，失真度≤0.5%，信噪比≥110dB</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7.发射机功率支持3-30mW，最远使用距离≥100米，采用≥2节AA电池供电</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8.具备≥2个XLR单独音频输出，≥1路TRS混音输出</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9.由1个接收机+2个手持发射机组成</w:t>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10.为保证产品质量，投标产品的制造商须具有符合GB/T 19001-2016或ISO9001-2015标准的证书，证书认证范围需包含“麦克风”或“话筒”关键词</w:t>
            </w:r>
            <w:r/>
          </w:p>
        </w:tc>
      </w:tr>
    </w:tbl>
    <w:p>
      <w:pPr>
        <w:numPr>
          <w:ilvl w:val="0"/>
          <w:numId w:val="0"/>
        </w:numPr>
        <w:spacing w:line="48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szCs w:val="20"/>
          <w:highlight w:val="none"/>
        </w:rPr>
        <w:t xml:space="preserve">★</w:t>
      </w:r>
      <w:r>
        <w:rPr>
          <w:rFonts w:hint="eastAsia" w:ascii="宋体" w:hAnsi="宋体" w:eastAsia="宋体" w:cs="宋体"/>
          <w:b/>
          <w:bCs/>
          <w:color w:val="auto"/>
          <w:sz w:val="24"/>
          <w:szCs w:val="24"/>
          <w:highlight w:val="none"/>
          <w:lang w:val="en-US" w:eastAsia="zh-CN"/>
        </w:rPr>
        <w:t xml:space="preserve">所有技术参数不可负偏离或未响应。</w:t>
      </w:r>
      <w:r/>
    </w:p>
    <w:p>
      <w:pPr>
        <w:pStyle w:val="885"/>
        <w:spacing w:line="360" w:lineRule="auto"/>
        <w:rPr>
          <w:rFonts w:hint="default" w:ascii="宋体" w:hAnsi="宋体" w:eastAsia="宋体" w:cs="宋体"/>
          <w:b/>
          <w:bCs/>
          <w:color w:val="auto"/>
          <w:sz w:val="24"/>
          <w:szCs w:val="24"/>
          <w:highlight w:val="none"/>
          <w:lang w:val="en-US" w:eastAsia="zh-CN" w:bidi="ar-SA"/>
        </w:rPr>
      </w:pPr>
      <w:r>
        <w:rPr>
          <w:rFonts w:hint="eastAsia" w:cs="宋体"/>
          <w:b/>
          <w:bCs/>
          <w:color w:val="auto"/>
          <w:sz w:val="24"/>
          <w:szCs w:val="24"/>
          <w:highlight w:val="none"/>
          <w:lang w:val="en-US" w:eastAsia="zh-CN" w:bidi="ar-SA"/>
        </w:rPr>
        <w:t xml:space="preserve">注：</w:t>
      </w:r>
      <w:r>
        <w:rPr>
          <w:rFonts w:hint="default" w:ascii="宋体" w:hAnsi="宋体" w:eastAsia="宋体" w:cs="宋体"/>
          <w:b/>
          <w:bCs/>
          <w:color w:val="auto"/>
          <w:sz w:val="24"/>
          <w:szCs w:val="24"/>
          <w:highlight w:val="none"/>
          <w:lang w:val="en-US" w:eastAsia="zh-CN" w:bidi="ar-SA"/>
        </w:rPr>
        <w:t xml:space="preserve">投标人所投产品必须满足以上技术参数要求，不得有负偏离，投标人需按照本项目招标文件具体技术参数与功能指标等，在“技术偏离表”中如实详细填列所投产品的参数，并按招标文件要求提供相关证明材料并在偏离表中标明所在页码。</w:t>
      </w:r>
      <w:r/>
    </w:p>
    <w:p>
      <w:pPr>
        <w:pStyle w:val="889"/>
        <w:rPr>
          <w:rFonts w:hint="eastAsia"/>
          <w:highlight w:val="none"/>
          <w:lang w:eastAsia="zh-CN"/>
        </w:rPr>
      </w:pPr>
      <w:r>
        <w:rPr>
          <w:rFonts w:hint="eastAsia"/>
          <w:highlight w:val="none"/>
          <w:lang w:eastAsia="zh-CN"/>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第二部分 有关说明</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Cs/>
          <w:color w:val="000000"/>
          <w:sz w:val="24"/>
          <w:szCs w:val="24"/>
          <w:highlight w:val="none"/>
        </w:rPr>
        <w:t xml:space="preserve">通过中国海关报关验放进入中国境内且产自中国境外的产品不在本项目的报价范围。</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Cs/>
          <w:color w:val="000000"/>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8"/>
        </w:numPr>
        <w:ind w:left="0" w:firstLine="482"/>
        <w:spacing w:line="360" w:lineRule="auto"/>
        <w:tabs>
          <w:tab w:val="left" w:pos="525" w:leader="none"/>
          <w:tab w:val="left" w:pos="630" w:leader="none"/>
          <w:tab w:val="left" w:pos="735" w:leader="none"/>
          <w:tab w:val="clear" w:pos="780" w:leader="none"/>
          <w:tab w:val="left" w:pos="945" w:leader="none"/>
        </w:tabs>
        <w:rPr>
          <w:rFonts w:hint="eastAsia" w:ascii="宋体" w:hAnsi="宋体" w:eastAsiaTheme="minorEastAsia" w:cstheme="minorBidi"/>
          <w:bCs/>
          <w:color w:val="000000"/>
          <w:sz w:val="24"/>
          <w:szCs w:val="24"/>
          <w:highlight w:val="none"/>
        </w:rPr>
      </w:pPr>
      <w:r/>
      <w:bookmarkStart w:id="203" w:name="OLE_LINK5"/>
      <w:r>
        <w:rPr>
          <w:rFonts w:hint="eastAsia" w:ascii="宋体" w:hAnsi="宋体" w:eastAsiaTheme="minorEastAsia" w:cstheme="minorBidi"/>
          <w:b/>
          <w:color w:val="000000"/>
          <w:sz w:val="24"/>
          <w:szCs w:val="24"/>
          <w:highlight w:val="none"/>
        </w:rPr>
        <w:t xml:space="preserve">投标人所投产品必须满足以上技术参数要求，不得有负偏离，投标人需按照本项目招标文件具体技术参数与功能指标等，在“技术偏离表”中如实详细填列所投产品的参数，并按招标文件要求提供相关证明材料并在偏离表中标明所在页码。</w:t>
      </w:r>
      <w:bookmarkEnd w:id="203"/>
      <w:r/>
      <w:r/>
    </w:p>
    <w:p>
      <w:pPr>
        <w:numPr>
          <w:ilvl w:val="1"/>
          <w:numId w:val="18"/>
        </w:numPr>
        <w:ind w:left="0" w:firstLine="482"/>
        <w:spacing w:line="360" w:lineRule="auto"/>
        <w:tabs>
          <w:tab w:val="left" w:pos="525" w:leader="none"/>
          <w:tab w:val="left" w:pos="630" w:leader="none"/>
          <w:tab w:val="left" w:pos="735" w:leader="none"/>
          <w:tab w:val="clear" w:pos="780" w:leader="none"/>
          <w:tab w:val="left" w:pos="945" w:leader="none"/>
        </w:tabs>
        <w:rPr>
          <w:rFonts w:hint="eastAsia" w:ascii="宋体" w:hAnsi="宋体" w:eastAsiaTheme="minorEastAsia" w:cstheme="minorBidi"/>
          <w:b/>
          <w:color w:val="000000"/>
          <w:sz w:val="24"/>
          <w:szCs w:val="24"/>
          <w:highlight w:val="none"/>
        </w:rPr>
      </w:pPr>
      <w:r>
        <w:rPr>
          <w:rFonts w:hint="eastAsia" w:ascii="宋体" w:hAnsi="宋体" w:eastAsiaTheme="minorEastAsia" w:cstheme="minorBidi"/>
          <w:b/>
          <w:color w:val="000000"/>
          <w:sz w:val="24"/>
          <w:szCs w:val="24"/>
          <w:highlight w:val="none"/>
        </w:rPr>
        <w:t xml:space="preserve">投标人在中标后，招标人有权要求中标人提供产品原厂商针对此项目的售后服务承诺函且加盖原厂公章，有权要求中标人对全部功能进行演示，如不能满足，招标人有权终止合同，并依法追究其责任。</w:t>
      </w:r>
      <w:r/>
    </w:p>
    <w:p>
      <w:pPr>
        <w:numPr>
          <w:ilvl w:val="1"/>
          <w:numId w:val="18"/>
        </w:numPr>
        <w:ind w:left="0" w:firstLine="482"/>
        <w:spacing w:line="360" w:lineRule="auto"/>
        <w:tabs>
          <w:tab w:val="left" w:pos="525" w:leader="none"/>
          <w:tab w:val="left" w:pos="630" w:leader="none"/>
          <w:tab w:val="left" w:pos="735" w:leader="none"/>
          <w:tab w:val="clear" w:pos="780" w:leader="none"/>
          <w:tab w:val="left" w:pos="945" w:leader="none"/>
        </w:tabs>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 xml:space="preserve">合同履行期限</w:t>
      </w:r>
      <w:r>
        <w:rPr>
          <w:rFonts w:hint="eastAsia" w:ascii="宋体" w:hAnsi="宋体" w:eastAsiaTheme="minorEastAsia" w:cstheme="minorBidi"/>
          <w:bCs/>
          <w:color w:val="000000"/>
          <w:sz w:val="24"/>
          <w:szCs w:val="24"/>
          <w:highlight w:val="none"/>
        </w:rPr>
        <w:t xml:space="preserve">：合同签订生效之日起30天。</w:t>
      </w:r>
      <w:r/>
    </w:p>
    <w:p>
      <w:pPr>
        <w:numPr>
          <w:ilvl w:val="1"/>
          <w:numId w:val="18"/>
        </w:numPr>
        <w:ind w:left="0" w:firstLine="482"/>
        <w:spacing w:line="360" w:lineRule="auto"/>
        <w:tabs>
          <w:tab w:val="left" w:pos="525" w:leader="none"/>
          <w:tab w:val="left" w:pos="630" w:leader="none"/>
          <w:tab w:val="left" w:pos="735" w:leader="none"/>
          <w:tab w:val="clear" w:pos="780" w:leader="none"/>
          <w:tab w:val="left" w:pos="945" w:leader="none"/>
        </w:tabs>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 xml:space="preserve">项目整体质保期：</w:t>
      </w:r>
      <w:r>
        <w:rPr>
          <w:rFonts w:hint="eastAsia" w:ascii="宋体" w:hAnsi="宋体" w:eastAsiaTheme="minorEastAsia" w:cstheme="minorBidi"/>
          <w:bCs/>
          <w:color w:val="000000"/>
          <w:sz w:val="24"/>
          <w:szCs w:val="24"/>
          <w:highlight w:val="none"/>
        </w:rPr>
        <w:t xml:space="preserve">验收之日起3年。</w:t>
      </w:r>
      <w:r/>
    </w:p>
    <w:p>
      <w:pPr>
        <w:numPr>
          <w:ilvl w:val="1"/>
          <w:numId w:val="18"/>
        </w:numPr>
        <w:ind w:left="0" w:firstLine="482"/>
        <w:spacing w:line="360" w:lineRule="auto"/>
        <w:tabs>
          <w:tab w:val="left" w:pos="525" w:leader="none"/>
          <w:tab w:val="left" w:pos="630" w:leader="none"/>
          <w:tab w:val="left" w:pos="735" w:leader="none"/>
          <w:tab w:val="clear" w:pos="780" w:leader="none"/>
          <w:tab w:val="left" w:pos="945" w:leader="none"/>
        </w:tabs>
        <w:rPr>
          <w:rFonts w:hint="eastAsia" w:ascii="宋体" w:hAnsi="宋体"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 xml:space="preserve">付款方式：</w:t>
      </w:r>
      <w:r>
        <w:rPr>
          <w:rFonts w:hint="eastAsia" w:ascii="宋体" w:hAnsi="宋体" w:eastAsiaTheme="minorEastAsia" w:cstheme="minorBidi"/>
          <w:bCs/>
          <w:color w:val="000000"/>
          <w:sz w:val="24"/>
          <w:szCs w:val="24"/>
          <w:highlight w:val="none"/>
        </w:rPr>
        <w:t xml:space="preserve">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r/>
    </w:p>
    <w:p>
      <w:pPr>
        <w:numPr>
          <w:ilvl w:val="1"/>
          <w:numId w:val="18"/>
        </w:numPr>
        <w:ind w:left="0" w:firstLine="482"/>
        <w:spacing w:line="360" w:lineRule="auto"/>
        <w:tabs>
          <w:tab w:val="left" w:pos="525" w:leader="none"/>
          <w:tab w:val="left" w:pos="630" w:leader="none"/>
          <w:tab w:val="left" w:pos="735" w:leader="none"/>
          <w:tab w:val="clear" w:pos="780" w:leader="none"/>
          <w:tab w:val="left" w:pos="945" w:leader="none"/>
        </w:tabs>
        <w:rPr>
          <w:rFonts w:ascii="宋体" w:hAnsiTheme="minorHAnsi"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 xml:space="preserve">本项目合同履行地点：</w:t>
      </w:r>
      <w:r>
        <w:rPr>
          <w:rFonts w:hint="eastAsia" w:ascii="宋体" w:hAnsi="宋体" w:eastAsiaTheme="minorEastAsia" w:cstheme="minorBidi"/>
          <w:bCs/>
          <w:color w:val="000000"/>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18"/>
        </w:numPr>
        <w:ind w:left="0" w:firstLine="482"/>
        <w:spacing w:line="360" w:lineRule="auto"/>
        <w:tabs>
          <w:tab w:val="left" w:pos="525" w:leader="none"/>
          <w:tab w:val="left" w:pos="630" w:leader="none"/>
          <w:tab w:val="left" w:pos="735" w:leader="none"/>
          <w:tab w:val="clear" w:pos="780" w:leader="none"/>
          <w:tab w:val="left" w:pos="945" w:leader="none"/>
        </w:tabs>
        <w:rPr>
          <w:rFonts w:ascii="宋体" w:hAnsiTheme="minorHAnsi" w:eastAsiaTheme="minorEastAsia" w:cstheme="minorBidi"/>
          <w:bCs/>
          <w:color w:val="000000"/>
          <w:sz w:val="24"/>
          <w:szCs w:val="24"/>
          <w:highlight w:val="none"/>
        </w:rPr>
      </w:pPr>
      <w:r>
        <w:rPr>
          <w:rFonts w:hint="eastAsia" w:ascii="宋体" w:hAnsi="宋体" w:eastAsiaTheme="minorEastAsia" w:cstheme="minorBidi"/>
          <w:b/>
          <w:color w:val="000000"/>
          <w:sz w:val="24"/>
          <w:szCs w:val="24"/>
          <w:highlight w:val="none"/>
        </w:rPr>
        <w:t xml:space="preserve">质量及验收：</w:t>
      </w:r>
      <w:r>
        <w:rPr>
          <w:rFonts w:hint="eastAsia" w:ascii="宋体" w:hAnsi="宋体" w:eastAsiaTheme="minorEastAsia" w:cstheme="minorBidi"/>
          <w:bCs/>
          <w:color w:val="000000"/>
          <w:sz w:val="24"/>
          <w:szCs w:val="24"/>
          <w:highlight w:val="none"/>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Theme="minorHAnsi" w:hAnsiTheme="minorHAnsi" w:eastAsiaTheme="minorEastAsia" w:cstheme="minorBidi"/>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Theme="minorHAnsi" w:eastAsiaTheme="minorEastAsia" w:cstheme="minorBidi"/>
          <w:bCs/>
          <w:color w:val="000000"/>
          <w:sz w:val="24"/>
          <w:szCs w:val="24"/>
          <w:highlight w:val="none"/>
        </w:rPr>
      </w:pPr>
      <w:r>
        <w:rPr>
          <w:rFonts w:hint="eastAsia" w:ascii="宋体" w:hAnsi="宋体" w:eastAsiaTheme="minorEastAsia" w:cstheme="minorBidi"/>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Theme="minorHAnsi" w:eastAsiaTheme="minorEastAsia" w:cstheme="minorBidi"/>
          <w:bCs/>
          <w:color w:val="000000"/>
          <w:sz w:val="24"/>
          <w:szCs w:val="24"/>
          <w:highlight w:val="none"/>
        </w:rPr>
      </w:pPr>
      <w:r>
        <w:rPr>
          <w:rFonts w:hint="eastAsia" w:ascii="宋体" w:hAnsiTheme="minorHAnsi" w:eastAsiaTheme="minorEastAsia" w:cstheme="minorBidi"/>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957"/>
        <w:ind w:firstLine="0"/>
        <w:spacing w:line="360" w:lineRule="auto"/>
        <w:rPr>
          <w:highlight w:val="none"/>
        </w:rPr>
      </w:pPr>
      <w:r>
        <w:rPr>
          <w:rFonts w:hint="eastAsia" w:hAnsi="宋体" w:eastAsiaTheme="minorEastAsia" w:cstheme="minorBidi"/>
          <w:bCs/>
          <w:color w:val="000000"/>
          <w:sz w:val="24"/>
          <w:highlight w:val="none"/>
        </w:rPr>
        <w:t xml:space="preserve">开标后，投标人须自行准备设备（包括但不限于笔记本电脑、无线网络）登录</w:t>
      </w:r>
      <w:r>
        <w:rPr>
          <w:rFonts w:hint="eastAsia" w:hAnsi="宋体" w:eastAsiaTheme="minorEastAsia" w:cstheme="minorBidi"/>
          <w:bCs/>
          <w:color w:val="000000"/>
          <w:sz w:val="24"/>
          <w:szCs w:val="24"/>
          <w:highlight w:val="none"/>
        </w:rPr>
        <w:t xml:space="preserve">“苏采云”系统</w:t>
      </w:r>
      <w:r>
        <w:rPr>
          <w:rFonts w:hint="eastAsia" w:hAnsi="宋体" w:eastAsiaTheme="minorEastAsia" w:cstheme="minorBidi"/>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ascii="宋体"/>
          <w:bCs/>
          <w:color w:val="000000"/>
          <w:sz w:val="24"/>
          <w:szCs w:val="24"/>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ascii="宋体"/>
          <w:bCs/>
          <w:sz w:val="24"/>
          <w:szCs w:val="24"/>
          <w:highlight w:val="none"/>
        </w:rPr>
        <w:br w:type="page" w:clear="all"/>
      </w:r>
      <w:bookmarkStart w:id="204" w:name="_Toc120614281"/>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p>
    <w:p>
      <w:pPr>
        <w:pStyle w:val="1190"/>
        <w:ind w:firstLine="602"/>
        <w:spacing w:before="0" w:after="0" w:line="500" w:lineRule="exact"/>
        <w:rPr>
          <w:rFonts w:cs="Arial"/>
          <w:b/>
          <w:sz w:val="30"/>
          <w:szCs w:val="30"/>
          <w:highlight w:val="none"/>
        </w:rPr>
      </w:pPr>
      <w:r>
        <w:rPr>
          <w:rFonts w:hint="eastAsia" w:cs="Arial"/>
          <w:b/>
          <w:sz w:val="30"/>
          <w:szCs w:val="30"/>
          <w:highlight w:val="none"/>
        </w:rPr>
        <w:t xml:space="preserve">第一部分  评标方法</w:t>
      </w:r>
      <w:r/>
    </w:p>
    <w:p>
      <w:pPr>
        <w:pStyle w:val="1190"/>
        <w:spacing w:before="0" w:after="0" w:line="500" w:lineRule="exact"/>
        <w:rPr>
          <w:rFonts w:cs="Arial"/>
          <w:highlight w:val="none"/>
        </w:rPr>
      </w:pPr>
      <w:r>
        <w:rPr>
          <w:rFonts w:hint="eastAsia" w:cs="Arial"/>
          <w:highlight w:val="none"/>
        </w:rPr>
        <w:t xml:space="preserve">投标人通过初审的，方可进入比较与评价程序。</w:t>
      </w:r>
      <w:r/>
    </w:p>
    <w:p>
      <w:pPr>
        <w:pStyle w:val="1190"/>
        <w:spacing w:before="0" w:after="0" w:line="500" w:lineRule="exact"/>
        <w:rPr>
          <w:rFonts w:cs="Arial"/>
          <w:highlight w:val="none"/>
        </w:rPr>
      </w:pPr>
      <w:r>
        <w:rPr>
          <w:rFonts w:hint="eastAsia" w:cs="Arial"/>
          <w:highlight w:val="none"/>
        </w:rPr>
        <w:t xml:space="preserve">比较与评价采用综合评分法。</w:t>
      </w:r>
      <w:r/>
    </w:p>
    <w:p>
      <w:pPr>
        <w:pStyle w:val="1190"/>
        <w:spacing w:before="0" w:after="0" w:line="500" w:lineRule="exact"/>
        <w:rPr>
          <w:rFonts w:cs="Arial"/>
          <w:highlight w:val="none"/>
        </w:rPr>
        <w:pBdr>
          <w:top w:val="none" w:color="000000" w:sz="0" w:space="0"/>
          <w:left w:val="none" w:color="000000" w:sz="0" w:space="0"/>
          <w:bottom w:val="none" w:color="000000" w:sz="0" w:space="0"/>
          <w:right w:val="none" w:color="000000" w:sz="0" w:space="0"/>
        </w:pBdr>
      </w:pPr>
      <w:r>
        <w:rPr>
          <w:rFonts w:hint="eastAsia" w:cs="Arial"/>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90"/>
        <w:spacing w:before="0" w:after="0" w:line="500" w:lineRule="exact"/>
        <w:rPr>
          <w:rFonts w:cs="Arial"/>
          <w:highlight w:val="none"/>
        </w:rPr>
        <w:pBdr>
          <w:top w:val="none" w:color="000000" w:sz="0" w:space="0"/>
          <w:left w:val="none" w:color="000000" w:sz="0" w:space="0"/>
          <w:bottom w:val="none" w:color="000000" w:sz="0" w:space="0"/>
          <w:right w:val="none" w:color="000000" w:sz="0" w:space="0"/>
        </w:pBdr>
      </w:pPr>
      <w:r>
        <w:rPr>
          <w:rFonts w:hint="eastAsia" w:cs="Arial"/>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b/>
          <w:sz w:val="30"/>
          <w:szCs w:val="30"/>
          <w:highlight w:val="none"/>
        </w:rPr>
      </w:pPr>
      <w:r>
        <w:rPr>
          <w:rFonts w:hint="eastAsia" w:cs="Arial"/>
          <w:b/>
          <w:sz w:val="30"/>
          <w:szCs w:val="30"/>
          <w:highlight w:val="none"/>
        </w:rPr>
        <w:br w:type="page" w:clear="all"/>
      </w:r>
      <w:r/>
    </w:p>
    <w:p>
      <w:pPr>
        <w:pStyle w:val="1190"/>
        <w:ind w:firstLine="602"/>
        <w:spacing w:before="0" w:after="0" w:line="500" w:lineRule="exact"/>
        <w:rPr>
          <w:rFonts w:cs="Arial"/>
          <w:b/>
          <w:sz w:val="30"/>
          <w:szCs w:val="30"/>
          <w:highlight w:val="none"/>
        </w:rPr>
      </w:pPr>
      <w:r>
        <w:rPr>
          <w:rFonts w:hint="eastAsia" w:cs="Arial"/>
          <w:b/>
          <w:sz w:val="30"/>
          <w:szCs w:val="30"/>
          <w:highlight w:val="none"/>
        </w:rPr>
        <w:t xml:space="preserve">第二部分  评标标准</w:t>
      </w:r>
      <w:r/>
    </w:p>
    <w:p>
      <w:pPr>
        <w:pStyle w:val="1190"/>
        <w:ind w:firstLine="562"/>
        <w:spacing w:before="0" w:after="0" w:line="500" w:lineRule="exact"/>
        <w:rPr>
          <w:rFonts w:hint="eastAsia" w:ascii="宋体" w:hAnsi="宋体"/>
          <w:b/>
          <w:bCs/>
          <w:color w:val="000000"/>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1.1对小型和微型企业产品的价格给予10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1.3残疾人福利性单位视同小型</w:t>
      </w:r>
      <w:bookmarkStart w:id="212" w:name="_GoBack"/>
      <w:r>
        <w:rPr>
          <w:rFonts w:hint="eastAsia" w:ascii="宋体" w:hAnsi="宋体"/>
          <w:bCs/>
          <w:sz w:val="24"/>
          <w:szCs w:val="24"/>
          <w:highlight w:val="none"/>
        </w:rPr>
        <w:t xml:space="preserve">、</w:t>
      </w:r>
      <w:bookmarkEnd w:id="212"/>
      <w:r>
        <w:rPr>
          <w:rFonts w:hint="eastAsia" w:ascii="宋体" w:hAnsi="宋体"/>
          <w:bCs/>
          <w:sz w:val="24"/>
          <w:szCs w:val="24"/>
          <w:highlight w:val="none"/>
        </w:rPr>
        <w:t xml:space="preserve">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1.5如允许联合体投标的项目，且存在联合投标的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w:t>
      </w:r>
      <w:r>
        <w:rPr>
          <w:rFonts w:hint="eastAsia" w:ascii="宋体" w:hAnsi="宋体"/>
          <w:bCs/>
          <w:color w:val="000000"/>
          <w:sz w:val="24"/>
          <w:szCs w:val="24"/>
          <w:highlight w:val="none"/>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1000000×[1-（10%+20%）]=700000元</w:t>
      </w:r>
      <w:r/>
    </w:p>
    <w:p>
      <w:pPr>
        <w:ind w:firstLine="480"/>
        <w:jc w:val="left"/>
        <w:spacing w:line="500" w:lineRule="exact"/>
        <w:rPr>
          <w:rFonts w:hint="eastAsia" w:ascii="宋体" w:hAnsi="宋体" w:cs="宋体"/>
          <w:b/>
          <w:sz w:val="24"/>
          <w:szCs w:val="24"/>
          <w:highlight w:val="none"/>
        </w:rPr>
      </w:pPr>
      <w:r>
        <w:rPr>
          <w:rFonts w:hint="eastAsia" w:ascii="宋体" w:hAnsi="宋体"/>
          <w:b/>
          <w:sz w:val="28"/>
          <w:szCs w:val="28"/>
          <w:highlight w:val="none"/>
        </w:rPr>
        <w:t xml:space="preserve">二、评分标准</w:t>
      </w:r>
      <w:r/>
    </w:p>
    <w:p>
      <w:pPr>
        <w:numPr>
          <w:ilvl w:val="4"/>
          <w:numId w:val="0"/>
        </w:numPr>
        <w:ind w:firstLine="482"/>
        <w:jc w:val="left"/>
        <w:spacing w:line="360" w:lineRule="auto"/>
        <w:tabs>
          <w:tab w:val="left" w:pos="525" w:leader="none"/>
          <w:tab w:val="left" w:pos="945" w:leader="none"/>
          <w:tab w:val="left" w:pos="1155" w:leader="none"/>
          <w:tab w:val="left" w:pos="3823"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（1）价格（30分）：</w:t>
      </w:r>
      <w:r/>
    </w:p>
    <w:p>
      <w:pPr>
        <w:ind w:firstLine="480"/>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投标报价得分=（评标基准价／投标报价）×价格权值×100。</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关于价格扣除详见本章第二部分“一、落实政府采购政策的价格调整”。 </w:t>
      </w:r>
      <w:r/>
    </w:p>
    <w:p>
      <w:pPr>
        <w:rPr>
          <w:rFonts w:hint="eastAsia" w:ascii="宋体" w:hAnsi="宋体" w:cs="宋体"/>
          <w:b/>
          <w:bCs/>
          <w:sz w:val="24"/>
          <w:szCs w:val="24"/>
          <w:highlight w:val="none"/>
        </w:rPr>
      </w:pPr>
      <w:r>
        <w:rPr>
          <w:rFonts w:hint="eastAsia" w:ascii="宋体" w:hAnsi="宋体" w:cs="宋体"/>
          <w:b/>
          <w:bCs/>
          <w:sz w:val="24"/>
          <w:szCs w:val="24"/>
          <w:highlight w:val="none"/>
        </w:rPr>
        <w:br w:type="page" w:clear="all"/>
      </w:r>
      <w:r/>
    </w:p>
    <w:p>
      <w:pPr>
        <w:pStyle w:val="906"/>
        <w:ind w:left="0"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（2）投标人综合实力（</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分）： </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①</w:t>
      </w:r>
      <w:r>
        <w:rPr>
          <w:rFonts w:hint="eastAsia" w:ascii="宋体" w:hAnsi="宋体" w:cs="宋体"/>
          <w:bCs/>
          <w:sz w:val="24"/>
          <w:szCs w:val="24"/>
          <w:highlight w:val="none"/>
        </w:rPr>
        <w:t xml:space="preserve">投标人自2023年1月1日起承担过同类业绩</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有一个得1分，本项最高得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分，业绩</w:t>
      </w:r>
      <w:r>
        <w:rPr>
          <w:rFonts w:hint="eastAsia" w:ascii="宋体" w:hAnsi="宋体" w:cs="宋体"/>
          <w:sz w:val="24"/>
          <w:szCs w:val="24"/>
          <w:highlight w:val="none"/>
        </w:rPr>
        <w:t xml:space="preserve">日期以合同签订时间为准。</w:t>
      </w:r>
      <w:r>
        <w:rPr>
          <w:rFonts w:hint="eastAsia" w:ascii="宋体" w:hAnsi="宋体" w:cs="宋体"/>
          <w:b/>
          <w:bCs/>
          <w:sz w:val="24"/>
          <w:szCs w:val="24"/>
          <w:highlight w:val="none"/>
        </w:rPr>
        <w:t xml:space="preserve">（提供合同协议书复印件，不提供或提供不全或不符合要求不得分；业绩时间以合同签订时间为准） </w:t>
      </w:r>
      <w:r/>
    </w:p>
    <w:p>
      <w:pPr>
        <w:ind w:firstLine="480"/>
        <w:spacing w:line="360" w:lineRule="auto"/>
        <w:widowControl/>
        <w:rPr>
          <w:rFonts w:hint="eastAsia" w:ascii="宋体" w:hAnsi="宋体" w:cs="宋体"/>
          <w:b/>
          <w:bCs/>
          <w:sz w:val="24"/>
          <w:szCs w:val="24"/>
          <w:highlight w:val="none"/>
        </w:rPr>
      </w:pPr>
      <w:r>
        <w:rPr>
          <w:rFonts w:hint="eastAsia" w:ascii="宋体" w:hAnsi="宋体" w:cs="宋体"/>
          <w:sz w:val="24"/>
          <w:szCs w:val="24"/>
          <w:highlight w:val="none"/>
        </w:rPr>
        <w:t xml:space="preserve">②投标人或核心产品生产厂家具有有效的质量管理体系认证、环境管理体系认证、职业健康安全管理体系认证</w:t>
      </w:r>
      <w:r>
        <w:rPr>
          <w:rFonts w:hint="eastAsia" w:ascii="宋体" w:hAnsi="宋体" w:cs="宋体"/>
          <w:sz w:val="24"/>
          <w:szCs w:val="24"/>
          <w:highlight w:val="none"/>
          <w:lang w:bidi="ar"/>
        </w:rPr>
        <w:t xml:space="preserve">，</w:t>
      </w:r>
      <w:r>
        <w:rPr>
          <w:rFonts w:hint="eastAsia" w:ascii="宋体" w:hAnsi="宋体" w:cs="宋体"/>
          <w:sz w:val="24"/>
          <w:szCs w:val="24"/>
          <w:highlight w:val="none"/>
        </w:rPr>
        <w:t xml:space="preserve">有一个得1分，本项最高得3分。</w:t>
      </w:r>
      <w:r>
        <w:rPr>
          <w:rFonts w:hint="eastAsia" w:ascii="宋体" w:hAnsi="宋体" w:cs="宋体"/>
          <w:b/>
          <w:bCs/>
          <w:sz w:val="24"/>
          <w:szCs w:val="24"/>
          <w:highlight w:val="none"/>
        </w:rPr>
        <w:t xml:space="preserve">（提供有效证书、</w:t>
      </w:r>
      <w:r>
        <w:rPr>
          <w:rFonts w:hint="eastAsia" w:ascii="宋体" w:hAnsi="宋体" w:cs="宋体"/>
          <w:b/>
          <w:bCs/>
          <w:spacing w:val="-3"/>
          <w:sz w:val="24"/>
          <w:szCs w:val="24"/>
          <w:highlight w:val="none"/>
        </w:rPr>
        <w:t xml:space="preserve">全国认证认可信息公共服务平台</w:t>
      </w:r>
      <w:r>
        <w:rPr>
          <w:rFonts w:hint="eastAsia" w:ascii="宋体" w:hAnsi="宋体" w:cs="宋体"/>
          <w:b/>
          <w:bCs/>
          <w:spacing w:val="-89"/>
          <w:sz w:val="24"/>
          <w:szCs w:val="24"/>
          <w:highlight w:val="none"/>
        </w:rPr>
        <w:t xml:space="preserve"> </w:t>
      </w:r>
      <w:r>
        <w:rPr>
          <w:rFonts w:hint="eastAsia" w:ascii="宋体" w:hAnsi="宋体" w:cs="宋体"/>
          <w:b/>
          <w:bCs/>
          <w:spacing w:val="-3"/>
          <w:sz w:val="24"/>
          <w:szCs w:val="24"/>
          <w:highlight w:val="none"/>
        </w:rPr>
        <w:t xml:space="preserve">查询</w:t>
      </w:r>
      <w:r>
        <w:rPr>
          <w:rFonts w:hint="eastAsia" w:ascii="宋体" w:hAnsi="宋体" w:cs="宋体"/>
          <w:b/>
          <w:bCs/>
          <w:sz w:val="24"/>
          <w:szCs w:val="24"/>
          <w:highlight w:val="none"/>
        </w:rPr>
        <w:t xml:space="preserve">截图，不提供或提供不全不得分） </w:t>
      </w:r>
      <w:r/>
    </w:p>
    <w:p>
      <w:pPr>
        <w:numPr>
          <w:ilvl w:val="0"/>
          <w:numId w:val="0"/>
        </w:numPr>
        <w:ind w:firstLine="482"/>
        <w:jc w:val="both"/>
        <w:keepLines w:val="0"/>
        <w:keepNext w:val="0"/>
        <w:pageBreakBefore w:val="0"/>
        <w:spacing w:line="360" w:lineRule="auto"/>
        <w:widowControl w:val="off"/>
        <w:tabs>
          <w:tab w:val="left" w:pos="945" w:leader="none"/>
        </w:tabs>
        <w:rPr>
          <w:rFonts w:hint="eastAsia" w:ascii="宋体" w:hAnsi="宋体" w:cs="宋体"/>
          <w:b/>
          <w:bCs/>
          <w:sz w:val="24"/>
          <w:szCs w:val="24"/>
          <w:highlight w:val="none"/>
        </w:rPr>
      </w:pPr>
      <w:r/>
      <w:bookmarkStart w:id="205" w:name="OLE_LINK4"/>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产品功能</w:t>
      </w:r>
      <w:bookmarkEnd w:id="205"/>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分）：</w:t>
      </w:r>
      <w:r/>
    </w:p>
    <w:p>
      <w:pPr>
        <w:ind w:firstLine="240"/>
        <w:jc w:val="left"/>
        <w:spacing w:line="360" w:lineRule="auto"/>
        <w:rPr>
          <w:rFonts w:hint="eastAsia"/>
          <w:b/>
          <w:bCs/>
          <w:sz w:val="24"/>
          <w:szCs w:val="24"/>
          <w:highlight w:val="none"/>
        </w:rPr>
      </w:pPr>
      <w:r>
        <w:rPr>
          <w:rFonts w:hint="eastAsia"/>
          <w:b/>
          <w:bCs/>
          <w:sz w:val="24"/>
          <w:szCs w:val="24"/>
          <w:highlight w:val="none"/>
        </w:rPr>
        <w:t xml:space="preserve">得分项目参数必须在《技术偏离表》实报内容中填写并注明为正偏离，未按要求提供证明材料和不按要求填写的，不得分。</w:t>
      </w:r>
      <w:r/>
    </w:p>
    <w:tbl>
      <w:tblPr>
        <w:tblStyle w:val="88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2"/>
        <w:gridCol w:w="3569"/>
        <w:gridCol w:w="5099"/>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基础参数</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评分标准</w:t>
            </w:r>
            <w:r/>
          </w:p>
        </w:tc>
      </w:tr>
      <w:tr>
        <w:trPr>
          <w:trHeight w:val="278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积极情绪记录机：微笑科普：要求提供如“积极心境大揭秘”“微笑只是一种保护色”“情绪驾驭术”等≥10篇图文类文章，提供如“揭开情绪面纱”“当我们谈到焦虑”等≥10篇微笑视听，提供如“超能力面试”“便衣”等≥10个会心一笑音频。</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积极情绪记录机”：微笑科普：要求提供如“积极心境大揭秘”“微笑只是一种保护色”“情绪驾驭术”等不少于16篇图文类文章，提供如“揭开情绪面纱”“当我们谈到焦虑”等不少于16篇微笑视听，提供如“超能力面试”“便衣”等不少于15个会心一笑音频。</w:t>
            </w:r>
            <w:r>
              <w:rPr>
                <w:rFonts w:hint="eastAsia" w:ascii="宋体" w:hAnsi="宋体" w:eastAsia="宋体" w:cs="宋体"/>
                <w:b/>
                <w:bCs/>
                <w:i w:val="0"/>
                <w:iCs w:val="0"/>
                <w:color w:val="000000"/>
                <w:sz w:val="22"/>
                <w:szCs w:val="22"/>
                <w:highlight w:val="none"/>
                <w:u w:val="none"/>
                <w:lang w:val="en-US" w:eastAsia="zh-CN" w:bidi="ar"/>
              </w:rPr>
              <w:t xml:space="preserve">提供产品功能页面截图加盖公章，供货产品功能页面需与截图保持一致，得1分，不提供不得分。</w:t>
            </w:r>
            <w:r/>
          </w:p>
        </w:tc>
      </w:tr>
      <w:tr>
        <w:trPr>
          <w:trHeight w:val="412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心理辅助救援仪：用户注册后首次登录需完善基础信息、危机信息等急救档案，支持根据男女性别选择提供不同人物形象。提供如被欺凌、失业、遭受暴力等≥20项危机事件具体类型选择，并支持单选或多选。</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心理辅助救援仪”：用户注册后首次登录需完善基础信息、危机信息等急救档案，支持根据男女性别选择提供不同人物形象。提供如被欺凌、失业、遭受暴力等≥22项危机事件具体类型选择，并支持单选或多选。</w:t>
            </w:r>
            <w:r>
              <w:rPr>
                <w:rFonts w:hint="eastAsia" w:ascii="宋体" w:hAnsi="宋体" w:eastAsia="宋体" w:cs="宋体"/>
                <w:b/>
                <w:bCs/>
                <w:i w:val="0"/>
                <w:iCs w:val="0"/>
                <w:color w:val="000000"/>
                <w:sz w:val="22"/>
                <w:szCs w:val="22"/>
                <w:highlight w:val="none"/>
                <w:u w:val="none"/>
                <w:lang w:val="en-US" w:eastAsia="zh-CN" w:bidi="ar"/>
              </w:rPr>
              <w:t xml:space="preserve">提供产品功能页面截图并加盖公章，供货产品功能页面需与截图保持一致，得1分，不提供不得分。</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I绘画投射分析装置：系统提供详细的成长任务报告分析，包含个人基础信息、绘画时长、报告生成时间、心理能量等级说明、作品展示、颜色分析等。心理能量值划分3个等级（低、中、高），以不同颜色进行呈现，并指示出用户所处能量位置。完成6个阶段成长任务后，系统呈现成长回顾功能。可依次查看6个阶段绘制的作品，AI综合6个阶段任务完成情况，生成综合报告。</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AI绘画投射分析装置”：系统提供详细的成长任务报告分析，包含个人基础信息、绘画时长、报告生成时间、心理能量等级说明、作品展示、颜色分析等。心理能量值划分5个等级（极低、较低、中等、较高、极高），以不同颜色进行呈现，并指示出用户所处能量位置。完成6个阶段成长任务后，系统呈现成长回顾功能。可依次查看6个阶段绘制的作品，AI综合6个阶段任务完成情况，生成综合报告。</w:t>
            </w:r>
            <w:r>
              <w:rPr>
                <w:rFonts w:hint="eastAsia" w:ascii="宋体" w:hAnsi="宋体" w:eastAsia="宋体" w:cs="宋体"/>
                <w:b/>
                <w:bCs/>
                <w:i w:val="0"/>
                <w:iCs w:val="0"/>
                <w:color w:val="000000"/>
                <w:sz w:val="22"/>
                <w:szCs w:val="22"/>
                <w:highlight w:val="none"/>
                <w:u w:val="none"/>
                <w:lang w:val="en-US" w:eastAsia="zh-CN" w:bidi="ar"/>
              </w:rPr>
              <w:t xml:space="preserve">提供产品功能页面截图并加盖公章，供货产品功能页面需与截图保持一致，得1分，不提供不得分。</w: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智能情绪识别训练仪：支持用户通过如登录岛屿、快速情绪识别等不少于5项的任务操作，领取一定贝壳及成长值。使用贝壳值解锁一定内容，如积极训练中心的部分心理课程或心灵之舞的部分音乐。</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所投“智能情绪识别训练仪”：支持用户通过如登录岛屿、快速情绪识别等不少于6项的任务操作，领取一定贝壳及成长值。使用贝壳值解锁一定内容，如积极训练中心的部分心理课程或心灵之舞的部分音乐。</w:t>
            </w:r>
            <w:r>
              <w:rPr>
                <w:rFonts w:hint="eastAsia" w:ascii="宋体" w:hAnsi="宋体" w:eastAsia="宋体" w:cs="宋体"/>
                <w:b/>
                <w:bCs/>
                <w:i w:val="0"/>
                <w:iCs w:val="0"/>
                <w:color w:val="000000"/>
                <w:sz w:val="22"/>
                <w:szCs w:val="22"/>
                <w:highlight w:val="none"/>
                <w:u w:val="none"/>
                <w:lang w:val="en-US" w:eastAsia="zh-CN" w:bidi="ar"/>
              </w:rPr>
              <w:t xml:space="preserve">提供产品功能页面截图并加盖公章，供货产品功能页面需与截图保持一致，得1分，不提供不得分。</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身心反馈训练调节装置：涵盖肌肉放松训练、冥想放松训练、呼吸放松训练、拥抱潜意识、净化身心、感谢自己、摆脱不安、悲伤辅导、超越思维、改善沟通、改善焦虑、积极心态等≥12种科学训练指导方向，引导用户正确进行心理调适。</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智能身心反馈训练调节装置”：涵盖肌肉放松训练、冥想放松训练、自我疗愈、呼吸放松训练、拥抱潜意识、森林冥想、净化身心、感谢自己、摆脱不安、悲伤辅导、超越思维、非评判练习、改善沟通、改善焦虑、积极心态等≥15种科学训练指导方向，引导用户正确进行心理调适。</w:t>
            </w:r>
            <w:r>
              <w:rPr>
                <w:rFonts w:hint="eastAsia" w:ascii="宋体" w:hAnsi="宋体" w:eastAsia="宋体" w:cs="宋体"/>
                <w:b/>
                <w:bCs/>
                <w:i w:val="0"/>
                <w:iCs w:val="0"/>
                <w:color w:val="000000"/>
                <w:sz w:val="22"/>
                <w:szCs w:val="22"/>
                <w:highlight w:val="none"/>
                <w:u w:val="none"/>
                <w:lang w:val="en-US" w:eastAsia="zh-CN" w:bidi="ar"/>
              </w:rPr>
              <w:t xml:space="preserve">提供产品功能页面截图并加盖公章，供货产品功能页面需与截图保持一致，得1分，不提供不得分。</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多元积极训练提升仪：提供改善焦虑、感谢自己、进化身心、躯体放松、拥抱潜意识、自我疗愈等≥6种放松指导方案。</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所投“多元积极训练提升仪”：提供改善焦虑、感谢自己、进化身心、躯体放松、森林遨游、身体扫描、拥抱潜意识、自我疗愈等≥8种放松指导方案。</w:t>
            </w:r>
            <w:r>
              <w:rPr>
                <w:rFonts w:hint="eastAsia" w:ascii="宋体" w:hAnsi="宋体" w:eastAsia="宋体" w:cs="宋体"/>
                <w:b/>
                <w:bCs/>
                <w:i w:val="0"/>
                <w:iCs w:val="0"/>
                <w:color w:val="000000"/>
                <w:sz w:val="22"/>
                <w:szCs w:val="22"/>
                <w:highlight w:val="none"/>
                <w:u w:val="none"/>
                <w:lang w:val="en-US" w:eastAsia="zh-CN" w:bidi="ar"/>
              </w:rPr>
              <w:t xml:space="preserve">提供产品功能页面截图并加盖公章，供货产品功能页面需与截图保持一致，得1分，不提供不得分。</w:t>
            </w:r>
            <w:r/>
          </w:p>
        </w:tc>
      </w:tr>
      <w:tr>
        <w:trPr>
          <w:trHeight w:val="316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正向情绪干预与强化机：涵盖肌肉放松训练、冥想放松训练、自我疗愈、呼吸放松训练、净化身心、感谢自己、躯体放松、身体扫描等≥8种冥想放松训练方向，训练至少包括练习介绍、练习类型、适用人群、练习时长等内容，引导用户正确进行心理调适。</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正向情绪干预与强化机”：涵盖肌肉放松训练、冥想放松训练、自我疗愈、呼吸放松训练、拥抱潜意识、森林遨游、净化身心、感谢自己、躯体放松、身体扫描等≥10种冥想放松训练方向，训练至少包括练习介绍、练习类型、适用人群、练习时长等内容，引导用户正确进行心理调适。</w:t>
            </w:r>
            <w:r>
              <w:rPr>
                <w:rFonts w:hint="eastAsia" w:ascii="宋体" w:hAnsi="宋体" w:eastAsia="宋体" w:cs="宋体"/>
                <w:b/>
                <w:bCs/>
                <w:i w:val="0"/>
                <w:iCs w:val="0"/>
                <w:color w:val="000000"/>
                <w:sz w:val="22"/>
                <w:szCs w:val="22"/>
                <w:highlight w:val="none"/>
                <w:u w:val="none"/>
                <w:lang w:val="en-US" w:eastAsia="zh-CN" w:bidi="ar"/>
              </w:rPr>
              <w:t xml:space="preserve">提供产品功能页面截图并加盖公章，供货产品功能页面需与截图保持一致，得1分，不提供不得分。</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虚拟现实训练舱：提供如精力唤醒、记忆重构、压力管理等≥12款心理训练主题，涵盖如“过山车”“大摆锤”“记忆排雷”等游戏项目。提供如应用简介、操作指导等文字介绍。支持开始运行后，控制台管理端自动弹出虚拟现实头显中的场景。</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虚拟现实训练舱”：提供如精力唤醒、记忆重构、压力管理等≥17款心理训练主题，涵盖如“过山车”“大摆锤”“记忆排雷”等游戏项目。提供如应用简介、操作指导等文字介绍。支持开始运行后，控制台管理端自动弹出虚拟现实头显中的场景。</w:t>
            </w:r>
            <w:r>
              <w:rPr>
                <w:rFonts w:hint="eastAsia" w:ascii="宋体" w:hAnsi="宋体" w:eastAsia="宋体" w:cs="宋体"/>
                <w:b/>
                <w:bCs/>
                <w:i w:val="0"/>
                <w:iCs w:val="0"/>
                <w:color w:val="000000"/>
                <w:sz w:val="22"/>
                <w:szCs w:val="22"/>
                <w:highlight w:val="none"/>
                <w:u w:val="none"/>
                <w:lang w:val="en-US" w:eastAsia="zh-CN" w:bidi="ar"/>
              </w:rPr>
              <w:t xml:space="preserve">提供产品功能页面截图并加盖公章，供货产品功能页面需与截图保持一致，得1分，不提供不得分。</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一体化智慧黑板：嵌入式系统版本不低于Android 14，主频≥1.8GHz，内存≥1GB，存储空间≥6GB，整机嵌入式芯片内置2TOPS AI算力，可用于AI图像、音频处理。</w:t>
            </w:r>
            <w:r/>
          </w:p>
        </w:tc>
        <w:tc>
          <w:tcPr>
            <w:shd w:val="clear" w:color="auto" w:fill="auto"/>
            <w:tcBorders>
              <w:top w:val="single" w:color="000000" w:sz="4" w:space="0"/>
              <w:left w:val="single" w:color="000000" w:sz="4" w:space="0"/>
              <w:bottom w:val="single" w:color="000000" w:sz="4" w:space="0"/>
              <w:right w:val="single" w:color="000000" w:sz="4" w:space="0"/>
            </w:tcBorders>
            <w:tcW w:w="25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所投“一体化智慧黑板”：嵌入式系统版本不低于Android 14，主频≥1.8GHz，内存≥2GB，存储空间≥8GB，整机嵌入式芯片内置2TOPS AI算力，可用于AI图像、音频处理。</w:t>
            </w:r>
            <w:r>
              <w:rPr>
                <w:rFonts w:hint="eastAsia" w:ascii="宋体" w:hAnsi="宋体" w:eastAsia="宋体" w:cs="宋体"/>
                <w:b/>
                <w:bCs/>
                <w:i w:val="0"/>
                <w:iCs w:val="0"/>
                <w:color w:val="000000"/>
                <w:sz w:val="22"/>
                <w:szCs w:val="22"/>
                <w:highlight w:val="none"/>
                <w:u w:val="none"/>
                <w:lang w:val="en-US" w:eastAsia="zh-CN" w:bidi="ar"/>
              </w:rPr>
              <w:t xml:space="preserve">提供CNAS或CMA认证的检测机构出具的检测报告复印件并加盖公章，得1分，不提供不得分。</w:t>
            </w:r>
            <w:r/>
          </w:p>
        </w:tc>
      </w:tr>
    </w:tbl>
    <w:p>
      <w:pPr>
        <w:pStyle w:val="885"/>
        <w:rPr>
          <w:highlight w:val="none"/>
        </w:rPr>
      </w:pPr>
      <w:r>
        <w:rPr>
          <w:highlight w:val="none"/>
        </w:rPr>
      </w:r>
      <w:r/>
    </w:p>
    <w:p>
      <w:pPr>
        <w:pStyle w:val="877"/>
        <w:ind w:firstLine="482"/>
        <w:keepLines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（4）演示（10分）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供应商需提供演示视频上传至投标系统中。视频文件的格式为*.mp4或*.avi，投标人须将视频文件压缩为*.zip文件上传（单个文件不得大于50M，所有文件总共不得大于300M）。视频时长总计不超过15分钟，根据投标人视频演示情况和以下得分点进行打分，满足1项得1分，最高得10分，未按要求进行演示或未提供演示视频的不得分。中标后需到采购方本项目指定场地演示复核。</w:t>
      </w:r>
      <w:r>
        <w:rPr>
          <w:rFonts w:hint="eastAsia" w:ascii="宋体" w:hAnsi="宋体"/>
          <w:color w:val="000000" w:themeColor="text1"/>
          <w:sz w:val="24"/>
          <w:highlight w:val="none"/>
          <w14:textFill>
            <w14:solidFill>
              <w14:schemeClr w14:val="tx1"/>
            </w14:solidFill>
          </w14:textFill>
        </w:rPr>
        <w:t xml:space="preserve">投标人每组视频录制时必须采用一镜到底的方式，不允许剪辑，否则不得分。</w:t>
      </w:r>
      <w:r/>
    </w:p>
    <w:p>
      <w:pPr>
        <w:ind w:firstLine="241"/>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1.心理辅助救援仪：</w:t>
      </w:r>
      <w:r/>
    </w:p>
    <w:p>
      <w:pPr>
        <w:ind w:firstLine="2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lang w:bidi="ar"/>
        </w:rPr>
        <w:t xml:space="preserve">提供在危机事件发生日期为30天/1个月内的紧急调节、测评后调节方案。支持用户在情况特别紧急希望快速得到帮助时，进行紧急调节，提供</w:t>
      </w:r>
      <w:r>
        <w:rPr>
          <w:rFonts w:hint="eastAsia" w:ascii="宋体" w:hAnsi="宋体" w:eastAsia="宋体" w:cs="宋体"/>
          <w:color w:val="000000"/>
          <w:sz w:val="24"/>
          <w:szCs w:val="24"/>
          <w:highlight w:val="none"/>
          <w:lang w:val="en-US" w:eastAsia="zh-CN" w:bidi="ar"/>
        </w:rPr>
        <w:t xml:space="preserve">≥3类</w:t>
      </w:r>
      <w:r>
        <w:rPr>
          <w:rFonts w:hint="eastAsia" w:ascii="宋体" w:hAnsi="宋体" w:eastAsia="宋体" w:cs="宋体"/>
          <w:color w:val="000000"/>
          <w:sz w:val="24"/>
          <w:szCs w:val="24"/>
          <w:highlight w:val="none"/>
          <w:lang w:bidi="ar"/>
        </w:rPr>
        <w:t xml:space="preserve">主题调节，支持通过音视频形式进行分段式训练，训练结束后生成报告。</w:t>
      </w:r>
      <w:r/>
    </w:p>
    <w:p>
      <w:pPr>
        <w:ind w:firstLine="2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lang w:bidi="ar"/>
        </w:rPr>
        <w:t xml:space="preserve">支持用户在感觉能够承受的情况下，选择测评后调节。支持通过≥5项应激情绪进行快速评估，或通过完成如事件冲击量表修订版进行系统评估。支持进行测评后再匹配合适的调节方案，训练结束后生成报告</w:t>
      </w:r>
      <w:r>
        <w:rPr>
          <w:rFonts w:hint="eastAsia" w:ascii="宋体" w:hAnsi="宋体" w:eastAsia="宋体" w:cs="宋体"/>
          <w:sz w:val="24"/>
          <w:szCs w:val="24"/>
          <w:highlight w:val="none"/>
        </w:rPr>
        <w:t xml:space="preserve">。</w:t>
      </w:r>
      <w:r/>
    </w:p>
    <w:p>
      <w:pPr>
        <w:ind w:firstLine="241"/>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color w:val="000000"/>
          <w:sz w:val="24"/>
          <w:szCs w:val="24"/>
          <w:highlight w:val="none"/>
          <w:lang w:bidi="ar"/>
        </w:rPr>
        <w:t xml:space="preserve">提供危机事件发生3个月以上的方案。通过创伤后应激障碍自评量表进行测评后，再匹配合适的调节方案，训练结束后生成报告。集成基于EMDR（眼动脱敏再处理）的8阶段眼动训练方案，用户可追踪小球速度、颜色、尺寸的个性化调整。提供心理着陆、蝴蝶拍、呼吸放松、屏幕技术、内在安全岛、渐进肌肉放松、积极想象、正念呼吸等调节方法。</w:t>
      </w:r>
      <w:r/>
    </w:p>
    <w:p>
      <w:pPr>
        <w:ind w:firstLine="241"/>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2.心理能量快充站功能：</w:t>
      </w:r>
      <w:r/>
    </w:p>
    <w:p>
      <w:pPr>
        <w:ind w:firstLine="2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lang w:bidi="ar"/>
        </w:rPr>
        <w:t xml:space="preserve">支持即刻挑战项目，挑战成功即可获得盲盒。提供两次重新抽选的机会。支持用户挑战成功后选择继续闯关或抽取盲盒，若选择继续闯关，后续挑战失败，盲盒抽取机会清零</w:t>
      </w:r>
      <w:r>
        <w:rPr>
          <w:rFonts w:hint="eastAsia" w:ascii="宋体" w:hAnsi="宋体" w:eastAsia="宋体" w:cs="宋体"/>
          <w:sz w:val="24"/>
          <w:szCs w:val="24"/>
          <w:highlight w:val="none"/>
        </w:rPr>
        <w:t xml:space="preserve">。</w:t>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lang w:bidi="ar"/>
        </w:rPr>
        <w:t xml:space="preserve">提供后台管理中心，支持选择如总计盲盒掉落、即刻挑战盲盒掉落、小彩蛋盲盒掉落、即刻挑战参与量等进行本周盲盒机数据统计。支持选择日期，查看本日、本周、本月掉落盲盒的数量。支持修改各通道盲盒数量进行盲盒增补，可显示盲盒总数。提供盲盒掉落记录，包含如时间、项目名称、用户名称、掉落详情、盲盒掉落数量等，支持选择日期查询记录。提供盲盒增补记录，包含如时间、通道、增补前盲盒总数、增补后盲盒数、变化量、操作后盲盒总数等，支持下选择日期查询记录</w:t>
      </w:r>
      <w:r>
        <w:rPr>
          <w:rFonts w:hint="eastAsia" w:ascii="宋体" w:hAnsi="宋体" w:eastAsia="宋体" w:cs="宋体"/>
          <w:sz w:val="24"/>
          <w:szCs w:val="24"/>
          <w:highlight w:val="none"/>
        </w:rPr>
        <w:t xml:space="preserve">。</w:t>
      </w:r>
      <w:r/>
    </w:p>
    <w:p>
      <w:pPr>
        <w:ind w:firstLine="24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3.多元积极训练提升仪功能：</w:t>
      </w:r>
      <w:r/>
    </w:p>
    <w:p>
      <w:pPr>
        <w:ind w:firstLine="2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lang w:bidi="ar"/>
        </w:rPr>
        <w:t xml:space="preserve">支持首次扫描可点击“开始扫描”完成心理健康检测，之后将显示“重新扫描”，根据每次扫描结果不同，训练方案也不同。心理健康检测提供60道单选测试题目，支持用户根据自己的实际情况选择最符合自己的选项，提供答题时长显示，完成后自动生成详细的心理扫描报告。</w:t>
      </w:r>
      <w:r/>
    </w:p>
    <w:p>
      <w:pPr>
        <w:ind w:firstLine="240"/>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lang w:bidi="ar"/>
        </w:rPr>
        <w:t xml:space="preserve">训练方案提供完整训练流程，包含自我评估、心理训练、情绪引导、测后评估四大训练模块，按照前测评估→游戏训练→放松指导→后测评估的流程进行训练。训练报告提供用户信息、训练结果说明、训练数据、自我评估对比、辅导建议等。自我评估对比展示训练前、后得分情况（10分制），提供相关建议</w:t>
      </w:r>
      <w:r>
        <w:rPr>
          <w:rFonts w:hint="eastAsia" w:ascii="宋体" w:hAnsi="宋体" w:cs="宋体"/>
          <w:sz w:val="24"/>
          <w:szCs w:val="24"/>
          <w:highlight w:val="none"/>
        </w:rPr>
        <w:t xml:space="preserve">。</w:t>
      </w:r>
      <w:r/>
    </w:p>
    <w:p>
      <w:pPr>
        <w:ind w:firstLine="241"/>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4.智能情绪识别训练仪功能</w:t>
      </w:r>
      <w:r>
        <w:rPr>
          <w:rFonts w:hint="eastAsia" w:ascii="宋体" w:hAnsi="宋体" w:cs="宋体"/>
          <w:sz w:val="24"/>
          <w:szCs w:val="24"/>
          <w:highlight w:val="none"/>
        </w:rPr>
        <w:t xml:space="preserve">：</w:t>
      </w:r>
      <w:r/>
    </w:p>
    <w:p>
      <w:pPr>
        <w:ind w:firstLine="2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（1）支持通过每日一签记录≥5种心情，提供≥12种主题选项，支持输入经历和感受等心情日记。</w:t>
      </w:r>
      <w:r/>
    </w:p>
    <w:p>
      <w:pPr>
        <w:ind w:firstLine="24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（2）提供倒计时为30秒的快速情绪识别，识别中提示积极词语引导，帮助用户洞察内心，了解自我情绪。支持通过扫描二维码下载报告，或导出报告到本机。</w:t>
      </w:r>
      <w:r/>
    </w:p>
    <w:p>
      <w:pPr>
        <w:ind w:firstLine="240"/>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color w:val="000000"/>
          <w:sz w:val="24"/>
          <w:szCs w:val="24"/>
          <w:highlight w:val="none"/>
          <w:lang w:bidi="ar"/>
        </w:rPr>
        <w:t xml:space="preserve">提供如积极/消极占比统计图、7种情绪占比统计图、情绪变化趋势图等报告数据图表分析；提供7种情绪占比排名前三的情绪代表图，包含不同情绪占比、出现频率等数据；提供不同动态卡通动物形象作为情绪代表，如快乐小鸟等。</w:t>
      </w:r>
      <w:r/>
    </w:p>
    <w:p>
      <w:pPr>
        <w:pStyle w:val="877"/>
        <w:ind w:firstLine="482"/>
        <w:keepLines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5.技术方案（</w:t>
      </w: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rPr>
        <w:t xml:space="preserve">分）：</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（1）项目设计方案（10分）</w:t>
      </w:r>
      <w:r/>
    </w:p>
    <w:p>
      <w:pPr>
        <w:pStyle w:val="893"/>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根据投标人提供的设计方案内容包括但不限于：</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1.平面图</w:t>
      </w:r>
      <w:r>
        <w:rPr>
          <w:rFonts w:hint="eastAsia" w:ascii="宋体" w:hAnsi="宋体" w:cs="宋体"/>
          <w:sz w:val="24"/>
          <w:szCs w:val="24"/>
          <w:highlight w:val="none"/>
          <w:lang w:val="en-US" w:eastAsia="zh-CN"/>
        </w:rPr>
        <w:t xml:space="preserve">设计合理</w:t>
      </w:r>
      <w:r>
        <w:rPr>
          <w:rFonts w:hint="eastAsia" w:ascii="宋体" w:hAnsi="宋体" w:cs="宋体"/>
          <w:sz w:val="24"/>
          <w:szCs w:val="24"/>
          <w:highlight w:val="none"/>
        </w:rPr>
        <w:t xml:space="preserve">（2分）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2.空间效果可视化要求（2分）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3.功能分区专项设计要求（2分）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4.环境与安全专项设计要求（2分）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5.设备配套点位与整合设计（2分）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方案完整，科学合理，清晰详细，完全符合本项目需求，每条得2分；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方案较完整，科学合理性较强，较清晰详细，能够符合本项目需求，每条得1分；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方案完整性、科学合理性、清晰详细程度等只能基本满足要求的，每条得0.5分；</w:t>
      </w:r>
      <w:r/>
    </w:p>
    <w:p>
      <w:pPr>
        <w:ind w:firstLine="480"/>
        <w:spacing w:line="360" w:lineRule="auto"/>
        <w:rPr>
          <w:highlight w:val="none"/>
        </w:rPr>
      </w:pPr>
      <w:r>
        <w:rPr>
          <w:rFonts w:hint="eastAsia" w:ascii="宋体" w:hAnsi="宋体" w:cs="宋体"/>
          <w:sz w:val="24"/>
          <w:szCs w:val="24"/>
          <w:highlight w:val="none"/>
        </w:rPr>
        <w:t xml:space="preserve">提供方案不能满足要求或无方案的，不得分。</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（2）项目实施方案（10分）</w:t>
      </w:r>
      <w:r/>
    </w:p>
    <w:p>
      <w:pPr>
        <w:ind w:firstLine="480"/>
        <w:spacing w:line="360" w:lineRule="auto"/>
        <w:rPr>
          <w:rFonts w:hint="eastAsia" w:ascii="宋体" w:hAnsi="宋体" w:cs="宋体"/>
          <w:sz w:val="24"/>
          <w:szCs w:val="24"/>
          <w:highlight w:val="none"/>
        </w:rPr>
      </w:pPr>
      <w:r/>
      <w:bookmarkStart w:id="206" w:name="OLE_LINK107"/>
      <w:r>
        <w:rPr>
          <w:rFonts w:hint="eastAsia" w:ascii="宋体" w:hAnsi="宋体" w:cs="宋体"/>
          <w:sz w:val="24"/>
          <w:szCs w:val="24"/>
          <w:highlight w:val="none"/>
        </w:rPr>
        <w:t xml:space="preserve">根据项目的实际特点来制定符合本项目的项目整体实施方案包括但不限于：</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1.项目需求分析（2分）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2.供货及实施时间安排（2分）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3.项目人员配置方案（2分）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4.应用及安全应急预案（2分）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5.软硬件质量保证措施（2分）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方案完整，科学合理，清晰详细，完全符合本项目需求，每条得2分；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方案较完整，科学合理性较强，较清晰详细，能够符合本项目需求，每条得1分；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方案完整性、科学合理性、清晰详细程度等只能基本满足要求的，每条得0.5分；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提供方案不能满足要求或无方案的，不得分。</w:t>
      </w:r>
      <w:bookmarkEnd w:id="206"/>
      <w:r/>
      <w:r/>
    </w:p>
    <w:p>
      <w:pPr>
        <w:ind w:firstLine="482"/>
        <w:spacing w:line="360" w:lineRule="auto"/>
        <w:rPr>
          <w:rFonts w:hint="eastAsia" w:ascii="宋体" w:hAnsi="宋体" w:cs="宋体"/>
          <w:b/>
          <w:bCs/>
          <w:sz w:val="24"/>
          <w:szCs w:val="24"/>
          <w:highlight w:val="none"/>
        </w:rPr>
      </w:pPr>
      <w:r/>
      <w:bookmarkStart w:id="207" w:name="OLE_LINK104"/>
      <w:r/>
      <w:bookmarkStart w:id="208" w:name="OLE_LINK103"/>
      <w:r>
        <w:rPr>
          <w:rFonts w:hint="eastAsia" w:ascii="宋体" w:hAnsi="宋体" w:cs="宋体"/>
          <w:b/>
          <w:bCs/>
          <w:sz w:val="24"/>
          <w:szCs w:val="24"/>
          <w:highlight w:val="none"/>
        </w:rPr>
        <w:t xml:space="preserve">（3）</w:t>
      </w:r>
      <w:bookmarkEnd w:id="207"/>
      <w:r/>
      <w:bookmarkEnd w:id="208"/>
      <w:r>
        <w:rPr>
          <w:rFonts w:hint="eastAsia" w:ascii="宋体" w:hAnsi="宋体" w:cs="宋体"/>
          <w:b/>
          <w:bCs/>
          <w:sz w:val="24"/>
          <w:szCs w:val="24"/>
          <w:highlight w:val="none"/>
        </w:rPr>
        <w:t xml:space="preserve">售后服务管理及措施（</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根据投标人提供的售后服务管理及措施，内容包括但不限于：</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1.售后服务承诺和履约保证（</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2.售后服务体系建设及人员配备（</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3.故障处理效率及应急维修承诺（</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方案完整，科学合理，清晰详细，完全符合本项目需求，每条得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方案较完整，科学合理性较强，较清晰详细，能够符合本项目需求，每条得1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方案完整性、科学合理性、清晰详细程度等只能基本满足要求的，每条得0.5分；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提供方案不能满足要求或无方案的，不得分。</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（4）培训方案（</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分）</w:t>
      </w:r>
      <w:r/>
    </w:p>
    <w:p>
      <w:pPr>
        <w:pStyle w:val="893"/>
        <w:ind w:left="0" w:firstLine="480"/>
        <w:spacing w:line="360" w:lineRule="auto"/>
        <w:rPr>
          <w:highlight w:val="none"/>
        </w:rPr>
      </w:pPr>
      <w:r>
        <w:rPr>
          <w:rFonts w:hint="eastAsia" w:ascii="宋体" w:hAnsi="宋体" w:cs="宋体"/>
          <w:sz w:val="24"/>
          <w:szCs w:val="24"/>
          <w:highlight w:val="none"/>
        </w:rPr>
        <w:t xml:space="preserve">根据投标人提供的培训方案内容包括但不限于：</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对采购单位管理人员、操作人员及维护人员设备操作培训方案</w:t>
      </w:r>
      <w:r>
        <w:rPr>
          <w:rFonts w:hint="eastAsia" w:ascii="宋体" w:hAnsi="宋体" w:cs="宋体"/>
          <w:sz w:val="24"/>
          <w:szCs w:val="24"/>
          <w:highlight w:val="none"/>
        </w:rPr>
        <w:t xml:space="preserve">（2分）</w:t>
      </w:r>
      <w:r/>
    </w:p>
    <w:p>
      <w:pPr>
        <w:pStyle w:val="893"/>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2.设备日常使用前后保养培训方案</w:t>
      </w:r>
      <w:r>
        <w:rPr>
          <w:rFonts w:hint="eastAsia" w:ascii="宋体" w:hAnsi="宋体" w:cs="宋体"/>
          <w:sz w:val="24"/>
          <w:szCs w:val="24"/>
          <w:highlight w:val="none"/>
        </w:rPr>
        <w:t xml:space="preserve">（2分）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3.培训内容、计划（含培训老师情况、时间及次数））</w:t>
      </w:r>
      <w:r>
        <w:rPr>
          <w:rFonts w:hint="eastAsia" w:ascii="宋体" w:hAnsi="宋体" w:cs="宋体"/>
          <w:sz w:val="24"/>
          <w:szCs w:val="24"/>
          <w:highlight w:val="none"/>
        </w:rPr>
        <w:t xml:space="preserve">（2分）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ascii="宋体" w:hAnsi="宋体" w:cs="宋体"/>
          <w:sz w:val="24"/>
          <w:szCs w:val="24"/>
          <w:highlight w:val="none"/>
        </w:rPr>
        <w:t xml:space="preserve">培训师资配置</w:t>
      </w:r>
      <w:r>
        <w:rPr>
          <w:rFonts w:hint="eastAsia" w:ascii="宋体" w:hAnsi="宋体" w:cs="宋体"/>
          <w:sz w:val="24"/>
          <w:szCs w:val="24"/>
          <w:highlight w:val="none"/>
        </w:rPr>
        <w:t xml:space="preserve">和培训</w:t>
      </w:r>
      <w:r>
        <w:rPr>
          <w:rFonts w:ascii="宋体" w:hAnsi="宋体" w:cs="宋体"/>
          <w:sz w:val="24"/>
          <w:szCs w:val="24"/>
          <w:highlight w:val="none"/>
        </w:rPr>
        <w:t xml:space="preserve">效果反馈</w:t>
      </w:r>
      <w:r>
        <w:rPr>
          <w:rFonts w:hint="eastAsia" w:ascii="宋体" w:hAnsi="宋体" w:cs="宋体"/>
          <w:sz w:val="24"/>
          <w:szCs w:val="24"/>
          <w:highlight w:val="none"/>
        </w:rPr>
        <w:t xml:space="preserve">（2分）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方案完整，科学合理，清晰详细，完全符合本项目需求，每条得2分；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方案较完整，科学合理性较强，较清晰详细，能够符合本项目需求，每条得1分；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方案完整性、科学合理性、清晰详细程度等只能基本满足要求的，每条得0.5分；</w:t>
      </w:r>
      <w:r/>
    </w:p>
    <w:p>
      <w:pPr>
        <w:ind w:left="482"/>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提供方案不能满足要求或无方案的，不得分。</w:t>
      </w:r>
      <w:r/>
    </w:p>
    <w:p>
      <w:pPr>
        <w:ind w:firstLine="482"/>
        <w:spacing w:line="360" w:lineRule="auto"/>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针对</w:t>
      </w:r>
      <w:r>
        <w:rPr>
          <w:rFonts w:hint="eastAsia" w:ascii="宋体" w:hAnsi="宋体" w:cs="宋体"/>
          <w:b/>
          <w:bCs/>
          <w:sz w:val="24"/>
          <w:szCs w:val="24"/>
          <w:highlight w:val="none"/>
        </w:rPr>
        <w:t xml:space="preserve">设备突发状况</w:t>
      </w:r>
      <w:r>
        <w:rPr>
          <w:rFonts w:hint="eastAsia" w:ascii="宋体" w:hAnsi="宋体" w:cs="宋体"/>
          <w:b/>
          <w:bCs/>
          <w:sz w:val="24"/>
          <w:szCs w:val="24"/>
          <w:highlight w:val="none"/>
          <w:lang w:val="en-US" w:eastAsia="zh-CN"/>
        </w:rPr>
        <w:t xml:space="preserve">的</w:t>
      </w:r>
      <w:r>
        <w:rPr>
          <w:rFonts w:hint="eastAsia" w:ascii="宋体" w:hAnsi="宋体" w:cs="宋体"/>
          <w:b/>
          <w:bCs/>
          <w:sz w:val="24"/>
          <w:szCs w:val="24"/>
          <w:highlight w:val="none"/>
        </w:rPr>
        <w:t xml:space="preserve">应</w:t>
      </w:r>
      <w:r>
        <w:rPr>
          <w:rFonts w:hint="eastAsia" w:ascii="宋体" w:hAnsi="宋体" w:cs="宋体"/>
          <w:b/>
          <w:bCs/>
          <w:sz w:val="24"/>
          <w:szCs w:val="24"/>
          <w:highlight w:val="none"/>
          <w:lang w:val="en-US" w:eastAsia="zh-CN"/>
        </w:rPr>
        <w:t xml:space="preserve">急</w:t>
      </w:r>
      <w:r>
        <w:rPr>
          <w:rFonts w:hint="eastAsia" w:ascii="宋体" w:hAnsi="宋体" w:cs="宋体"/>
          <w:b/>
          <w:bCs/>
          <w:sz w:val="24"/>
          <w:szCs w:val="24"/>
          <w:highlight w:val="none"/>
        </w:rPr>
        <w:t xml:space="preserve">措施</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6分</w:t>
      </w:r>
      <w:r>
        <w:rPr>
          <w:rFonts w:hint="eastAsia" w:ascii="宋体" w:hAnsi="宋体" w:cs="宋体"/>
          <w:b/>
          <w:bCs/>
          <w:sz w:val="24"/>
          <w:szCs w:val="24"/>
          <w:highlight w:val="none"/>
          <w:lang w:eastAsia="zh-CN"/>
        </w:rPr>
        <w:t xml:space="preserve">）</w:t>
      </w:r>
      <w:r/>
    </w:p>
    <w:p>
      <w:pPr>
        <w:pStyle w:val="885"/>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sz w:val="24"/>
          <w:szCs w:val="24"/>
          <w:highlight w:val="none"/>
        </w:rPr>
        <w:t xml:space="preserve">根据投标人提供</w:t>
      </w:r>
      <w:r>
        <w:rPr>
          <w:rFonts w:hint="eastAsia" w:ascii="宋体" w:hAnsi="宋体" w:eastAsia="宋体" w:cs="宋体"/>
          <w:b w:val="0"/>
          <w:bCs w:val="0"/>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bidi="ar-SA"/>
        </w:rPr>
        <w:t xml:space="preserve">针对</w:t>
      </w:r>
      <w:r>
        <w:rPr>
          <w:rFonts w:hint="eastAsia" w:ascii="宋体" w:hAnsi="宋体" w:eastAsia="宋体" w:cs="宋体"/>
          <w:b w:val="0"/>
          <w:bCs w:val="0"/>
          <w:color w:val="auto"/>
          <w:sz w:val="24"/>
          <w:szCs w:val="24"/>
          <w:highlight w:val="none"/>
          <w:lang w:bidi="ar-SA"/>
        </w:rPr>
        <w:t xml:space="preserve">设备突发状况</w:t>
      </w:r>
      <w:r>
        <w:rPr>
          <w:rFonts w:hint="eastAsia" w:ascii="宋体" w:hAnsi="宋体"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bidi="ar-SA"/>
        </w:rPr>
        <w:t xml:space="preserve">应</w:t>
      </w:r>
      <w:r>
        <w:rPr>
          <w:rFonts w:hint="eastAsia" w:ascii="宋体" w:hAnsi="宋体" w:eastAsia="宋体" w:cs="宋体"/>
          <w:b w:val="0"/>
          <w:bCs w:val="0"/>
          <w:color w:val="auto"/>
          <w:sz w:val="24"/>
          <w:szCs w:val="24"/>
          <w:highlight w:val="none"/>
          <w:lang w:val="en-US" w:eastAsia="zh-CN" w:bidi="ar-SA"/>
        </w:rPr>
        <w:t xml:space="preserve">急</w:t>
      </w:r>
      <w:r>
        <w:rPr>
          <w:rFonts w:hint="eastAsia" w:ascii="宋体" w:hAnsi="宋体" w:eastAsia="宋体" w:cs="宋体"/>
          <w:b w:val="0"/>
          <w:bCs w:val="0"/>
          <w:color w:val="auto"/>
          <w:sz w:val="24"/>
          <w:szCs w:val="24"/>
          <w:highlight w:val="none"/>
          <w:lang w:bidi="ar-SA"/>
        </w:rPr>
        <w:t xml:space="preserve">措施内容包括但不限于：</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bidi="ar-SA"/>
        </w:rPr>
        <w:t xml:space="preserve">应急预案（2分）</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bidi="ar-SA"/>
        </w:rPr>
        <w:t xml:space="preserve">应急资源（</w:t>
      </w: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bidi="ar-SA"/>
        </w:rPr>
        <w:t xml:space="preserve">分）</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bidi="ar-SA"/>
        </w:rPr>
        <w:t xml:space="preserve">针对性措施（2分）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方案完整，科学合理，清晰详细，完全符合本项目需求，每条得2分；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方案较完整，科学合理性较强，较清晰详细，能够符合本项目需求，每条得1分；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方案完整性、科学合理性、清晰详细程度等只能基本满足要求的，每条得0.5分；</w:t>
      </w:r>
      <w:r/>
    </w:p>
    <w:p>
      <w:pPr>
        <w:pStyle w:val="885"/>
        <w:ind w:firstLine="480"/>
        <w:keepLines w:val="0"/>
        <w:keepNext w:val="0"/>
        <w:pageBreakBefore w:val="0"/>
        <w:spacing w:line="360" w:lineRule="auto"/>
        <w:widowControl w:val="off"/>
        <w:rPr>
          <w:rFonts w:hint="eastAsia"/>
          <w:highlight w:val="none"/>
          <w:lang w:eastAsia="zh-CN"/>
        </w:rPr>
      </w:pPr>
      <w:r>
        <w:rPr>
          <w:rFonts w:hint="eastAsia" w:ascii="宋体" w:hAnsi="宋体" w:eastAsia="宋体" w:cs="宋体"/>
          <w:b w:val="0"/>
          <w:bCs w:val="0"/>
          <w:sz w:val="24"/>
          <w:szCs w:val="24"/>
          <w:highlight w:val="none"/>
        </w:rPr>
        <w:t xml:space="preserve">提供方案不能满足要求或无方案的，不得分。</w:t>
      </w:r>
      <w:r/>
    </w:p>
    <w:p>
      <w:pPr>
        <w:numPr>
          <w:ilvl w:val="0"/>
          <w:numId w:val="19"/>
        </w:numPr>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加分因素（3分）：</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 依据财政部、发展改革委发布的《节能产品政府采购品目清单》和财政部、生态环境部发布的《环境标志产品政府采购品目清单》，投标产品为政府采购节能（政府强制采购节能产品除外）、环保产品分别加1分，最高加2分。（投标时须提供所投产品由国家确定的认证机构出具的、处于有效期之内的节能产品认证证书、环境标志产品认证证书，否则不得分）。</w:t>
      </w:r>
      <w:r/>
    </w:p>
    <w:p>
      <w:pPr>
        <w:ind w:firstLine="480"/>
        <w:jc w:val="left"/>
        <w:spacing w:line="360" w:lineRule="auto"/>
        <w:rPr>
          <w:rFonts w:hint="eastAsia" w:ascii="宋体" w:hAnsi="宋体" w:cs="宋体"/>
          <w:color w:val="000000"/>
          <w:sz w:val="24"/>
          <w:szCs w:val="24"/>
          <w:highlight w:val="none"/>
        </w:rPr>
        <w:sectPr>
          <w:footerReference w:type="default" r:id="rId14"/>
          <w:footnotePr/>
          <w:endnotePr/>
          <w:type w:val="nextPage"/>
          <w:pgSz w:w="11906" w:h="16838" w:orient="portrait"/>
          <w:pgMar w:top="1134" w:right="1134" w:bottom="1134" w:left="1134" w:header="0" w:footer="816" w:gutter="0"/>
          <w:cols w:num="1" w:sep="0" w:space="0" w:equalWidth="1"/>
          <w:docGrid w:linePitch="360"/>
        </w:sectPr>
      </w:pPr>
      <w:r>
        <w:rPr>
          <w:rFonts w:hint="eastAsia" w:ascii="宋体" w:hAnsi="宋体" w:cs="宋体"/>
          <w:color w:val="000000"/>
          <w:sz w:val="24"/>
          <w:szCs w:val="24"/>
          <w:highlight w:val="none"/>
        </w:rPr>
        <w:t xml:space="preserve"> ② 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p>
    <w:p>
      <w:pPr>
        <w:ind w:firstLine="480"/>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p>
    <w:p>
      <w:pPr>
        <w:pStyle w:val="1190"/>
        <w:ind w:firstLine="602"/>
        <w:spacing w:before="0" w:after="0" w:line="500" w:lineRule="exact"/>
        <w:rPr>
          <w:rFonts w:cs="Arial"/>
          <w:b/>
          <w:sz w:val="30"/>
          <w:szCs w:val="30"/>
          <w:highlight w:val="none"/>
        </w:rPr>
      </w:pPr>
      <w:r>
        <w:rPr>
          <w:rFonts w:hint="eastAsia" w:cs="Arial"/>
          <w:b/>
          <w:sz w:val="30"/>
          <w:szCs w:val="30"/>
          <w:highlight w:val="none"/>
        </w:rPr>
        <w:t xml:space="preserve">第一部分  投标文件内容</w:t>
      </w:r>
      <w:r/>
    </w:p>
    <w:p>
      <w:pPr>
        <w:pStyle w:val="1190"/>
        <w:ind w:firstLine="0"/>
        <w:spacing w:before="0" w:after="0" w:line="500" w:lineRule="exact"/>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88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90"/>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1190"/>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1190"/>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1190"/>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1190"/>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90"/>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1190"/>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684"/>
        </w:trPr>
        <w:tc>
          <w:tcPr>
            <w:tcW w:w="719" w:type="dxa"/>
            <w:vAlign w:val="center"/>
            <w:textDirection w:val="lrTb"/>
            <w:noWrap w:val="false"/>
          </w:tcPr>
          <w:p>
            <w:pPr>
              <w:pStyle w:val="1190"/>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1190"/>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80"/>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963"/>
        </w:trPr>
        <w:tc>
          <w:tcPr>
            <w:tcW w:w="719" w:type="dxa"/>
            <w:vAlign w:val="center"/>
            <w:textDirection w:val="lrTb"/>
            <w:noWrap w:val="false"/>
          </w:tcPr>
          <w:p>
            <w:pPr>
              <w:pStyle w:val="1190"/>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1190"/>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023"/>
        </w:trPr>
        <w:tc>
          <w:tcPr>
            <w:tcW w:w="719" w:type="dxa"/>
            <w:vAlign w:val="center"/>
            <w:textDirection w:val="lrTb"/>
            <w:noWrap w:val="false"/>
          </w:tcPr>
          <w:p>
            <w:pPr>
              <w:pStyle w:val="1190"/>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1190"/>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190"/>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1190"/>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1190"/>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7</w:t>
            </w:r>
            <w:r/>
          </w:p>
        </w:tc>
        <w:tc>
          <w:tcPr>
            <w:tcW w:w="6104" w:type="dxa"/>
            <w:vAlign w:val="center"/>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满足中小企业政策的证明文件（如有中小企业政策要求的）。</w:t>
            </w:r>
            <w:r/>
          </w:p>
        </w:tc>
        <w:tc>
          <w:tcPr>
            <w:tcW w:w="2449" w:type="dxa"/>
            <w:vAlign w:val="center"/>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90"/>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1190"/>
              <w:ind w:firstLine="0"/>
              <w:jc w:val="both"/>
              <w:spacing w:before="0" w:after="0" w:line="240" w:lineRule="auto"/>
              <w:rPr>
                <w:rFonts w:hint="eastAsia"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w:t>
            </w:r>
            <w:r>
              <w:rPr>
                <w:rFonts w:hint="eastAsia" w:ascii="宋体" w:hAnsi="宋体" w:cs="宋体"/>
                <w:bCs/>
                <w:highlight w:val="none"/>
              </w:rPr>
              <w:t xml:space="preserve">如有</w:t>
            </w:r>
            <w:r>
              <w:rPr>
                <w:rFonts w:hint="eastAsia" w:ascii="宋体" w:hAnsi="宋体" w:cs="宋体"/>
                <w:highlight w:val="none"/>
              </w:rPr>
              <w:t xml:space="preserve">特定资格要求的）。</w:t>
            </w:r>
            <w:r/>
          </w:p>
        </w:tc>
        <w:tc>
          <w:tcPr>
            <w:tcW w:w="2449" w:type="dxa"/>
            <w:vAlign w:val="center"/>
            <w:textDirection w:val="lrTb"/>
            <w:noWrap w:val="false"/>
          </w:tcPr>
          <w:p>
            <w:pPr>
              <w:pStyle w:val="1190"/>
              <w:ind w:firstLine="0"/>
              <w:spacing w:before="0" w:after="0" w:line="240" w:lineRule="auto"/>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1190"/>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1190"/>
              <w:ind w:firstLine="0"/>
              <w:spacing w:before="0" w:after="0" w:line="240" w:lineRule="auto"/>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20"/>
        </w:numPr>
        <w:ind w:firstLine="480"/>
        <w:spacing w:line="500" w:lineRule="exact"/>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1～6项必须全部按要求提供（有给定格式的，必须按给定格式的要求正确填报并提供，相应格式见本章第二部分），否则投标文件无效。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w:t>
      </w:r>
      <w:r>
        <w:rPr>
          <w:rFonts w:hint="eastAsia" w:ascii="宋体" w:hAnsi="宋体"/>
          <w:sz w:val="24"/>
          <w:szCs w:val="24"/>
          <w:highlight w:val="none"/>
        </w:rPr>
        <w:t xml:space="preserve">材料</w:t>
      </w:r>
      <w:r>
        <w:rPr>
          <w:rFonts w:ascii="宋体" w:hAnsi="宋体"/>
          <w:sz w:val="24"/>
          <w:szCs w:val="24"/>
          <w:highlight w:val="none"/>
        </w:rPr>
        <w:t xml:space="preserve">。</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w:t>
      </w:r>
      <w:r>
        <w:rPr>
          <w:rFonts w:hint="eastAsia" w:ascii="宋体" w:hAnsi="宋体"/>
          <w:sz w:val="24"/>
          <w:szCs w:val="24"/>
          <w:highlight w:val="none"/>
        </w:rPr>
        <w:t xml:space="preserve">材料</w:t>
      </w:r>
      <w:r>
        <w:rPr>
          <w:rFonts w:ascii="宋体" w:hAnsi="宋体"/>
          <w:sz w:val="24"/>
          <w:szCs w:val="24"/>
          <w:highlight w:val="none"/>
        </w:rPr>
        <w:t xml:space="preserve">；如因新成立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20"/>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20"/>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p>
    <w:p>
      <w:pPr>
        <w:numPr>
          <w:ilvl w:val="0"/>
          <w:numId w:val="20"/>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中：第2、6项可由联合体主体单位（即联合体牵头人）代表联合体提供；第1、3、4、5、7（如有要求）、8（如有要求）项，联合体各方均须提供。</w:t>
      </w:r>
      <w:r/>
    </w:p>
    <w:p>
      <w:pPr>
        <w:rPr>
          <w:b/>
          <w:sz w:val="28"/>
          <w:szCs w:val="28"/>
          <w:highlight w:val="none"/>
        </w:rPr>
      </w:pPr>
      <w:r>
        <w:rPr>
          <w:rFonts w:hint="eastAsia" w:ascii="宋体" w:hAnsi="宋体"/>
          <w:highlight w:val="none"/>
        </w:rPr>
        <w:br w:type="page" w:clear="all"/>
      </w:r>
      <w:r>
        <w:rPr>
          <w:rFonts w:hint="eastAsia"/>
          <w:b/>
          <w:sz w:val="28"/>
          <w:szCs w:val="28"/>
          <w:highlight w:val="none"/>
        </w:rPr>
        <w:t xml:space="preserve">二、符合性证明文件及其他证明文件</w:t>
      </w:r>
      <w:r/>
    </w:p>
    <w:p>
      <w:pPr>
        <w:rPr>
          <w:b/>
          <w:sz w:val="28"/>
          <w:szCs w:val="28"/>
          <w:highlight w:val="none"/>
        </w:rPr>
      </w:pPr>
      <w:r>
        <w:rPr>
          <w:rFonts w:hint="eastAsia"/>
          <w:b/>
          <w:sz w:val="28"/>
          <w:szCs w:val="28"/>
          <w:highlight w:val="none"/>
        </w:rPr>
        <w:t xml:space="preserve">（一）符合性证明文件</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90"/>
              <w:ind w:firstLine="0"/>
              <w:jc w:val="center"/>
              <w:spacing w:before="0" w:after="0" w:line="240" w:lineRule="auto"/>
              <w:rPr>
                <w:rFonts w:cs="Arial"/>
                <w:b/>
                <w:highlight w:val="none"/>
              </w:rPr>
            </w:pPr>
            <w:r>
              <w:rPr>
                <w:rFonts w:hint="eastAsia" w:cs="Arial"/>
                <w:b/>
                <w:highlight w:val="none"/>
              </w:rPr>
              <w:t xml:space="preserve">序号</w:t>
            </w:r>
            <w:r/>
          </w:p>
        </w:tc>
        <w:tc>
          <w:tcPr>
            <w:tcW w:w="6095" w:type="dxa"/>
            <w:vAlign w:val="center"/>
            <w:textDirection w:val="lrTb"/>
            <w:noWrap w:val="false"/>
          </w:tcPr>
          <w:p>
            <w:pPr>
              <w:pStyle w:val="1190"/>
              <w:ind w:firstLine="0"/>
              <w:jc w:val="center"/>
              <w:spacing w:before="0" w:after="0" w:line="240" w:lineRule="auto"/>
              <w:rPr>
                <w:rFonts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1190"/>
              <w:ind w:firstLine="0"/>
              <w:jc w:val="center"/>
              <w:spacing w:before="0" w:after="0" w:line="240" w:lineRule="auto"/>
              <w:rPr>
                <w:rFonts w:cs="Arial"/>
                <w:b/>
                <w:highlight w:val="none"/>
              </w:rPr>
            </w:pPr>
            <w:r>
              <w:rPr>
                <w:rFonts w:hint="eastAsia" w:cs="Arial"/>
                <w:b/>
                <w:highlight w:val="none"/>
              </w:rPr>
              <w:t xml:space="preserve">审查因素</w:t>
            </w:r>
            <w:r/>
          </w:p>
        </w:tc>
      </w:tr>
      <w:tr>
        <w:trPr>
          <w:cantSplit/>
          <w:jc w:val="center"/>
          <w:trHeight w:val="567"/>
        </w:trPr>
        <w:tc>
          <w:tcPr>
            <w:tcW w:w="823" w:type="dxa"/>
            <w:vAlign w:val="center"/>
            <w:textDirection w:val="lrTb"/>
            <w:noWrap w:val="false"/>
          </w:tcPr>
          <w:p>
            <w:pPr>
              <w:pStyle w:val="1190"/>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1190"/>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1190"/>
              <w:ind w:firstLine="0"/>
              <w:jc w:val="center"/>
              <w:spacing w:before="0" w:after="0" w:line="240" w:lineRule="auto"/>
              <w:rPr>
                <w:rFonts w:cs="Arial"/>
                <w:highlight w:val="none"/>
              </w:rPr>
            </w:pPr>
            <w:r>
              <w:rPr>
                <w:rFonts w:hint="eastAsia" w:cs="Arial"/>
                <w:highlight w:val="none"/>
              </w:rPr>
              <w:t xml:space="preserve">商务符合性</w:t>
            </w:r>
            <w:r/>
          </w:p>
        </w:tc>
      </w:tr>
      <w:tr>
        <w:trPr>
          <w:cantSplit/>
          <w:jc w:val="center"/>
          <w:trHeight w:val="567"/>
        </w:trPr>
        <w:tc>
          <w:tcPr>
            <w:tcW w:w="823" w:type="dxa"/>
            <w:vAlign w:val="center"/>
            <w:textDirection w:val="lrTb"/>
            <w:noWrap w:val="false"/>
          </w:tcPr>
          <w:p>
            <w:pPr>
              <w:pStyle w:val="1190"/>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1190"/>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1190"/>
              <w:ind w:firstLine="0"/>
              <w:jc w:val="center"/>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val="false"/>
          </w:tcPr>
          <w:p>
            <w:pPr>
              <w:pStyle w:val="1190"/>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1190"/>
              <w:ind w:firstLine="0"/>
              <w:jc w:val="both"/>
              <w:spacing w:before="0" w:after="0" w:line="240" w:lineRule="auto"/>
              <w:rPr>
                <w:rFonts w:hint="eastAsia" w:ascii="宋体" w:hAnsi="宋体" w:cs="Arial"/>
                <w:highlight w:val="none"/>
              </w:rPr>
            </w:pPr>
            <w:r>
              <w:rPr>
                <w:rFonts w:hint="eastAsia" w:ascii="宋体" w:hAnsi="宋体"/>
                <w:highlight w:val="none"/>
              </w:rPr>
              <w:t xml:space="preserve">开标一览表（“苏采云”系统中给定格式）</w:t>
            </w:r>
            <w:r/>
          </w:p>
        </w:tc>
        <w:tc>
          <w:tcPr>
            <w:tcW w:w="1979" w:type="dxa"/>
            <w:vAlign w:val="center"/>
            <w:vMerge w:val="restart"/>
            <w:textDirection w:val="lrTb"/>
            <w:noWrap w:val="false"/>
          </w:tcPr>
          <w:p>
            <w:pPr>
              <w:pStyle w:val="1190"/>
              <w:ind w:firstLine="0"/>
              <w:jc w:val="center"/>
              <w:spacing w:before="0" w:after="0" w:line="240" w:lineRule="auto"/>
              <w:rPr>
                <w:rFonts w:cs="Arial"/>
                <w:highlight w:val="none"/>
              </w:rPr>
            </w:pPr>
            <w:r>
              <w:rPr>
                <w:rFonts w:hint="eastAsia" w:cs="Arial"/>
                <w:highlight w:val="none"/>
              </w:rPr>
              <w:t xml:space="preserve">报价符合性</w:t>
            </w:r>
            <w:r/>
          </w:p>
        </w:tc>
      </w:tr>
      <w:tr>
        <w:trPr>
          <w:cantSplit/>
          <w:jc w:val="center"/>
          <w:trHeight w:val="567"/>
        </w:trPr>
        <w:tc>
          <w:tcPr>
            <w:tcW w:w="823" w:type="dxa"/>
            <w:vAlign w:val="center"/>
            <w:textDirection w:val="lrTb"/>
            <w:noWrap w:val="false"/>
          </w:tcPr>
          <w:p>
            <w:pPr>
              <w:pStyle w:val="1190"/>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1190"/>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1190"/>
              <w:ind w:firstLine="0"/>
              <w:jc w:val="center"/>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val="false"/>
          </w:tcPr>
          <w:p>
            <w:pPr>
              <w:pStyle w:val="1190"/>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1190"/>
              <w:ind w:firstLine="0"/>
              <w:jc w:val="both"/>
              <w:spacing w:before="0" w:after="0" w:line="240" w:lineRule="auto"/>
              <w:rPr>
                <w:rFonts w:hint="eastAsia"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1190"/>
              <w:ind w:firstLine="0"/>
              <w:jc w:val="center"/>
              <w:spacing w:before="0" w:after="0" w:line="240" w:lineRule="auto"/>
              <w:rPr>
                <w:rFonts w:cs="Arial"/>
                <w:highlight w:val="none"/>
              </w:rPr>
            </w:pPr>
            <w:r>
              <w:rPr>
                <w:rFonts w:hint="eastAsia" w:cs="Arial"/>
                <w:highlight w:val="none"/>
              </w:rPr>
              <w:t xml:space="preserve">技术符合性</w:t>
            </w:r>
            <w:r/>
          </w:p>
        </w:tc>
      </w:tr>
      <w:tr>
        <w:trPr>
          <w:cantSplit/>
          <w:jc w:val="center"/>
          <w:trHeight w:val="567"/>
        </w:trPr>
        <w:tc>
          <w:tcPr>
            <w:tcW w:w="823" w:type="dxa"/>
            <w:vAlign w:val="center"/>
            <w:textDirection w:val="lrTb"/>
            <w:noWrap w:val="false"/>
          </w:tcPr>
          <w:p>
            <w:pPr>
              <w:pStyle w:val="1190"/>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1190"/>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1190"/>
              <w:ind w:firstLine="0"/>
              <w:jc w:val="center"/>
              <w:spacing w:before="0" w:after="0" w:line="240" w:lineRule="auto"/>
              <w:rPr>
                <w:rFonts w:cs="Arial"/>
                <w:highlight w:val="none"/>
              </w:rPr>
            </w:pPr>
            <w:r>
              <w:rPr>
                <w:rFonts w:cs="Arial"/>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21"/>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21"/>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符合性证明文件第6项，《采购需求》中如有要求提供证明材料的，须按要求提供，否则投标文件无效。</w:t>
      </w:r>
      <w:r/>
    </w:p>
    <w:p>
      <w:pPr>
        <w:numPr>
          <w:ilvl w:val="0"/>
          <w:numId w:val="21"/>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w:t>
      </w:r>
      <w:r>
        <w:rPr>
          <w:rFonts w:hint="eastAsia" w:ascii="宋体" w:hAnsi="宋体" w:cs="宋体"/>
          <w:sz w:val="24"/>
          <w:szCs w:val="24"/>
          <w:highlight w:val="none"/>
        </w:rPr>
        <w:t xml:space="preserve">第1～5项可由联合体主体单位（即联合体牵头人）代表联合体提供。第6项按《采购需求》中的相应要求（如有）进行提供。</w:t>
      </w:r>
      <w:r/>
    </w:p>
    <w:p>
      <w:pPr>
        <w:rPr>
          <w:b/>
          <w:color w:val="ff0000"/>
          <w:sz w:val="28"/>
          <w:szCs w:val="28"/>
          <w:highlight w:val="none"/>
        </w:rPr>
      </w:pPr>
      <w:r>
        <w:rPr>
          <w:b/>
          <w:color w:val="ff0000"/>
          <w:sz w:val="28"/>
          <w:szCs w:val="28"/>
          <w:highlight w:val="none"/>
        </w:rPr>
      </w:r>
      <w:r/>
    </w:p>
    <w:p>
      <w:pPr>
        <w:rPr>
          <w:b/>
          <w:sz w:val="28"/>
          <w:szCs w:val="28"/>
          <w:highlight w:val="none"/>
        </w:rPr>
      </w:pPr>
      <w:r>
        <w:rPr>
          <w:rFonts w:hint="eastAsia"/>
          <w:b/>
          <w:sz w:val="28"/>
          <w:szCs w:val="28"/>
          <w:highlight w:val="none"/>
        </w:rPr>
        <w:t xml:space="preserve">（二）其他证明文件</w:t>
      </w:r>
      <w:r/>
    </w:p>
    <w:p>
      <w:pPr>
        <w:ind w:left="480"/>
        <w:spacing w:line="500" w:lineRule="exact"/>
        <w:rPr>
          <w:rFonts w:hint="eastAsia" w:ascii="宋体" w:hAnsi="宋体"/>
          <w:sz w:val="24"/>
          <w:szCs w:val="24"/>
          <w:highlight w:val="none"/>
        </w:rPr>
      </w:pPr>
      <w:r>
        <w:rPr>
          <w:rFonts w:hint="eastAsia" w:ascii="宋体" w:hAnsi="宋体"/>
          <w:sz w:val="24"/>
          <w:szCs w:val="24"/>
          <w:highlight w:val="none"/>
        </w:rPr>
        <w:t xml:space="preserve">1.《评标方法与评标标准》中涉及的证明文件。</w:t>
      </w:r>
      <w:r/>
    </w:p>
    <w:p>
      <w:pPr>
        <w:ind w:left="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rPr>
          <w:rFonts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 xml:space="preserve">第二部分  投标文件格式</w:t>
      </w:r>
      <w:r/>
    </w:p>
    <w:p>
      <w:pPr>
        <w:pStyle w:val="1190"/>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投  标  文  件</w:t>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ind w:firstLine="900"/>
        <w:rPr>
          <w:rFonts w:hint="eastAsia" w:ascii="黑体" w:hAnsi="华文中宋" w:eastAsia="黑体"/>
          <w:bCs/>
          <w:sz w:val="30"/>
          <w:szCs w:val="30"/>
          <w:highlight w:val="none"/>
          <w:lang w:eastAsia="zh-CN"/>
        </w:rPr>
      </w:pPr>
      <w:r>
        <w:rPr>
          <w:rFonts w:hint="eastAsia" w:ascii="黑体" w:hAnsi="华文中宋" w:eastAsia="黑体"/>
          <w:bCs/>
          <w:sz w:val="30"/>
          <w:szCs w:val="30"/>
          <w:highlight w:val="none"/>
        </w:rPr>
        <w:t xml:space="preserve">项目编号：</w:t>
      </w:r>
      <w:r>
        <w:rPr>
          <w:rFonts w:hint="eastAsia" w:ascii="黑体" w:hAnsi="华文中宋" w:eastAsia="黑体"/>
          <w:bCs/>
          <w:sz w:val="30"/>
          <w:szCs w:val="30"/>
          <w:highlight w:val="none"/>
          <w:lang w:eastAsia="zh-CN"/>
        </w:rPr>
        <w:t xml:space="preserve">JSZC-320200-JSBM-G2026-0001</w:t>
      </w:r>
      <w:r/>
    </w:p>
    <w:p>
      <w:pPr>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项目名称：艺体楼及心理室设施设备更换项目</w:t>
      </w:r>
      <w:r/>
    </w:p>
    <w:p>
      <w:pPr>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投 标 人：</w:t>
      </w:r>
      <w:r/>
    </w:p>
    <w:p>
      <w:pPr>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日    期：</w:t>
      </w:r>
      <w:r/>
    </w:p>
    <w:p>
      <w:pPr>
        <w:spacing w:line="440" w:lineRule="exact"/>
        <w:rPr>
          <w:rFonts w:ascii="Arial" w:hAnsi="Arial"/>
          <w:b/>
          <w:sz w:val="28"/>
          <w:szCs w:val="28"/>
          <w:highlight w:val="none"/>
        </w:rPr>
      </w:pPr>
      <w:r>
        <w:rPr>
          <w:rFonts w:ascii="黑体" w:hAnsi="华文中宋" w:eastAsia="黑体"/>
          <w:bCs/>
          <w:sz w:val="30"/>
          <w:szCs w:val="30"/>
          <w:highlight w:val="none"/>
        </w:rPr>
        <w:br w:type="page" w:clear="all"/>
      </w:r>
      <w:r>
        <w:rPr>
          <w:rFonts w:hint="eastAsia" w:ascii="宋体" w:hAnsi="宋体" w:cs="宋体"/>
          <w:b/>
          <w:sz w:val="28"/>
          <w:szCs w:val="28"/>
          <w:highlight w:val="none"/>
        </w:rPr>
        <w:t xml:space="preserve">二、授权委托书（给定格式）：</w:t>
      </w:r>
      <w:r/>
    </w:p>
    <w:p>
      <w:pPr>
        <w:jc w:val="center"/>
        <w:spacing w:line="360" w:lineRule="auto"/>
        <w:rPr>
          <w:rFonts w:hint="eastAsia" w:ascii="宋体" w:hAnsi="宋体"/>
          <w:sz w:val="24"/>
          <w:highlight w:val="none"/>
          <w:shd w:val="clear" w:color="ffffff" w:fill="d9d9d9"/>
        </w:rPr>
        <w:outlineLvl w:val="0"/>
      </w:pPr>
      <w:r>
        <w:rPr>
          <w:rFonts w:hint="eastAsia" w:ascii="黑体" w:eastAsia="黑体"/>
          <w:bCs/>
          <w:sz w:val="28"/>
          <w:szCs w:val="28"/>
          <w:highlight w:val="none"/>
        </w:rPr>
        <w:t xml:space="preserve">授权委托书</w:t>
      </w:r>
      <w:r/>
    </w:p>
    <w:p>
      <w:pPr>
        <w:pStyle w:val="1188"/>
        <w:ind w:firstLine="480"/>
        <w:spacing w:line="360" w:lineRule="auto"/>
        <w:rPr>
          <w:sz w:val="24"/>
          <w:szCs w:val="24"/>
          <w:highlight w:val="none"/>
        </w:rPr>
      </w:pPr>
      <w:r>
        <w:rPr>
          <w:rFonts w:hint="eastAsia"/>
          <w:sz w:val="24"/>
          <w:szCs w:val="24"/>
          <w:highlight w:val="none"/>
        </w:rPr>
        <w:t xml:space="preserve">我公司（单位）针对</w:t>
      </w:r>
      <w:r>
        <w:rPr>
          <w:rFonts w:hint="eastAsia" w:ascii="宋体" w:hAnsi="宋体"/>
          <w:bCs/>
          <w:sz w:val="24"/>
          <w:szCs w:val="24"/>
          <w:highlight w:val="none"/>
          <w:lang w:eastAsia="zh-CN"/>
        </w:rPr>
        <w:t xml:space="preserve">JSZC-320200-JSBM-G2026-0001</w:t>
      </w:r>
      <w:r>
        <w:rPr>
          <w:rFonts w:hint="eastAsia" w:ascii="宋体" w:hAnsi="宋体"/>
          <w:bCs/>
          <w:sz w:val="24"/>
          <w:szCs w:val="24"/>
          <w:highlight w:val="none"/>
        </w:rPr>
        <w:t xml:space="preserve">项目，兹授权：</w:t>
      </w:r>
      <w:r/>
    </w:p>
    <w:p>
      <w:pPr>
        <w:pStyle w:val="1188"/>
        <w:ind w:firstLine="480"/>
        <w:spacing w:line="360" w:lineRule="auto"/>
        <w:rPr>
          <w:sz w:val="24"/>
          <w:szCs w:val="24"/>
          <w:highlight w:val="none"/>
        </w:rPr>
      </w:pPr>
      <w:r>
        <w:rPr>
          <w:rFonts w:hint="eastAsia"/>
          <w:sz w:val="24"/>
          <w:szCs w:val="24"/>
          <w:highlight w:val="none"/>
        </w:rPr>
        <w:t xml:space="preserve">被授权人的姓名：</w:t>
      </w:r>
      <w:r>
        <w:rPr>
          <w:rFonts w:hint="eastAsia"/>
          <w:sz w:val="24"/>
          <w:szCs w:val="24"/>
          <w:highlight w:val="none"/>
          <w:u w:val="single"/>
        </w:rPr>
        <w:t xml:space="preserve">      </w:t>
      </w:r>
      <w:r>
        <w:rPr>
          <w:rFonts w:hint="eastAsia"/>
          <w:sz w:val="24"/>
          <w:szCs w:val="24"/>
          <w:highlight w:val="none"/>
        </w:rPr>
        <w:t xml:space="preserve">；性别：</w:t>
      </w:r>
      <w:r>
        <w:rPr>
          <w:rFonts w:hint="eastAsia"/>
          <w:sz w:val="24"/>
          <w:szCs w:val="24"/>
          <w:highlight w:val="none"/>
          <w:u w:val="single"/>
        </w:rPr>
        <w:t xml:space="preserve">    </w:t>
      </w:r>
      <w:r>
        <w:rPr>
          <w:rFonts w:hint="eastAsia"/>
          <w:sz w:val="24"/>
          <w:szCs w:val="24"/>
          <w:highlight w:val="none"/>
        </w:rPr>
        <w:t xml:space="preserve">；年龄：</w:t>
      </w:r>
      <w:r>
        <w:rPr>
          <w:rFonts w:hint="eastAsia"/>
          <w:sz w:val="24"/>
          <w:szCs w:val="24"/>
          <w:highlight w:val="none"/>
          <w:u w:val="single"/>
        </w:rPr>
        <w:t xml:space="preserve">    </w:t>
      </w:r>
      <w:r>
        <w:rPr>
          <w:rFonts w:hint="eastAsia"/>
          <w:sz w:val="24"/>
          <w:szCs w:val="24"/>
          <w:highlight w:val="none"/>
        </w:rPr>
        <w:t xml:space="preserve">；职务：</w:t>
      </w:r>
      <w:r>
        <w:rPr>
          <w:rFonts w:hint="eastAsia"/>
          <w:sz w:val="24"/>
          <w:szCs w:val="24"/>
          <w:highlight w:val="none"/>
          <w:u w:val="single"/>
        </w:rPr>
        <w:t xml:space="preserve">      </w:t>
      </w:r>
      <w:r>
        <w:rPr>
          <w:rFonts w:hint="eastAsia"/>
          <w:sz w:val="24"/>
          <w:szCs w:val="24"/>
          <w:highlight w:val="none"/>
        </w:rPr>
        <w:t xml:space="preserve">；</w:t>
      </w:r>
      <w:r/>
    </w:p>
    <w:p>
      <w:pPr>
        <w:pStyle w:val="1188"/>
        <w:ind w:firstLine="480"/>
        <w:spacing w:line="360" w:lineRule="auto"/>
        <w:rPr>
          <w:sz w:val="24"/>
          <w:szCs w:val="24"/>
          <w:highlight w:val="none"/>
        </w:rPr>
      </w:pPr>
      <w:r>
        <w:rPr>
          <w:rFonts w:hint="eastAsia"/>
          <w:sz w:val="24"/>
          <w:szCs w:val="24"/>
          <w:highlight w:val="none"/>
        </w:rPr>
        <w:t xml:space="preserve">被授权人的身份证号码：</w:t>
      </w:r>
      <w:r>
        <w:rPr>
          <w:rFonts w:hint="eastAsia"/>
          <w:sz w:val="24"/>
          <w:szCs w:val="24"/>
          <w:highlight w:val="none"/>
          <w:u w:val="single"/>
        </w:rPr>
        <w:t xml:space="preserve">                  </w:t>
      </w:r>
      <w:r>
        <w:rPr>
          <w:rFonts w:hint="eastAsia"/>
          <w:sz w:val="24"/>
          <w:szCs w:val="24"/>
          <w:highlight w:val="none"/>
        </w:rPr>
        <w:t xml:space="preserve">；联系方式：</w:t>
      </w:r>
      <w:r>
        <w:rPr>
          <w:rFonts w:hint="eastAsia"/>
          <w:sz w:val="24"/>
          <w:szCs w:val="24"/>
          <w:highlight w:val="none"/>
          <w:u w:val="single"/>
        </w:rPr>
        <w:t xml:space="preserve">          </w:t>
      </w:r>
      <w:r>
        <w:rPr>
          <w:rFonts w:hint="eastAsia"/>
          <w:sz w:val="24"/>
          <w:szCs w:val="24"/>
          <w:highlight w:val="none"/>
        </w:rPr>
        <w:t xml:space="preserve">；</w:t>
      </w:r>
      <w:r/>
    </w:p>
    <w:p>
      <w:pPr>
        <w:pStyle w:val="1188"/>
        <w:ind w:firstLine="480"/>
        <w:spacing w:line="360" w:lineRule="auto"/>
        <w:rPr>
          <w:sz w:val="24"/>
          <w:szCs w:val="24"/>
          <w:highlight w:val="none"/>
        </w:rPr>
      </w:pPr>
      <w:r>
        <w:rPr>
          <w:rFonts w:hint="eastAsia"/>
          <w:sz w:val="24"/>
          <w:szCs w:val="24"/>
          <w:highlight w:val="none"/>
        </w:rPr>
        <w:t xml:space="preserve">为我方合法代理人，以本单位名义全权处理</w:t>
      </w:r>
      <w:r>
        <w:rPr>
          <w:rFonts w:hint="eastAsia" w:ascii="宋体" w:hAnsi="宋体"/>
          <w:bCs/>
          <w:sz w:val="24"/>
          <w:szCs w:val="24"/>
          <w:highlight w:val="none"/>
        </w:rPr>
        <w:t xml:space="preserve">针对本次项目的投标、参与开标、评标、签约等具体工作，并签署全部有关的文件、协议及合同以及其他</w:t>
      </w:r>
      <w:r>
        <w:rPr>
          <w:rFonts w:hint="eastAsia"/>
          <w:sz w:val="24"/>
          <w:szCs w:val="24"/>
          <w:highlight w:val="none"/>
        </w:rPr>
        <w:t xml:space="preserve">一切与该项目采购有关的事务。</w:t>
      </w:r>
      <w:r/>
    </w:p>
    <w:p>
      <w:pPr>
        <w:pStyle w:val="1188"/>
        <w:ind w:firstLine="480"/>
        <w:spacing w:line="360" w:lineRule="auto"/>
        <w:rPr>
          <w:rFonts w:hint="eastAsia" w:ascii="宋体" w:hAnsi="宋体"/>
          <w:bCs/>
          <w:sz w:val="24"/>
          <w:szCs w:val="24"/>
          <w:highlight w:val="none"/>
        </w:rPr>
      </w:pPr>
      <w:r>
        <w:rPr>
          <w:rFonts w:hint="eastAsia"/>
          <w:sz w:val="24"/>
          <w:szCs w:val="24"/>
          <w:highlight w:val="none"/>
        </w:rPr>
        <w:t xml:space="preserve">本授权委托书自授权之日起生效，</w:t>
      </w:r>
      <w:r>
        <w:rPr>
          <w:rFonts w:hint="eastAsia" w:ascii="宋体" w:hAnsi="宋体"/>
          <w:bCs/>
          <w:sz w:val="24"/>
          <w:szCs w:val="24"/>
          <w:highlight w:val="none"/>
        </w:rPr>
        <w:t xml:space="preserve">在撤销授权的书面通知送达你处以前，本授权书一直有效，被授权人签署的所有文件（在</w:t>
      </w:r>
      <w:r>
        <w:rPr>
          <w:rFonts w:hint="eastAsia"/>
          <w:sz w:val="24"/>
          <w:szCs w:val="24"/>
          <w:highlight w:val="none"/>
        </w:rPr>
        <w:t xml:space="preserve">授权委托</w:t>
      </w:r>
      <w:r>
        <w:rPr>
          <w:rFonts w:hint="eastAsia" w:ascii="宋体" w:hAnsi="宋体"/>
          <w:bCs/>
          <w:sz w:val="24"/>
          <w:szCs w:val="24"/>
          <w:highlight w:val="none"/>
        </w:rPr>
        <w:t xml:space="preserve">书有效期内签署的）不因授权的撤销而失效。</w:t>
      </w:r>
      <w:r/>
    </w:p>
    <w:p>
      <w:pPr>
        <w:pStyle w:val="1188"/>
        <w:ind w:firstLine="480"/>
        <w:spacing w:line="360" w:lineRule="auto"/>
        <w:rPr>
          <w:sz w:val="24"/>
          <w:szCs w:val="24"/>
          <w:highlight w:val="none"/>
        </w:rPr>
      </w:pPr>
      <w:r>
        <w:rPr>
          <w:rFonts w:hint="eastAsia"/>
          <w:sz w:val="24"/>
          <w:szCs w:val="24"/>
          <w:highlight w:val="none"/>
        </w:rPr>
        <w:t xml:space="preserve">特此授权委托。</w:t>
      </w:r>
      <w:r/>
    </w:p>
    <w:p>
      <w:pPr>
        <w:pStyle w:val="1188"/>
        <w:ind w:firstLine="0"/>
        <w:rPr>
          <w:sz w:val="24"/>
          <w:szCs w:val="24"/>
          <w:highlight w:val="none"/>
        </w:rPr>
      </w:pPr>
      <w:r>
        <w:rPr>
          <w:sz w:val="24"/>
          <w:szCs w:val="24"/>
          <w:highlight w:val="none"/>
        </w:rPr>
      </w:r>
      <w:r/>
    </w:p>
    <w:p>
      <w:pPr>
        <w:pStyle w:val="1188"/>
        <w:ind w:firstLine="0"/>
        <w:rPr>
          <w:sz w:val="24"/>
          <w:szCs w:val="24"/>
          <w:highlight w:val="none"/>
        </w:rPr>
      </w:pPr>
      <w:r>
        <w:rPr>
          <w:sz w:val="24"/>
          <w:szCs w:val="24"/>
          <w:highlight w:val="none"/>
        </w:rPr>
      </w:r>
      <w:r/>
    </w:p>
    <w:p>
      <w:pPr>
        <w:pStyle w:val="1188"/>
        <w:ind w:firstLine="0"/>
        <w:rPr>
          <w:sz w:val="24"/>
          <w:szCs w:val="24"/>
          <w:highlight w:val="none"/>
        </w:rPr>
      </w:pPr>
      <w:r>
        <w:rPr>
          <w:sz w:val="24"/>
          <w:szCs w:val="24"/>
          <w:highlight w:val="none"/>
        </w:rPr>
      </w:r>
      <w:r/>
    </w:p>
    <w:p>
      <w:pPr>
        <w:pStyle w:val="1188"/>
        <w:ind w:firstLine="0"/>
        <w:rPr>
          <w:sz w:val="24"/>
          <w:szCs w:val="24"/>
          <w:highlight w:val="none"/>
          <w:u w:val="single"/>
        </w:rPr>
      </w:pPr>
      <w:r>
        <w:rPr>
          <w:rFonts w:hint="eastAsia"/>
          <w:sz w:val="24"/>
          <w:szCs w:val="24"/>
          <w:highlight w:val="none"/>
        </w:rPr>
        <w:t xml:space="preserve">授权日期：</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               投标人名称</w:t>
      </w:r>
      <w:r>
        <w:rPr>
          <w:rFonts w:hint="eastAsia" w:ascii="宋体" w:hAnsi="宋体"/>
          <w:bCs/>
          <w:sz w:val="24"/>
          <w:szCs w:val="24"/>
          <w:highlight w:val="none"/>
        </w:rPr>
        <w:t xml:space="preserve">（盖章）</w:t>
      </w:r>
      <w:r>
        <w:rPr>
          <w:rFonts w:hint="eastAsia"/>
          <w:sz w:val="24"/>
          <w:szCs w:val="24"/>
          <w:highlight w:val="none"/>
        </w:rPr>
        <w:t xml:space="preserve">：</w:t>
      </w:r>
      <w:r/>
    </w:p>
    <w:p>
      <w:pPr>
        <w:pStyle w:val="1188"/>
        <w:ind w:firstLine="0"/>
        <w:rPr>
          <w:sz w:val="24"/>
          <w:szCs w:val="24"/>
          <w:highlight w:val="none"/>
        </w:rPr>
      </w:pPr>
      <w:r>
        <w:rPr>
          <w:rFonts w:hint="eastAsia"/>
          <w:sz w:val="24"/>
          <w:szCs w:val="24"/>
          <w:highlight w:val="none"/>
        </w:rPr>
        <w:t xml:space="preserve">法定代表人签字或盖章：</w:t>
      </w:r>
      <w:r>
        <w:rPr>
          <w:rFonts w:hint="eastAsia"/>
          <w:sz w:val="24"/>
          <w:szCs w:val="24"/>
          <w:highlight w:val="none"/>
          <w:u w:val="single"/>
        </w:rPr>
        <w:t xml:space="preserve">        </w:t>
      </w:r>
      <w:r>
        <w:rPr>
          <w:rFonts w:hint="eastAsia"/>
          <w:sz w:val="24"/>
          <w:szCs w:val="24"/>
          <w:highlight w:val="none"/>
        </w:rPr>
        <w:t xml:space="preserve">             被授权人签字或盖章：</w:t>
      </w:r>
      <w:r>
        <w:rPr>
          <w:rFonts w:hint="eastAsia"/>
          <w:sz w:val="24"/>
          <w:szCs w:val="24"/>
          <w:highlight w:val="none"/>
          <w:u w:val="single"/>
        </w:rPr>
        <w:t xml:space="preserve">        </w:t>
      </w:r>
      <w:r/>
    </w:p>
    <w:p>
      <w:pPr>
        <w:pStyle w:val="1188"/>
        <w:ind w:firstLine="0"/>
        <w:rPr>
          <w:sz w:val="24"/>
          <w:szCs w:val="24"/>
          <w:highlight w:val="none"/>
        </w:rPr>
      </w:pPr>
      <w:r>
        <w:rPr>
          <w:rFonts w:hint="eastAsia" w:ascii="宋体" w:hAnsi="宋体" w:cs="宋体"/>
          <w:b/>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188"/>
        <w:ind w:firstLine="0"/>
        <w:rPr>
          <w:sz w:val="24"/>
          <w:szCs w:val="24"/>
          <w:highlight w:val="none"/>
        </w:rPr>
      </w:pPr>
      <w:r>
        <w:rPr>
          <w:sz w:val="24"/>
          <w:szCs w:val="24"/>
          <w:highlight w:val="none"/>
        </w:rPr>
      </w:r>
      <w:r/>
    </w:p>
    <w:p>
      <w:pPr>
        <w:pStyle w:val="1188"/>
        <w:ind w:firstLine="0"/>
        <w:rPr>
          <w:sz w:val="24"/>
          <w:szCs w:val="24"/>
          <w:highlight w:val="none"/>
        </w:rPr>
      </w:pPr>
      <w:r>
        <w:rPr>
          <w:sz w:val="24"/>
          <w:szCs w:val="24"/>
          <w:highlight w:val="none"/>
        </w:rPr>
      </w:r>
      <w:r/>
    </w:p>
    <w:p>
      <w:pPr>
        <w:pStyle w:val="1188"/>
        <w:ind w:firstLine="0"/>
        <w:spacing w:line="360" w:lineRule="auto"/>
        <w:rPr>
          <w:sz w:val="21"/>
          <w:szCs w:val="21"/>
          <w:highlight w:val="none"/>
        </w:rPr>
      </w:pPr>
      <w:r>
        <w:rPr>
          <w:rFonts w:hint="eastAsia"/>
          <w:sz w:val="21"/>
          <w:szCs w:val="21"/>
          <w:highlight w:val="none"/>
        </w:rPr>
        <w:t xml:space="preserve">说明：</w:t>
      </w:r>
      <w:r/>
    </w:p>
    <w:p>
      <w:pPr>
        <w:pStyle w:val="1188"/>
        <w:numPr>
          <w:ilvl w:val="0"/>
          <w:numId w:val="22"/>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1188"/>
        <w:numPr>
          <w:ilvl w:val="0"/>
          <w:numId w:val="22"/>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188"/>
        <w:numPr>
          <w:ilvl w:val="0"/>
          <w:numId w:val="22"/>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1188"/>
        <w:numPr>
          <w:ilvl w:val="0"/>
          <w:numId w:val="22"/>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88"/>
        <w:ind w:firstLine="0"/>
        <w:rPr>
          <w:rFonts w:hint="eastAsia" w:ascii="宋体" w:hAnsi="宋体" w:cs="宋体"/>
          <w:b/>
          <w:szCs w:val="28"/>
          <w:highlight w:val="none"/>
        </w:rPr>
      </w:pPr>
      <w:r>
        <w:rPr>
          <w:rFonts w:hint="eastAsia" w:ascii="宋体" w:hAnsi="宋体"/>
          <w:bCs/>
          <w:sz w:val="24"/>
          <w:szCs w:val="24"/>
          <w:highlight w:val="none"/>
        </w:rPr>
        <w:br w:type="page" w:clear="all"/>
      </w:r>
      <w:r>
        <w:rPr>
          <w:rFonts w:hint="eastAsia" w:ascii="宋体" w:hAnsi="宋体" w:cs="宋体"/>
          <w:b/>
          <w:szCs w:val="28"/>
          <w:highlight w:val="none"/>
        </w:rPr>
        <w:t xml:space="preserve">三、资格声明函（给定格式）：</w:t>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资格声明函</w:t>
      </w:r>
      <w:r/>
    </w:p>
    <w:p>
      <w:pPr>
        <w:jc w:val="cente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rPr>
        <w:t xml:space="preserve">江苏比木工程项目管理有限公司：</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我公司（单位、联合体）针对本次项目</w:t>
      </w:r>
      <w:r>
        <w:rPr>
          <w:rFonts w:hint="eastAsia" w:ascii="宋体" w:hAnsi="宋体"/>
          <w:bCs/>
          <w:sz w:val="24"/>
          <w:szCs w:val="24"/>
          <w:highlight w:val="none"/>
          <w:lang w:eastAsia="zh-CN"/>
        </w:rPr>
        <w:t xml:space="preserve">JSZC-320200-JSBM-G2026-0001</w:t>
      </w:r>
      <w:r>
        <w:rPr>
          <w:rFonts w:hint="eastAsia" w:ascii="宋体" w:hAnsi="宋体"/>
          <w:bCs/>
          <w:sz w:val="24"/>
          <w:szCs w:val="24"/>
          <w:highlight w:val="none"/>
        </w:rPr>
        <w:t xml:space="preserve">进行投标，并作如下声明</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rPr>
        <w:t xml:space="preserve">投标人名称（盖章）：</w:t>
      </w:r>
      <w:r/>
    </w:p>
    <w:p>
      <w:pPr>
        <w:spacing w:line="360" w:lineRule="auto"/>
        <w:rPr>
          <w:rFonts w:hint="eastAsia" w:ascii="宋体" w:hAnsi="宋体" w:cs="宋体"/>
          <w:b/>
          <w:sz w:val="28"/>
          <w:szCs w:val="28"/>
          <w:highlight w:val="none"/>
        </w:rPr>
      </w:pPr>
      <w:r>
        <w:rPr>
          <w:rFonts w:ascii="宋体"/>
          <w:bCs/>
          <w:sz w:val="24"/>
          <w:szCs w:val="24"/>
          <w:highlight w:val="none"/>
        </w:rPr>
        <w:br w:type="page" w:clear="all"/>
      </w:r>
      <w:r>
        <w:rPr>
          <w:rFonts w:hint="eastAsia" w:ascii="宋体" w:hAnsi="宋体" w:cs="宋体"/>
          <w:b/>
          <w:sz w:val="28"/>
          <w:szCs w:val="28"/>
          <w:highlight w:val="none"/>
        </w:rPr>
        <w:t xml:space="preserve">四、中小企业声明函（给定格式）： </w:t>
      </w:r>
      <w:r/>
    </w:p>
    <w:p>
      <w:pPr>
        <w:ind w:firstLine="560"/>
        <w:jc w:val="center"/>
        <w:spacing w:line="360" w:lineRule="auto"/>
        <w:rPr>
          <w:rFonts w:ascii="黑体" w:eastAsia="黑体"/>
          <w:bCs/>
          <w:sz w:val="28"/>
          <w:szCs w:val="28"/>
          <w:highlight w:val="none"/>
        </w:rPr>
      </w:pPr>
      <w:r>
        <w:rPr>
          <w:rFonts w:ascii="黑体" w:eastAsia="黑体"/>
          <w:bCs/>
          <w:sz w:val="28"/>
          <w:szCs w:val="28"/>
          <w:highlight w:val="none"/>
        </w:rPr>
        <w:t xml:space="preserve">中小企业声明函（货物）</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sz w:val="28"/>
          <w:szCs w:val="28"/>
          <w:highlight w:val="none"/>
        </w:rPr>
      </w:pPr>
      <w:r>
        <w:rPr>
          <w:rFonts w:hint="eastAsia"/>
          <w:highlight w:val="none"/>
        </w:rPr>
        <w:br w:type="page" w:clear="all"/>
      </w: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hint="eastAsia" w:asciiTheme="minorEastAsia" w:hAnsiTheme="minorEastAsia" w:cstheme="minorEastAsia"/>
          <w:b/>
          <w:color w:val="000000"/>
          <w:sz w:val="28"/>
          <w:szCs w:val="28"/>
          <w:highlight w:val="none"/>
        </w:rPr>
      </w:pPr>
      <w:r>
        <w:rPr>
          <w:rFonts w:ascii="宋体" w:hAnsi="宋体"/>
          <w:bCs/>
          <w:sz w:val="24"/>
          <w:szCs w:val="24"/>
          <w:highlight w:val="none"/>
        </w:rPr>
        <w:br w:type="page" w:clear="all"/>
      </w:r>
      <w:r>
        <w:rPr>
          <w:rFonts w:hint="eastAsia" w:asciiTheme="minorEastAsia" w:hAnsiTheme="minorEastAsia" w:eastAsiaTheme="minorEastAsia" w:cstheme="minorEastAsia"/>
          <w:b/>
          <w:color w:val="000000"/>
          <w:sz w:val="28"/>
          <w:szCs w:val="28"/>
          <w:highlight w:val="none"/>
        </w:rPr>
        <w:t xml:space="preserve">六、关于符合本国产品标准的声明函</w:t>
      </w:r>
      <w:r>
        <w:rPr>
          <w:rFonts w:hint="eastAsia" w:ascii="宋体" w:hAnsi="宋体" w:cs="宋体"/>
          <w:b/>
          <w:sz w:val="28"/>
          <w:szCs w:val="28"/>
          <w:highlight w:val="none"/>
        </w:rPr>
        <w:t xml:space="preserve">（给定格式）：</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b/>
          <w:sz w:val="28"/>
          <w:szCs w:val="28"/>
          <w:highlight w:val="none"/>
        </w:rPr>
      </w:pPr>
      <w:r>
        <w:rPr>
          <w:b/>
          <w:sz w:val="28"/>
          <w:szCs w:val="28"/>
          <w:highlight w:val="none"/>
        </w:rPr>
      </w:r>
      <w:r/>
    </w:p>
    <w:p>
      <w:pPr>
        <w:rPr>
          <w:b/>
          <w:sz w:val="28"/>
          <w:szCs w:val="28"/>
          <w:highlight w:val="none"/>
        </w:rPr>
      </w:pPr>
      <w:r>
        <w:rPr>
          <w:rFonts w:hint="eastAsia"/>
          <w:b/>
          <w:sz w:val="28"/>
          <w:szCs w:val="28"/>
          <w:highlight w:val="none"/>
        </w:rPr>
        <w:br w:type="page" w:clear="all"/>
      </w:r>
      <w:r/>
    </w:p>
    <w:p>
      <w:pPr>
        <w:spacing w:line="360" w:lineRule="auto"/>
        <w:rPr>
          <w:b/>
          <w:sz w:val="28"/>
          <w:szCs w:val="28"/>
          <w:highlight w:val="none"/>
        </w:rPr>
      </w:pPr>
      <w:r>
        <w:rPr>
          <w:rFonts w:hint="eastAsia"/>
          <w:b/>
          <w:sz w:val="28"/>
          <w:szCs w:val="28"/>
          <w:highlight w:val="none"/>
        </w:rPr>
        <w:t xml:space="preserve">七</w:t>
      </w:r>
      <w:r>
        <w:rPr>
          <w:b/>
          <w:sz w:val="28"/>
          <w:szCs w:val="28"/>
          <w:highlight w:val="none"/>
        </w:rPr>
        <w:t xml:space="preserve">、投标函</w:t>
      </w:r>
      <w:r>
        <w:rPr>
          <w:rFonts w:hint="eastAsia"/>
          <w:b/>
          <w:sz w:val="28"/>
          <w:szCs w:val="28"/>
          <w:highlight w:val="none"/>
        </w:rPr>
        <w:t xml:space="preserve">（给定格式）：</w:t>
      </w:r>
      <w:r/>
    </w:p>
    <w:p>
      <w:pPr>
        <w:jc w:val="center"/>
        <w:spacing w:line="400" w:lineRule="exact"/>
        <w:rPr>
          <w:rFonts w:ascii="宋体"/>
          <w:bCs/>
          <w:sz w:val="24"/>
          <w:szCs w:val="24"/>
          <w:highlight w:val="none"/>
        </w:rPr>
      </w:pPr>
      <w:r>
        <w:rPr>
          <w:rFonts w:hint="eastAsia" w:ascii="黑体" w:eastAsia="黑体"/>
          <w:bCs/>
          <w:sz w:val="28"/>
          <w:szCs w:val="28"/>
          <w:highlight w:val="none"/>
        </w:rPr>
        <w:t xml:space="preserve">投标函</w:t>
      </w:r>
      <w:r/>
    </w:p>
    <w:p>
      <w:pPr>
        <w:spacing w:line="400" w:lineRule="exact"/>
        <w:rPr>
          <w:rFonts w:ascii="宋体"/>
          <w:bCs/>
          <w:sz w:val="24"/>
          <w:szCs w:val="24"/>
          <w:highlight w:val="none"/>
        </w:rPr>
      </w:pPr>
      <w:r>
        <w:rPr>
          <w:rFonts w:hint="eastAsia" w:ascii="宋体" w:hAnsi="宋体"/>
          <w:bCs/>
          <w:sz w:val="24"/>
          <w:szCs w:val="24"/>
          <w:highlight w:val="none"/>
        </w:rPr>
        <w:t xml:space="preserve">致江苏比木工程项目管理有限公司：</w:t>
      </w:r>
      <w:r/>
    </w:p>
    <w:p>
      <w:pPr>
        <w:ind w:firstLine="480"/>
        <w:spacing w:line="400" w:lineRule="exact"/>
        <w:rPr>
          <w:rFonts w:ascii="宋体"/>
          <w:bCs/>
          <w:sz w:val="24"/>
          <w:szCs w:val="24"/>
          <w:highlight w:val="none"/>
        </w:rPr>
      </w:pPr>
      <w:r>
        <w:rPr>
          <w:rFonts w:ascii="宋体"/>
          <w:bCs/>
          <w:sz w:val="24"/>
          <w:szCs w:val="24"/>
          <w:highlight w:val="none"/>
        </w:rPr>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我方收到贵方</w:t>
      </w:r>
      <w:r>
        <w:rPr>
          <w:rFonts w:hint="eastAsia" w:ascii="宋体" w:hAnsi="宋体"/>
          <w:bCs/>
          <w:sz w:val="24"/>
          <w:szCs w:val="24"/>
          <w:highlight w:val="none"/>
          <w:lang w:eastAsia="zh-CN"/>
        </w:rPr>
        <w:t xml:space="preserve">JSZC-320200-JSBM-G2026-0001</w:t>
      </w:r>
      <w:r>
        <w:rPr>
          <w:rFonts w:hint="eastAsia" w:ascii="宋体" w:hAnsi="宋体"/>
          <w:bCs/>
          <w:sz w:val="24"/>
          <w:szCs w:val="24"/>
          <w:highlight w:val="none"/>
        </w:rPr>
        <w:t xml:space="preserve">招标文件，经仔细阅读和研究，我方决定参加此项目的投标。</w:t>
      </w:r>
      <w:r/>
    </w:p>
    <w:p>
      <w:pPr>
        <w:numPr>
          <w:ilvl w:val="0"/>
          <w:numId w:val="2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2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178"/>
          <w:rFonts w:hint="eastAsia"/>
          <w:bCs/>
          <w:highlight w:val="none"/>
        </w:rPr>
      </w:pPr>
      <w:r>
        <w:rPr>
          <w:rFonts w:hint="eastAsia" w:ascii="宋体" w:hAnsi="宋体"/>
          <w:bCs/>
          <w:sz w:val="24"/>
          <w:szCs w:val="24"/>
          <w:highlight w:val="none"/>
        </w:rPr>
        <w:t xml:space="preserve">我方愿意提供江苏比木工程项目管理有限公司在招标文件中要求的文件、资料。</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我方同意按照招标文件中的规定，从规定的开标日期起遵循本投标文件，并在规定的投标有效期期满之前均具有约束力。</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2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 ；传真：</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bCs/>
          <w:sz w:val="24"/>
          <w:szCs w:val="24"/>
          <w:highlight w:val="none"/>
          <w:u w:val="single"/>
        </w:rPr>
        <w:t xml:space="preserve">               </w:t>
      </w:r>
      <w:r/>
    </w:p>
    <w:p>
      <w:pPr>
        <w:ind w:firstLine="480"/>
        <w:spacing w:line="400" w:lineRule="exact"/>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bCs/>
          <w:sz w:val="24"/>
          <w:szCs w:val="24"/>
          <w:highlight w:val="none"/>
          <w:u w:val="single"/>
        </w:rPr>
        <w:t xml:space="preserve">                                                        </w:t>
      </w:r>
      <w:r/>
    </w:p>
    <w:p>
      <w:pPr>
        <w:ind w:firstLine="480"/>
        <w:spacing w:line="460" w:lineRule="exact"/>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b/>
          <w:sz w:val="28"/>
          <w:szCs w:val="28"/>
          <w:highlight w:val="none"/>
        </w:rPr>
        <w:t xml:space="preserve"> </w:t>
      </w:r>
      <w:r/>
    </w:p>
    <w:p>
      <w:pPr>
        <w:rPr>
          <w:b/>
          <w:sz w:val="28"/>
          <w:szCs w:val="28"/>
          <w:highlight w:val="none"/>
        </w:rPr>
      </w:pPr>
      <w:r>
        <w:rPr>
          <w:rFonts w:hint="eastAsia"/>
          <w:b/>
          <w:sz w:val="28"/>
          <w:szCs w:val="28"/>
          <w:highlight w:val="none"/>
        </w:rPr>
        <w:br w:type="page" w:clear="all"/>
      </w:r>
      <w:r/>
    </w:p>
    <w:p>
      <w:pPr>
        <w:rPr>
          <w:b/>
          <w:sz w:val="28"/>
          <w:szCs w:val="28"/>
          <w:highlight w:val="none"/>
        </w:rPr>
        <w:outlineLvl w:val="0"/>
      </w:pPr>
      <w:r>
        <w:rPr>
          <w:rFonts w:hint="eastAsia"/>
          <w:b/>
          <w:sz w:val="28"/>
          <w:szCs w:val="28"/>
          <w:highlight w:val="none"/>
        </w:rPr>
        <w:t xml:space="preserve">八、承诺书（给定格式）： </w:t>
      </w:r>
      <w:r/>
    </w:p>
    <w:p>
      <w:pPr>
        <w:ind w:firstLine="602"/>
        <w:rPr>
          <w:b/>
          <w:sz w:val="30"/>
          <w:szCs w:val="30"/>
          <w:highlight w:val="none"/>
        </w:rPr>
        <w:outlineLvl w:val="0"/>
      </w:pPr>
      <w:r>
        <w:rPr>
          <w:b/>
          <w:sz w:val="30"/>
          <w:szCs w:val="30"/>
          <w:highlight w:val="none"/>
        </w:rPr>
      </w:r>
      <w:r/>
    </w:p>
    <w:p>
      <w:pPr>
        <w:jc w:val="center"/>
        <w:spacing w:after="183"/>
        <w:rPr>
          <w:rFonts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（投标人名称）针</w:t>
      </w:r>
      <w:r>
        <w:rPr>
          <w:rFonts w:hint="eastAsia" w:ascii="宋体" w:hAnsi="宋体"/>
          <w:bCs/>
          <w:sz w:val="24"/>
          <w:szCs w:val="24"/>
          <w:highlight w:val="none"/>
        </w:rPr>
        <w:t xml:space="preserve">对本项目</w:t>
      </w:r>
      <w:r>
        <w:rPr>
          <w:rFonts w:hint="eastAsia" w:ascii="宋体" w:hAnsi="宋体"/>
          <w:bCs/>
          <w:sz w:val="24"/>
          <w:szCs w:val="24"/>
          <w:highlight w:val="none"/>
          <w:lang w:eastAsia="zh-CN"/>
        </w:rPr>
        <w:t xml:space="preserve">JSZC-320200-JSBM-G2026-0001</w:t>
      </w:r>
      <w:r>
        <w:rPr>
          <w:rFonts w:hint="eastAsia" w:ascii="宋体" w:hAnsi="宋体"/>
          <w:sz w:val="24"/>
          <w:szCs w:val="24"/>
          <w:highlight w:val="none"/>
        </w:rPr>
        <w:t xml:space="preserve">在此承诺：</w:t>
      </w:r>
      <w:r/>
    </w:p>
    <w:p>
      <w:pPr>
        <w:ind w:firstLine="482"/>
        <w:spacing w:line="36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对本项目所提供的货物均为原厂全新合格产品，提供的服务符合招标文件要求。</w:t>
      </w:r>
      <w:r/>
    </w:p>
    <w:p>
      <w:pPr>
        <w:ind w:firstLine="482"/>
        <w:spacing w:line="360" w:lineRule="auto"/>
        <w:rPr>
          <w:rFonts w:ascii="宋体"/>
          <w:bCs/>
          <w:sz w:val="24"/>
          <w:szCs w:val="24"/>
          <w:highlight w:val="none"/>
        </w:rPr>
      </w:pPr>
      <w:r>
        <w:rPr>
          <w:rFonts w:hint="eastAsia" w:ascii="宋体"/>
          <w:bCs/>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2"/>
        <w:spacing w:line="36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2"/>
        <w:spacing w:line="36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2"/>
        <w:spacing w:line="360" w:lineRule="auto"/>
        <w:rPr>
          <w:rFonts w:hint="eastAsia" w:ascii="宋体" w:hAnsi="宋体" w:cs="宋体"/>
          <w:sz w:val="24"/>
          <w:szCs w:val="24"/>
          <w:highlight w:val="none"/>
        </w:rPr>
      </w:pPr>
      <w:r>
        <w:rPr>
          <w:rFonts w:hint="eastAsia" w:ascii="宋体"/>
          <w:bCs/>
          <w:sz w:val="24"/>
          <w:szCs w:val="24"/>
          <w:highlight w:val="none"/>
        </w:rPr>
        <w:t xml:space="preserve">5.</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ff0000"/>
          <w:sz w:val="24"/>
          <w:szCs w:val="24"/>
          <w:highlight w:val="none"/>
        </w:rPr>
      </w:pPr>
      <w:r>
        <w:rPr>
          <w:rFonts w:ascii="宋体"/>
          <w:bCs/>
          <w:color w:val="ff0000"/>
          <w:sz w:val="24"/>
          <w:szCs w:val="24"/>
          <w:highlight w:val="none"/>
        </w:rPr>
      </w:r>
      <w:r/>
    </w:p>
    <w:p>
      <w:pPr>
        <w:ind w:firstLine="480"/>
        <w:spacing w:line="480" w:lineRule="auto"/>
        <w:rPr>
          <w:rFonts w:ascii="宋体"/>
          <w:bCs/>
          <w:sz w:val="24"/>
          <w:szCs w:val="24"/>
          <w:highlight w:val="none"/>
        </w:rPr>
      </w:pPr>
      <w:r>
        <w:rPr>
          <w:rFonts w:ascii="宋体"/>
          <w:bCs/>
          <w:sz w:val="24"/>
          <w:szCs w:val="24"/>
          <w:highlight w:val="none"/>
        </w:rPr>
      </w:r>
      <w:r/>
    </w:p>
    <w:p>
      <w:pPr>
        <w:ind w:firstLine="480"/>
        <w:spacing w:line="48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p>
    <w:p>
      <w:pPr>
        <w:ind w:firstLine="480"/>
        <w:spacing w:line="480" w:lineRule="auto"/>
        <w:rPr>
          <w:rFonts w:ascii="宋体"/>
          <w:bCs/>
          <w:color w:val="ff0000"/>
          <w:sz w:val="24"/>
          <w:szCs w:val="24"/>
          <w:highlight w:val="none"/>
        </w:rPr>
      </w:pPr>
      <w:r>
        <w:rPr>
          <w:rFonts w:ascii="宋体"/>
          <w:bCs/>
          <w:color w:val="ff0000"/>
          <w:sz w:val="24"/>
          <w:szCs w:val="24"/>
          <w:highlight w:val="none"/>
        </w:rPr>
      </w:r>
      <w:r/>
    </w:p>
    <w:p>
      <w:pPr>
        <w:ind w:firstLine="480"/>
        <w:spacing w:line="480" w:lineRule="auto"/>
        <w:rPr>
          <w:rFonts w:hint="eastAsia" w:ascii="宋体" w:hAnsi="宋体"/>
          <w:sz w:val="24"/>
          <w:szCs w:val="20"/>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将承担一切法律责任。</w:t>
      </w:r>
      <w:r/>
    </w:p>
    <w:p>
      <w:pPr>
        <w:spacing w:line="480" w:lineRule="auto"/>
        <w:rPr>
          <w:rFonts w:hint="eastAsia" w:ascii="宋体" w:hAnsi="宋体"/>
          <w:bCs/>
          <w:sz w:val="24"/>
          <w:szCs w:val="24"/>
          <w:highlight w:val="none"/>
        </w:rPr>
      </w:pPr>
      <w:r>
        <w:rPr>
          <w:rFonts w:hint="eastAsia" w:ascii="宋体" w:hAnsi="宋体"/>
          <w:bCs/>
          <w:sz w:val="24"/>
          <w:szCs w:val="24"/>
          <w:highlight w:val="none"/>
        </w:rPr>
      </w:r>
      <w:r/>
    </w:p>
    <w:p>
      <w:pPr>
        <w:ind w:firstLine="3720"/>
        <w:spacing w:line="480" w:lineRule="auto"/>
        <w:rPr>
          <w:rFonts w:hint="eastAsia" w:ascii="宋体" w:hAnsi="宋体"/>
          <w:bCs/>
          <w:sz w:val="24"/>
          <w:szCs w:val="24"/>
          <w:highlight w:val="none"/>
        </w:rPr>
      </w:pPr>
      <w:r>
        <w:rPr>
          <w:rFonts w:hint="eastAsia" w:ascii="宋体" w:hAnsi="宋体"/>
          <w:sz w:val="24"/>
          <w:szCs w:val="24"/>
          <w:highlight w:val="none"/>
        </w:rPr>
        <w:t xml:space="preserve">投标人名称</w:t>
      </w:r>
      <w:r>
        <w:rPr>
          <w:rFonts w:hint="eastAsia" w:ascii="宋体" w:hAnsi="宋体"/>
          <w:bCs/>
          <w:sz w:val="24"/>
          <w:szCs w:val="24"/>
          <w:highlight w:val="none"/>
        </w:rPr>
        <w:t xml:space="preserve">（盖章）：</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r>
      <w:r/>
    </w:p>
    <w:p>
      <w:pPr>
        <w:rPr>
          <w:b/>
          <w:sz w:val="28"/>
          <w:szCs w:val="28"/>
          <w:highlight w:val="none"/>
        </w:rPr>
      </w:pPr>
      <w:r>
        <w:rPr>
          <w:rFonts w:hint="eastAsia"/>
          <w:b/>
          <w:sz w:val="28"/>
          <w:szCs w:val="28"/>
          <w:highlight w:val="none"/>
        </w:rPr>
        <w:br w:type="page" w:clear="all"/>
      </w:r>
      <w:r/>
    </w:p>
    <w:p>
      <w:pPr>
        <w:spacing w:line="360" w:lineRule="auto"/>
        <w:rPr>
          <w:b/>
          <w:sz w:val="28"/>
          <w:szCs w:val="28"/>
          <w:highlight w:val="none"/>
        </w:rPr>
      </w:pPr>
      <w:r>
        <w:rPr>
          <w:rFonts w:hint="eastAsia"/>
          <w:b/>
          <w:sz w:val="28"/>
          <w:szCs w:val="28"/>
          <w:highlight w:val="none"/>
        </w:rPr>
        <w:t xml:space="preserve">八、开标一览表（给定格式）：</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p>
    <w:p>
      <w:pPr>
        <w:jc w:val="center"/>
        <w:rPr>
          <w:rFonts w:ascii="黑体" w:eastAsia="黑体"/>
          <w:bCs/>
          <w:sz w:val="28"/>
          <w:szCs w:val="28"/>
          <w:highlight w:val="none"/>
        </w:rPr>
        <w:outlineLvl w:val="0"/>
      </w:pPr>
      <w:r>
        <w:rPr>
          <w:rFonts w:ascii="黑体" w:eastAsia="黑体"/>
          <w:bCs/>
          <w:sz w:val="28"/>
          <w:szCs w:val="28"/>
          <w:highlight w:val="none"/>
        </w:rPr>
      </w:r>
      <w:r/>
    </w:p>
    <w:p>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 xml:space="preserve"> 项目编号：</w:t>
      </w:r>
      <w:r>
        <w:rPr>
          <w:rFonts w:hint="eastAsia" w:ascii="黑体" w:eastAsia="黑体"/>
          <w:bCs/>
          <w:sz w:val="24"/>
          <w:szCs w:val="24"/>
          <w:highlight w:val="none"/>
          <w:lang w:eastAsia="zh-CN"/>
        </w:rPr>
        <w:t xml:space="preserve">JSZC-320200-JSBM-G2026-0001</w:t>
      </w:r>
      <w:r/>
    </w:p>
    <w:tbl>
      <w:tblPr>
        <w:tblStyle w:val="884"/>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项目名称</w:t>
            </w:r>
            <w:r/>
          </w:p>
        </w:tc>
        <w:tc>
          <w:tcPr>
            <w:tcW w:w="3188"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投标报价（小写）</w:t>
            </w:r>
            <w:r/>
          </w:p>
        </w:tc>
      </w:tr>
      <w:tr>
        <w:trPr>
          <w:cantSplit/>
          <w:trHeight w:val="1630"/>
        </w:trPr>
        <w:tc>
          <w:tcPr>
            <w:tcW w:w="5697" w:type="dxa"/>
            <w:vAlign w:val="center"/>
            <w:textDirection w:val="lrTb"/>
            <w:noWrap w:val="false"/>
          </w:tcPr>
          <w:p>
            <w:pPr>
              <w:pStyle w:val="1216"/>
              <w:jc w:val="center"/>
              <w:spacing w:line="400" w:lineRule="exact"/>
              <w:rPr>
                <w:rFonts w:hint="eastAsia" w:hAnsi="宋体"/>
                <w:bCs/>
                <w:szCs w:val="24"/>
                <w:highlight w:val="none"/>
              </w:rPr>
            </w:pPr>
            <w:r>
              <w:rPr>
                <w:rFonts w:hint="eastAsia" w:hAnsi="宋体"/>
                <w:bCs/>
                <w:szCs w:val="24"/>
                <w:highlight w:val="none"/>
              </w:rPr>
            </w:r>
            <w:r/>
          </w:p>
        </w:tc>
        <w:tc>
          <w:tcPr>
            <w:tcW w:w="3188" w:type="dxa"/>
            <w:vAlign w:val="center"/>
            <w:textDirection w:val="lrTb"/>
            <w:noWrap w:val="false"/>
          </w:tcPr>
          <w:p>
            <w:pPr>
              <w:pStyle w:val="1216"/>
              <w:rPr>
                <w:rFonts w:hint="eastAsia" w:hAnsi="宋体"/>
                <w:b/>
                <w:szCs w:val="24"/>
                <w:highlight w:val="none"/>
              </w:rPr>
            </w:pPr>
            <w:r>
              <w:rPr>
                <w:rFonts w:hint="eastAsia" w:hAnsi="宋体"/>
                <w:b/>
                <w:szCs w:val="24"/>
                <w:highlight w:val="none"/>
              </w:rPr>
            </w:r>
            <w:r/>
          </w:p>
        </w:tc>
      </w:tr>
      <w:tr>
        <w:trPr>
          <w:cantSplit/>
          <w:trHeight w:val="780"/>
        </w:trPr>
        <w:tc>
          <w:tcPr>
            <w:gridSpan w:val="2"/>
            <w:tcW w:w="8885" w:type="dxa"/>
            <w:vAlign w:val="center"/>
            <w:textDirection w:val="lrTb"/>
            <w:noWrap w:val="false"/>
          </w:tcPr>
          <w:p>
            <w:pPr>
              <w:rPr>
                <w:rFonts w:ascii="宋体"/>
                <w:bCs/>
                <w:sz w:val="24"/>
                <w:szCs w:val="24"/>
                <w:highlight w:val="none"/>
              </w:rPr>
            </w:pPr>
            <w:r>
              <w:rPr>
                <w:rFonts w:hint="eastAsia" w:ascii="黑体" w:eastAsia="黑体"/>
                <w:sz w:val="24"/>
                <w:highlight w:val="none"/>
              </w:rPr>
              <w:t xml:space="preserve">投标</w:t>
            </w:r>
            <w:r>
              <w:rPr>
                <w:rFonts w:hint="eastAsia" w:ascii="宋体" w:hAnsi="宋体"/>
                <w:b/>
                <w:bCs/>
                <w:sz w:val="24"/>
                <w:szCs w:val="24"/>
                <w:highlight w:val="none"/>
              </w:rPr>
              <w:t xml:space="preserve">报价</w:t>
            </w:r>
            <w:r>
              <w:rPr>
                <w:rFonts w:hint="eastAsia" w:ascii="黑体" w:eastAsia="黑体"/>
                <w:sz w:val="24"/>
                <w:highlight w:val="none"/>
              </w:rPr>
              <w:t xml:space="preserve">（大写）</w:t>
            </w:r>
            <w:r>
              <w:rPr>
                <w:rFonts w:hint="eastAsia" w:ascii="宋体" w:hAnsi="宋体"/>
                <w:bCs/>
                <w:sz w:val="24"/>
                <w:szCs w:val="24"/>
                <w:highlight w:val="none"/>
              </w:rPr>
              <w:t xml:space="preserve">：　　　</w:t>
            </w:r>
            <w:r/>
          </w:p>
        </w:tc>
      </w:tr>
    </w:tbl>
    <w:p>
      <w:pPr>
        <w:spacing w:line="400" w:lineRule="exact"/>
        <w:rPr>
          <w:rFonts w:ascii="黑体" w:eastAsia="黑体"/>
          <w:bCs/>
          <w:sz w:val="24"/>
          <w:szCs w:val="24"/>
          <w:highlight w:val="none"/>
        </w:rPr>
      </w:pPr>
      <w:r>
        <w:rPr>
          <w:rFonts w:hint="eastAsia" w:ascii="黑体" w:eastAsia="黑体"/>
          <w:bCs/>
          <w:sz w:val="24"/>
          <w:szCs w:val="24"/>
          <w:highlight w:val="none"/>
        </w:rPr>
        <w:t xml:space="preserve">投标人名称（盖章）：</w:t>
      </w:r>
      <w:r/>
    </w:p>
    <w:p>
      <w:pPr>
        <w:spacing w:line="360" w:lineRule="auto"/>
        <w:rPr>
          <w:rFonts w:ascii="黑体" w:eastAsia="黑体"/>
          <w:bCs/>
          <w:sz w:val="24"/>
          <w:szCs w:val="24"/>
          <w:highlight w:val="none"/>
        </w:rPr>
      </w:pPr>
      <w:r>
        <w:rPr>
          <w:rFonts w:ascii="黑体" w:eastAsia="黑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黑体" w:eastAsia="黑体"/>
          <w:bCs/>
          <w:sz w:val="24"/>
          <w:szCs w:val="24"/>
          <w:highlight w:val="none"/>
        </w:rPr>
        <w:sectPr>
          <w:headerReference w:type="default" r:id="rId9"/>
          <w:footerReference w:type="default" r:id="rId15"/>
          <w:footerReference w:type="first" r:id="rId16"/>
          <w:footnotePr/>
          <w:endnotePr/>
          <w:type w:val="nextPage"/>
          <w:pgSz w:w="11906" w:h="16838" w:orient="portrait"/>
          <w:pgMar w:top="1440" w:right="1440" w:bottom="1440" w:left="1417" w:header="0" w:footer="816" w:gutter="0"/>
          <w:cols w:num="1" w:sep="0" w:space="0" w:equalWidth="1"/>
          <w:docGrid w:linePitch="360"/>
        </w:sectPr>
      </w:pPr>
      <w:r>
        <w:rPr>
          <w:rFonts w:ascii="黑体" w:eastAsia="黑体"/>
          <w:bCs/>
          <w:sz w:val="24"/>
          <w:szCs w:val="24"/>
          <w:highlight w:val="none"/>
        </w:rPr>
      </w:r>
      <w:r/>
    </w:p>
    <w:p>
      <w:pPr>
        <w:spacing w:line="360" w:lineRule="auto"/>
        <w:rPr>
          <w:b/>
          <w:sz w:val="28"/>
          <w:szCs w:val="28"/>
          <w:highlight w:val="none"/>
        </w:rPr>
      </w:pPr>
      <w:r>
        <w:rPr>
          <w:rFonts w:hint="eastAsia"/>
          <w:b/>
          <w:sz w:val="28"/>
          <w:szCs w:val="28"/>
          <w:highlight w:val="none"/>
        </w:rPr>
        <w:t xml:space="preserve">九、分项</w:t>
      </w:r>
      <w:r>
        <w:rPr>
          <w:b/>
          <w:sz w:val="28"/>
          <w:szCs w:val="28"/>
          <w:highlight w:val="none"/>
        </w:rPr>
        <w:t xml:space="preserve">报价表</w:t>
      </w:r>
      <w:r>
        <w:rPr>
          <w:rFonts w:hint="eastAsia"/>
          <w:b/>
          <w:sz w:val="28"/>
          <w:szCs w:val="28"/>
          <w:highlight w:val="none"/>
        </w:rPr>
        <w:t xml:space="preserve">（给定格式）：</w:t>
      </w:r>
      <w:r/>
    </w:p>
    <w:p>
      <w:pPr>
        <w:jc w:val="center"/>
        <w:spacing w:line="400" w:lineRule="exact"/>
        <w:rPr>
          <w:rFonts w:ascii="黑体" w:eastAsia="黑体"/>
          <w:bCs/>
          <w:sz w:val="28"/>
          <w:szCs w:val="28"/>
          <w:highlight w:val="none"/>
        </w:rPr>
        <w:outlineLvl w:val="0"/>
      </w:pPr>
      <w:r>
        <w:rPr>
          <w:rFonts w:hint="eastAsia" w:ascii="黑体" w:eastAsia="黑体"/>
          <w:bCs/>
          <w:sz w:val="28"/>
          <w:szCs w:val="28"/>
          <w:highlight w:val="none"/>
        </w:rPr>
        <w:t xml:space="preserve">分项报价表</w:t>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w:t>
      </w:r>
      <w:r>
        <w:rPr>
          <w:rFonts w:hint="eastAsia" w:ascii="黑体" w:eastAsia="黑体"/>
          <w:bCs/>
          <w:sz w:val="24"/>
          <w:szCs w:val="24"/>
          <w:highlight w:val="none"/>
          <w:lang w:eastAsia="zh-CN"/>
        </w:rPr>
        <w:t xml:space="preserve">JSZC-320200-JSBM-G2026-0001</w:t>
      </w:r>
      <w:r/>
    </w:p>
    <w:tbl>
      <w:tblPr>
        <w:tblStyle w:val="884"/>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906"/>
        <w:gridCol w:w="1078"/>
        <w:gridCol w:w="2084"/>
        <w:gridCol w:w="850"/>
        <w:gridCol w:w="992"/>
        <w:gridCol w:w="993"/>
        <w:gridCol w:w="850"/>
        <w:gridCol w:w="992"/>
      </w:tblGrid>
      <w:tr>
        <w:trPr>
          <w:cantSplit/>
          <w:jc w:val="center"/>
          <w:trHeight w:val="495"/>
        </w:trPr>
        <w:tc>
          <w:tcPr>
            <w:tcMar>
              <w:left w:w="15" w:type="dxa"/>
              <w:top w:w="15" w:type="dxa"/>
              <w:right w:w="15" w:type="dxa"/>
              <w:bottom w:w="0" w:type="dxa"/>
            </w:tcMar>
            <w:tcW w:w="644"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906"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1078"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2084"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850"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992"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3"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850" w:type="dxa"/>
            <w:vAlign w:val="center"/>
            <w:textDirection w:val="lrTb"/>
            <w:noWrap w:val="false"/>
          </w:tcPr>
          <w:p>
            <w:pPr>
              <w:jc w:val="center"/>
              <w:spacing w:before="5"/>
              <w:rPr>
                <w:sz w:val="18"/>
                <w:highlight w:val="none"/>
              </w:rPr>
            </w:pPr>
            <w:r>
              <w:rPr>
                <w:rFonts w:hint="eastAsia"/>
                <w:sz w:val="18"/>
                <w:highlight w:val="none"/>
              </w:rPr>
              <w:t xml:space="preserve">单价（元）</w:t>
            </w:r>
            <w:r/>
          </w:p>
        </w:tc>
        <w:tc>
          <w:tcPr>
            <w:tcW w:w="992" w:type="dxa"/>
            <w:vAlign w:val="center"/>
            <w:textDirection w:val="lrTb"/>
            <w:noWrap w:val="false"/>
          </w:tcPr>
          <w:p>
            <w:pPr>
              <w:jc w:val="center"/>
              <w:spacing w:before="5"/>
              <w:rPr>
                <w:sz w:val="18"/>
                <w:highlight w:val="none"/>
              </w:rPr>
            </w:pPr>
            <w:r>
              <w:rPr>
                <w:rFonts w:hint="eastAsia"/>
                <w:sz w:val="18"/>
                <w:highlight w:val="none"/>
              </w:rPr>
              <w:t xml:space="preserve">分项总报价（元）</w:t>
            </w:r>
            <w:r/>
          </w:p>
        </w:tc>
      </w:tr>
      <w:tr>
        <w:trPr>
          <w:cantSplit/>
          <w:jc w:val="center"/>
          <w:trHeight w:val="717"/>
        </w:trPr>
        <w:tc>
          <w:tcPr>
            <w:tcMar>
              <w:left w:w="15" w:type="dxa"/>
              <w:top w:w="15" w:type="dxa"/>
              <w:right w:w="15" w:type="dxa"/>
              <w:bottom w:w="0" w:type="dxa"/>
            </w:tcMar>
            <w:tcW w:w="644" w:type="dxa"/>
            <w:vAlign w:val="center"/>
            <w:textDirection w:val="lrTb"/>
            <w:noWrap/>
          </w:tcPr>
          <w:p>
            <w:pPr>
              <w:pStyle w:val="1153"/>
              <w:spacing w:before="5"/>
              <w:tabs>
                <w:tab w:val="clear" w:pos="4153" w:leader="none"/>
                <w:tab w:val="clear" w:pos="8306" w:leader="none"/>
              </w:tabs>
              <w:rPr>
                <w:rFonts w:ascii="宋体"/>
                <w:color w:val="000000"/>
                <w:highlight w:val="none"/>
                <w:lang w:eastAsia="zh-CN"/>
              </w:rPr>
              <w:pBdr>
                <w:bottom w:val="none" w:color="000000" w:sz="0" w:space="0"/>
              </w:pBdr>
            </w:pPr>
            <w:r>
              <w:rPr>
                <w:rFonts w:hint="eastAsia" w:ascii="宋体"/>
                <w:color w:val="000000"/>
                <w:highlight w:val="none"/>
                <w:lang w:eastAsia="zh-CN"/>
              </w:rPr>
              <w:t xml:space="preserve">1</w:t>
            </w:r>
            <w:r/>
          </w:p>
        </w:tc>
        <w:tc>
          <w:tcPr>
            <w:tcMar>
              <w:left w:w="15" w:type="dxa"/>
              <w:top w:w="15" w:type="dxa"/>
              <w:right w:w="15" w:type="dxa"/>
              <w:bottom w:w="0" w:type="dxa"/>
            </w:tcMar>
            <w:tcW w:w="906" w:type="dxa"/>
            <w:vAlign w:val="center"/>
            <w:textDirection w:val="lrTb"/>
            <w:noWrap/>
          </w:tcPr>
          <w:p>
            <w:pPr>
              <w:pStyle w:val="1153"/>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1078" w:type="dxa"/>
            <w:vAlign w:val="center"/>
            <w:textDirection w:val="lrTb"/>
            <w:noWrap w:val="false"/>
          </w:tcPr>
          <w:p>
            <w:pPr>
              <w:pStyle w:val="1153"/>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2084" w:type="dxa"/>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850"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992"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c>
          <w:tcPr>
            <w:tcMar>
              <w:left w:w="15" w:type="dxa"/>
              <w:top w:w="15" w:type="dxa"/>
              <w:right w:w="15" w:type="dxa"/>
              <w:bottom w:w="0" w:type="dxa"/>
            </w:tcMar>
            <w:tcW w:w="993" w:type="dxa"/>
            <w:vAlign w:val="center"/>
            <w:textDirection w:val="lrTb"/>
            <w:noWrap/>
          </w:tcPr>
          <w:p>
            <w:pPr>
              <w:jc w:val="center"/>
              <w:rPr>
                <w:rFonts w:hint="eastAsia"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850"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c>
          <w:tcPr>
            <w:tcW w:w="992"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906"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1078" w:type="dxa"/>
            <w:vAlign w:val="center"/>
            <w:textDirection w:val="lrTb"/>
            <w:noWrap w:val="false"/>
          </w:tcPr>
          <w:p>
            <w:pPr>
              <w:pStyle w:val="1153"/>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850"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992"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c>
          <w:tcPr>
            <w:tcMar>
              <w:left w:w="15" w:type="dxa"/>
              <w:top w:w="15" w:type="dxa"/>
              <w:right w:w="15" w:type="dxa"/>
              <w:bottom w:w="0" w:type="dxa"/>
            </w:tcMar>
            <w:tcW w:w="993" w:type="dxa"/>
            <w:vAlign w:val="center"/>
            <w:textDirection w:val="lrTb"/>
            <w:noWrap/>
          </w:tcPr>
          <w:p>
            <w:pPr>
              <w:jc w:val="center"/>
              <w:rPr>
                <w:rFonts w:hint="eastAsia"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850"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c>
          <w:tcPr>
            <w:tcW w:w="992"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906"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1078" w:type="dxa"/>
            <w:vAlign w:val="center"/>
            <w:textDirection w:val="lrTb"/>
            <w:noWrap w:val="false"/>
          </w:tcPr>
          <w:p>
            <w:pPr>
              <w:pStyle w:val="1153"/>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eastAsia="黑体"/>
                <w:b/>
                <w:bCs/>
                <w:color w:val="000000"/>
                <w:highlight w:val="none"/>
              </w:rPr>
            </w:pPr>
            <w:r>
              <w:rPr>
                <w:rFonts w:ascii="黑体" w:eastAsia="黑体"/>
                <w:b/>
                <w:bCs/>
                <w:color w:val="000000"/>
                <w:highlight w:val="none"/>
              </w:rPr>
            </w:r>
            <w:r/>
          </w:p>
        </w:tc>
        <w:tc>
          <w:tcPr>
            <w:tcW w:w="992"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c>
          <w:tcPr>
            <w:tcMar>
              <w:left w:w="15" w:type="dxa"/>
              <w:top w:w="15" w:type="dxa"/>
              <w:right w:w="15" w:type="dxa"/>
              <w:bottom w:w="0" w:type="dxa"/>
            </w:tcMar>
            <w:tcW w:w="993" w:type="dxa"/>
            <w:vAlign w:val="center"/>
            <w:textDirection w:val="lrTb"/>
            <w:noWrap/>
          </w:tcPr>
          <w:p>
            <w:pPr>
              <w:jc w:val="center"/>
              <w:rPr>
                <w:rFonts w:ascii="黑体" w:eastAsia="黑体"/>
                <w:b/>
                <w:bCs/>
                <w:color w:val="000000"/>
                <w:highlight w:val="none"/>
              </w:rPr>
            </w:pPr>
            <w:r>
              <w:rPr>
                <w:rFonts w:ascii="黑体" w:eastAsia="黑体"/>
                <w:b/>
                <w:bCs/>
                <w:color w:val="000000"/>
                <w:highlight w:val="none"/>
              </w:rPr>
            </w:r>
            <w:r/>
          </w:p>
        </w:tc>
        <w:tc>
          <w:tcPr>
            <w:tcW w:w="850"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c>
          <w:tcPr>
            <w:tcW w:w="992" w:type="dxa"/>
            <w:vAlign w:val="center"/>
            <w:textDirection w:val="lrTb"/>
            <w:noWrap w:val="false"/>
          </w:tcPr>
          <w:p>
            <w:pPr>
              <w:jc w:val="center"/>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389"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黑体" w:hAnsi="宋体" w:eastAsia="黑体"/>
                <w:b/>
                <w:bCs/>
                <w:color w:val="000000"/>
                <w:sz w:val="24"/>
                <w:szCs w:val="24"/>
                <w:highlight w:val="none"/>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hint="eastAsia" w:ascii="宋体" w:hAnsi="宋体"/>
          <w:b/>
          <w:color w:val="000000"/>
          <w:highlight w:val="none"/>
        </w:rPr>
        <w:outlineLvl w:val="0"/>
      </w:pPr>
      <w:r>
        <w:rPr>
          <w:rFonts w:hint="eastAsia" w:ascii="宋体" w:hAnsi="宋体"/>
          <w:b/>
          <w:color w:val="000000"/>
          <w:highlight w:val="none"/>
        </w:rPr>
      </w:r>
      <w:r/>
    </w:p>
    <w:p>
      <w:pPr>
        <w:spacing w:line="400" w:lineRule="exact"/>
        <w:rPr>
          <w:rFonts w:ascii="宋体"/>
          <w:bCs/>
          <w:highlight w:val="none"/>
        </w:rPr>
        <w:outlineLvl w:val="0"/>
      </w:pPr>
      <w:r>
        <w:rPr>
          <w:rFonts w:hint="eastAsia" w:ascii="宋体" w:hAnsi="宋体"/>
          <w:b/>
          <w:highlight w:val="none"/>
        </w:rPr>
        <w:t xml:space="preserve">注：</w:t>
      </w:r>
      <w:r>
        <w:rPr>
          <w:rFonts w:hint="eastAsia" w:ascii="宋体" w:hAnsi="宋体"/>
          <w:bCs/>
          <w:highlight w:val="none"/>
        </w:rPr>
        <w:t xml:space="preserve">（</w:t>
      </w:r>
      <w:r>
        <w:rPr>
          <w:rFonts w:ascii="宋体" w:hAnsi="宋体"/>
          <w:bCs/>
          <w:highlight w:val="none"/>
        </w:rPr>
        <w:t xml:space="preserve">1</w:t>
      </w:r>
      <w:r>
        <w:rPr>
          <w:rFonts w:hint="eastAsia" w:ascii="宋体" w:hAnsi="宋体"/>
          <w:bCs/>
          <w:highlight w:val="none"/>
        </w:rPr>
        <w:t xml:space="preserve">）</w:t>
      </w:r>
      <w:r>
        <w:rPr>
          <w:rFonts w:hint="eastAsia" w:ascii="宋体"/>
          <w:bCs/>
          <w:highlight w:val="none"/>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作无效投标文件处理。投标人对所报相关数据的真实性负责，代理机构有权将相关内容进行公示；</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（2）</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ind w:firstLine="315"/>
        <w:spacing w:line="400" w:lineRule="exact"/>
        <w:rPr>
          <w:rFonts w:ascii="宋体"/>
          <w:bCs/>
          <w:highlight w:val="none"/>
        </w:rPr>
        <w:outlineLvl w:val="0"/>
      </w:pPr>
      <w:r>
        <w:rPr>
          <w:rFonts w:hint="eastAsia" w:ascii="宋体" w:hAnsi="宋体"/>
          <w:bCs/>
          <w:highlight w:val="none"/>
        </w:rPr>
        <w:t xml:space="preserve">（3）投标人应当根据“采购需求”的内容在上表中详细填写；</w:t>
      </w:r>
      <w:r/>
    </w:p>
    <w:p>
      <w:pPr>
        <w:ind w:firstLine="315"/>
        <w:spacing w:line="400" w:lineRule="exact"/>
        <w:rPr>
          <w:rFonts w:hint="eastAsia" w:ascii="宋体" w:hAnsi="宋体"/>
          <w:bCs/>
          <w:highlight w:val="none"/>
        </w:rPr>
        <w:outlineLvl w:val="0"/>
      </w:pPr>
      <w:r>
        <w:rPr>
          <w:rFonts w:hint="eastAsia" w:ascii="宋体" w:hAnsi="宋体"/>
          <w:bCs/>
          <w:highlight w:val="none"/>
        </w:rPr>
        <w:t xml:space="preserve">（4）表格不够可自行延长。</w:t>
      </w:r>
      <w:r/>
    </w:p>
    <w:p>
      <w:pPr>
        <w:spacing w:line="360" w:lineRule="auto"/>
        <w:rPr>
          <w:b/>
          <w:sz w:val="28"/>
          <w:szCs w:val="28"/>
          <w:highlight w:val="none"/>
        </w:rPr>
      </w:pPr>
      <w:r>
        <w:rPr>
          <w:rFonts w:hint="eastAsia" w:ascii="宋体" w:hAnsi="宋体"/>
          <w:bCs/>
          <w:color w:val="000000"/>
          <w:highlight w:val="none"/>
        </w:rPr>
        <w:br w:type="page" w:clear="all"/>
      </w:r>
      <w:r>
        <w:rPr>
          <w:rFonts w:hint="eastAsia"/>
          <w:b/>
          <w:sz w:val="28"/>
          <w:szCs w:val="28"/>
          <w:highlight w:val="none"/>
        </w:rPr>
        <w:t xml:space="preserve">十</w:t>
      </w:r>
      <w:r>
        <w:rPr>
          <w:b/>
          <w:sz w:val="28"/>
          <w:szCs w:val="28"/>
          <w:highlight w:val="none"/>
        </w:rPr>
        <w:t xml:space="preserve">、</w:t>
      </w:r>
      <w:r>
        <w:rPr>
          <w:rFonts w:hint="eastAsia"/>
          <w:b/>
          <w:sz w:val="28"/>
          <w:szCs w:val="28"/>
          <w:highlight w:val="none"/>
        </w:rPr>
        <w:t xml:space="preserve">投标偏离表（给定格式）：</w:t>
      </w:r>
      <w:r/>
    </w:p>
    <w:p>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商务偏离表</w:t>
      </w:r>
      <w:r/>
    </w:p>
    <w:p>
      <w:pPr>
        <w:ind w:firstLine="490"/>
        <w:jc w:val="center"/>
        <w:rPr>
          <w:rFonts w:hint="eastAsia" w:ascii="黑体" w:hAnsi="黑体" w:eastAsia="黑体" w:cs="黑体"/>
          <w:bCs/>
          <w:sz w:val="28"/>
          <w:szCs w:val="28"/>
          <w:highlight w:val="none"/>
        </w:rPr>
        <w:outlineLvl w:val="0"/>
      </w:pPr>
      <w:r>
        <w:rPr>
          <w:rFonts w:hint="eastAsia" w:ascii="黑体" w:hAnsi="黑体" w:eastAsia="黑体" w:cs="黑体"/>
          <w:bCs/>
          <w:sz w:val="28"/>
          <w:szCs w:val="28"/>
          <w:highlight w:val="none"/>
        </w:rPr>
      </w:r>
      <w:r/>
    </w:p>
    <w:p>
      <w:pPr>
        <w:ind w:firstLine="490"/>
        <w:jc w:val="center"/>
        <w:rPr>
          <w:rFonts w:hint="eastAsia" w:ascii="黑体" w:hAnsi="黑体" w:eastAsia="黑体" w:cs="黑体"/>
          <w:bCs/>
          <w:sz w:val="28"/>
          <w:szCs w:val="28"/>
          <w:highlight w:val="none"/>
        </w:rPr>
        <w:outlineLvl w:val="0"/>
      </w:pPr>
      <w:r>
        <w:rPr>
          <w:rFonts w:hint="eastAsia" w:ascii="黑体" w:hAnsi="黑体" w:eastAsia="黑体" w:cs="黑体"/>
          <w:bCs/>
          <w:sz w:val="28"/>
          <w:szCs w:val="28"/>
          <w:highlight w:val="none"/>
        </w:rPr>
        <w:t xml:space="preserve">商务偏离表</w:t>
      </w:r>
      <w:r/>
    </w:p>
    <w:p>
      <w:pPr>
        <w:jc w:val="center"/>
        <w:spacing w:line="400" w:lineRule="exact"/>
        <w:rPr>
          <w:rFonts w:ascii="黑体" w:eastAsia="黑体"/>
          <w:bCs/>
          <w:sz w:val="28"/>
          <w:szCs w:val="28"/>
          <w:highlight w:val="none"/>
        </w:rPr>
        <w:outlineLvl w:val="0"/>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0"/>
      </w:pPr>
      <w:r>
        <w:rPr>
          <w:rFonts w:ascii="黑体" w:eastAsia="黑体"/>
          <w:bCs/>
          <w:sz w:val="28"/>
          <w:szCs w:val="28"/>
          <w:highlight w:val="none"/>
        </w:rPr>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w:t>
      </w:r>
      <w:r>
        <w:rPr>
          <w:rFonts w:hint="eastAsia" w:ascii="黑体" w:eastAsia="黑体"/>
          <w:bCs/>
          <w:sz w:val="24"/>
          <w:szCs w:val="24"/>
          <w:highlight w:val="none"/>
          <w:lang w:eastAsia="zh-CN"/>
        </w:rPr>
        <w:t xml:space="preserve">JSZC-320200-JSBM-G2026-0001</w:t>
      </w:r>
      <w:r/>
    </w:p>
    <w:tbl>
      <w:tblPr>
        <w:tblStyle w:val="88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none"/>
              </w:rPr>
            </w:pPr>
            <w:r>
              <w:rPr>
                <w:rFonts w:ascii="宋体"/>
                <w:bCs/>
                <w:highlight w:val="none"/>
              </w:rPr>
            </w:r>
            <w:r/>
          </w:p>
        </w:tc>
      </w:tr>
    </w:tbl>
    <w:p>
      <w:pPr>
        <w:rPr>
          <w:rFonts w:ascii="宋体" w:eastAsia="黑体"/>
          <w:b/>
          <w:sz w:val="24"/>
          <w:szCs w:val="24"/>
          <w:highlight w:val="none"/>
        </w:rPr>
      </w:pPr>
      <w:r>
        <w:rPr>
          <w:rFonts w:hint="eastAsia" w:ascii="黑体" w:eastAsia="黑体"/>
          <w:bCs/>
          <w:sz w:val="24"/>
          <w:szCs w:val="24"/>
          <w:highlight w:val="none"/>
        </w:rPr>
        <w:t xml:space="preserve">投标人名称（盖章）：</w:t>
      </w:r>
      <w:r/>
    </w:p>
    <w:p>
      <w:pPr>
        <w:rPr>
          <w:rFonts w:hint="eastAsia" w:ascii="宋体" w:hAnsi="宋体"/>
          <w:bCs/>
          <w:i/>
          <w:sz w:val="24"/>
          <w:szCs w:val="24"/>
          <w:highlight w:val="none"/>
        </w:rPr>
        <w:outlineLvl w:val="0"/>
      </w:pPr>
      <w:r>
        <w:rPr>
          <w:rFonts w:hint="eastAsia" w:ascii="宋体" w:hAnsi="宋体"/>
          <w:bCs/>
          <w:i/>
          <w:sz w:val="24"/>
          <w:szCs w:val="24"/>
          <w:highlight w:val="none"/>
        </w:rPr>
      </w:r>
      <w:r/>
    </w:p>
    <w:p>
      <w:pPr>
        <w:ind w:firstLine="420"/>
        <w:rPr>
          <w:rFonts w:hint="eastAsia" w:ascii="宋体" w:hAnsi="宋体"/>
          <w:bCs/>
          <w:sz w:val="24"/>
          <w:szCs w:val="24"/>
          <w:highlight w:val="none"/>
        </w:rPr>
        <w:outlineLvl w:val="0"/>
      </w:pPr>
      <w:r>
        <w:rPr>
          <w:rFonts w:hint="eastAsia" w:ascii="宋体" w:hAnsi="宋体"/>
          <w:bCs/>
          <w:sz w:val="24"/>
          <w:szCs w:val="24"/>
          <w:highlight w:val="none"/>
        </w:rPr>
        <w:t xml:space="preserve">注：（</w:t>
      </w:r>
      <w:r>
        <w:rPr>
          <w:rFonts w:ascii="宋体" w:hAnsi="宋体"/>
          <w:bCs/>
          <w:sz w:val="24"/>
          <w:szCs w:val="24"/>
          <w:highlight w:val="none"/>
        </w:rPr>
        <w:t xml:space="preserve">1</w:t>
      </w:r>
      <w:r>
        <w:rPr>
          <w:rFonts w:hint="eastAsia" w:ascii="宋体" w:hAnsi="宋体"/>
          <w:bCs/>
          <w:sz w:val="24"/>
          <w:szCs w:val="24"/>
          <w:highlight w:val="none"/>
        </w:rPr>
        <w:t xml:space="preserve">）本表不得删除；</w:t>
      </w:r>
      <w:r/>
    </w:p>
    <w:p>
      <w:pPr>
        <w:ind w:firstLine="420"/>
        <w:rPr>
          <w:rFonts w:hint="eastAsia" w:ascii="宋体" w:hAnsi="宋体"/>
          <w:bCs/>
          <w:sz w:val="24"/>
          <w:szCs w:val="24"/>
          <w:highlight w:val="none"/>
        </w:rPr>
        <w:outlineLvl w:val="0"/>
      </w:pPr>
      <w:r>
        <w:rPr>
          <w:rFonts w:ascii="宋体" w:hAnsi="宋体"/>
          <w:bCs/>
          <w:sz w:val="24"/>
          <w:szCs w:val="24"/>
          <w:highlight w:val="none"/>
        </w:rPr>
        <w:t xml:space="preserve">   </w:t>
      </w:r>
      <w:r>
        <w:rPr>
          <w:rFonts w:hint="eastAsia" w:ascii="宋体" w:hAnsi="宋体"/>
          <w:bCs/>
          <w:sz w:val="24"/>
          <w:szCs w:val="24"/>
          <w:highlight w:val="none"/>
        </w:rPr>
        <w:t xml:space="preserve">（</w:t>
      </w:r>
      <w:r>
        <w:rPr>
          <w:rFonts w:ascii="宋体" w:hAnsi="宋体"/>
          <w:bCs/>
          <w:sz w:val="24"/>
          <w:szCs w:val="24"/>
          <w:highlight w:val="none"/>
        </w:rPr>
        <w:t xml:space="preserve">2</w:t>
      </w:r>
      <w:r>
        <w:rPr>
          <w:rFonts w:hint="eastAsia" w:ascii="宋体" w:hAnsi="宋体"/>
          <w:bCs/>
          <w:sz w:val="24"/>
          <w:szCs w:val="24"/>
          <w:highlight w:val="none"/>
        </w:rPr>
        <w:t xml:space="preserve">）如无任何偏离，请于本表 “偏离说明”中注明“无偏离”；</w:t>
      </w:r>
      <w:r/>
    </w:p>
    <w:p>
      <w:pPr>
        <w:ind w:firstLine="420"/>
        <w:rPr>
          <w:rFonts w:hint="eastAsia" w:ascii="宋体" w:hAnsi="宋体"/>
          <w:bCs/>
          <w:sz w:val="24"/>
          <w:szCs w:val="24"/>
          <w:highlight w:val="none"/>
        </w:rPr>
        <w:sectPr>
          <w:footnotePr/>
          <w:endnotePr/>
          <w:type w:val="nextPage"/>
          <w:pgSz w:w="11906" w:h="16838" w:orient="portrait"/>
          <w:pgMar w:top="1440" w:right="1440" w:bottom="1440" w:left="1417" w:header="0" w:footer="816" w:gutter="0"/>
          <w:cols w:num="1" w:sep="0" w:space="0" w:equalWidth="1"/>
          <w:docGrid w:linePitch="360"/>
        </w:sectPr>
        <w:outlineLvl w:val="0"/>
      </w:pPr>
      <w:r>
        <w:rPr>
          <w:rFonts w:hint="eastAsia" w:ascii="宋体" w:hAnsi="宋体"/>
          <w:bCs/>
          <w:sz w:val="24"/>
          <w:szCs w:val="24"/>
          <w:highlight w:val="none"/>
        </w:rPr>
        <w:t xml:space="preserve">   （3）如有偏离项，请于本表中列明偏离内容，如需要可自行延长，其余无偏离内容无需赘述。</w:t>
      </w:r>
      <w:bookmarkEnd w:id="190"/>
      <w:r/>
      <w:bookmarkEnd w:id="191"/>
      <w:r/>
      <w:bookmarkEnd w:id="192"/>
      <w:r/>
      <w:bookmarkEnd w:id="193"/>
      <w:r/>
      <w:bookmarkEnd w:id="204"/>
      <w:r/>
      <w:r/>
    </w:p>
    <w:p>
      <w:pPr>
        <w:jc w:val="left"/>
        <w:spacing w:line="400" w:lineRule="exact"/>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技术偏离表</w:t>
      </w:r>
      <w:r/>
    </w:p>
    <w:p>
      <w:pPr>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技术偏离表</w:t>
      </w:r>
      <w:r/>
    </w:p>
    <w:p>
      <w:pPr>
        <w:pStyle w:val="889"/>
        <w:jc w:val="center"/>
        <w:rPr>
          <w:rFonts w:hint="eastAsia"/>
          <w:highlight w:val="none"/>
          <w:lang w:eastAsia="zh-CN"/>
        </w:rPr>
      </w:pPr>
      <w:r>
        <w:rPr>
          <w:rFonts w:hint="eastAsia"/>
          <w:highlight w:val="none"/>
          <w:lang w:eastAsia="zh-CN"/>
        </w:rPr>
      </w:r>
      <w:r/>
    </w:p>
    <w:p>
      <w:pPr>
        <w:pStyle w:val="889"/>
        <w:spacing w:before="2"/>
        <w:rPr>
          <w:rFonts w:hint="eastAsia"/>
          <w:b/>
          <w:sz w:val="10"/>
          <w:highlight w:val="none"/>
          <w:lang w:eastAsia="zh-CN"/>
        </w:rPr>
      </w:pPr>
      <w:r>
        <w:rPr>
          <w:rFonts w:hint="eastAsia"/>
          <w:b/>
          <w:sz w:val="10"/>
          <w:highlight w:val="none"/>
          <w:lang w:eastAsia="zh-CN"/>
        </w:rPr>
      </w:r>
      <w:r/>
    </w:p>
    <w:p>
      <w:pPr>
        <w:spacing w:line="360" w:lineRule="auto"/>
        <w:shd w:val="clear" w:color="auto" w:fill="ffffff"/>
        <w:widowControl/>
        <w:rPr>
          <w:sz w:val="26"/>
          <w:highlight w:val="none"/>
        </w:rPr>
      </w:pPr>
      <w:r/>
      <w:bookmarkStart w:id="209" w:name="项目名称：_______________"/>
      <w:r/>
      <w:bookmarkEnd w:id="209"/>
      <w:r>
        <w:rPr>
          <w:rFonts w:hint="eastAsia" w:cs="Arial Unicode MS"/>
          <w:color w:val="000000"/>
          <w:highlight w:val="none"/>
        </w:rPr>
        <w:t xml:space="preserve">   </w:t>
      </w:r>
      <w:r>
        <w:rPr>
          <w:rFonts w:hint="eastAsia"/>
          <w:sz w:val="24"/>
          <w:szCs w:val="24"/>
          <w:highlight w:val="none"/>
        </w:rPr>
        <w:t xml:space="preserve">项目名称：</w:t>
      </w:r>
      <w:r/>
    </w:p>
    <w:tbl>
      <w:tblPr>
        <w:tblStyle w:val="884"/>
        <w:tblpPr w:horzAnchor="page" w:tblpX="1331" w:vertAnchor="text" w:tblpY="1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18"/>
        <w:gridCol w:w="857"/>
        <w:gridCol w:w="2041"/>
        <w:gridCol w:w="2041"/>
        <w:gridCol w:w="1399"/>
        <w:gridCol w:w="1691"/>
      </w:tblGrid>
      <w:tr>
        <w:trPr>
          <w:trHeight w:val="1000"/>
        </w:trPr>
        <w:tc>
          <w:tcPr>
            <w:tcW w:w="1518" w:type="dxa"/>
            <w:textDirection w:val="lrTb"/>
            <w:noWrap w:val="false"/>
          </w:tcPr>
          <w:p>
            <w:pPr>
              <w:pStyle w:val="1236"/>
              <w:spacing w:before="2"/>
              <w:rPr>
                <w:rFonts w:hint="eastAsia"/>
                <w:sz w:val="32"/>
                <w:highlight w:val="none"/>
              </w:rPr>
            </w:pPr>
            <w:r>
              <w:rPr>
                <w:rFonts w:hint="eastAsia"/>
                <w:sz w:val="32"/>
                <w:highlight w:val="none"/>
              </w:rPr>
            </w:r>
            <w:r/>
          </w:p>
          <w:p>
            <w:pPr>
              <w:pStyle w:val="1236"/>
              <w:ind w:left="279"/>
              <w:rPr>
                <w:rFonts w:hint="eastAsia"/>
                <w:sz w:val="24"/>
                <w:highlight w:val="none"/>
              </w:rPr>
            </w:pPr>
            <w:r>
              <w:rPr>
                <w:sz w:val="24"/>
                <w:highlight w:val="none"/>
              </w:rPr>
              <w:t xml:space="preserve">货物名称</w:t>
            </w:r>
            <w:r/>
          </w:p>
        </w:tc>
        <w:tc>
          <w:tcPr>
            <w:tcW w:w="857" w:type="dxa"/>
            <w:textDirection w:val="lrTb"/>
            <w:noWrap w:val="false"/>
          </w:tcPr>
          <w:p>
            <w:pPr>
              <w:pStyle w:val="1236"/>
              <w:spacing w:before="2"/>
              <w:rPr>
                <w:rFonts w:hint="eastAsia"/>
                <w:sz w:val="32"/>
                <w:highlight w:val="none"/>
              </w:rPr>
            </w:pPr>
            <w:r>
              <w:rPr>
                <w:rFonts w:hint="eastAsia"/>
                <w:sz w:val="32"/>
                <w:highlight w:val="none"/>
              </w:rPr>
            </w:r>
            <w:r/>
          </w:p>
          <w:p>
            <w:pPr>
              <w:pStyle w:val="1236"/>
              <w:ind w:left="187"/>
              <w:rPr>
                <w:rFonts w:hint="eastAsia"/>
                <w:sz w:val="24"/>
                <w:highlight w:val="none"/>
              </w:rPr>
            </w:pPr>
            <w:r>
              <w:rPr>
                <w:sz w:val="24"/>
                <w:highlight w:val="none"/>
              </w:rPr>
              <w:t xml:space="preserve">数量</w:t>
            </w:r>
            <w:r/>
          </w:p>
        </w:tc>
        <w:tc>
          <w:tcPr>
            <w:tcW w:w="2041" w:type="dxa"/>
            <w:textDirection w:val="lrTb"/>
            <w:noWrap w:val="false"/>
          </w:tcPr>
          <w:p>
            <w:pPr>
              <w:pStyle w:val="1236"/>
              <w:ind w:left="279" w:right="271"/>
              <w:jc w:val="center"/>
              <w:spacing w:before="160"/>
              <w:rPr>
                <w:rFonts w:hint="eastAsia"/>
                <w:sz w:val="24"/>
                <w:highlight w:val="none"/>
              </w:rPr>
            </w:pPr>
            <w:r>
              <w:rPr>
                <w:sz w:val="24"/>
                <w:highlight w:val="none"/>
              </w:rPr>
              <w:t xml:space="preserve">招标文件</w:t>
            </w:r>
            <w:r/>
          </w:p>
          <w:p>
            <w:pPr>
              <w:pStyle w:val="1236"/>
              <w:ind w:left="279" w:right="271"/>
              <w:jc w:val="center"/>
              <w:spacing w:before="194"/>
              <w:rPr>
                <w:rFonts w:hint="eastAsia"/>
                <w:sz w:val="24"/>
                <w:highlight w:val="none"/>
              </w:rPr>
            </w:pPr>
            <w:r>
              <w:rPr>
                <w:sz w:val="24"/>
                <w:highlight w:val="none"/>
              </w:rPr>
              <w:t xml:space="preserve">技术规格参数</w:t>
            </w:r>
            <w:r/>
          </w:p>
        </w:tc>
        <w:tc>
          <w:tcPr>
            <w:tcW w:w="2041" w:type="dxa"/>
            <w:textDirection w:val="lrTb"/>
            <w:noWrap w:val="false"/>
          </w:tcPr>
          <w:p>
            <w:pPr>
              <w:pStyle w:val="1236"/>
              <w:ind w:left="298"/>
              <w:spacing w:before="160"/>
              <w:rPr>
                <w:rFonts w:hint="eastAsia"/>
                <w:sz w:val="24"/>
                <w:highlight w:val="none"/>
              </w:rPr>
            </w:pPr>
            <w:r>
              <w:rPr>
                <w:sz w:val="24"/>
                <w:highlight w:val="none"/>
              </w:rPr>
              <w:t xml:space="preserve">投标文件对应</w:t>
            </w:r>
            <w:r/>
          </w:p>
          <w:p>
            <w:pPr>
              <w:pStyle w:val="1236"/>
              <w:ind w:left="298"/>
              <w:spacing w:before="194"/>
              <w:rPr>
                <w:rFonts w:hint="eastAsia"/>
                <w:sz w:val="24"/>
                <w:highlight w:val="none"/>
              </w:rPr>
            </w:pPr>
            <w:r>
              <w:rPr>
                <w:sz w:val="24"/>
                <w:highlight w:val="none"/>
              </w:rPr>
              <w:t xml:space="preserve">技术规格参数</w:t>
            </w:r>
            <w:r/>
          </w:p>
        </w:tc>
        <w:tc>
          <w:tcPr>
            <w:tcW w:w="1399" w:type="dxa"/>
            <w:textDirection w:val="lrTb"/>
            <w:noWrap w:val="false"/>
          </w:tcPr>
          <w:p>
            <w:pPr>
              <w:pStyle w:val="1236"/>
              <w:spacing w:before="2"/>
              <w:rPr>
                <w:rFonts w:hint="eastAsia"/>
                <w:sz w:val="32"/>
                <w:highlight w:val="none"/>
              </w:rPr>
            </w:pPr>
            <w:r>
              <w:rPr>
                <w:rFonts w:hint="eastAsia"/>
                <w:sz w:val="32"/>
                <w:highlight w:val="none"/>
              </w:rPr>
            </w:r>
            <w:r/>
          </w:p>
          <w:p>
            <w:pPr>
              <w:pStyle w:val="1236"/>
              <w:ind w:left="458"/>
              <w:rPr>
                <w:rFonts w:hint="eastAsia"/>
                <w:sz w:val="24"/>
                <w:highlight w:val="none"/>
              </w:rPr>
            </w:pPr>
            <w:r>
              <w:rPr>
                <w:sz w:val="24"/>
                <w:highlight w:val="none"/>
              </w:rPr>
              <w:t xml:space="preserve">偏离</w:t>
            </w:r>
            <w:r/>
          </w:p>
        </w:tc>
        <w:tc>
          <w:tcPr>
            <w:tcW w:w="1691" w:type="dxa"/>
            <w:textDirection w:val="lrTb"/>
            <w:noWrap w:val="false"/>
          </w:tcPr>
          <w:p>
            <w:pPr>
              <w:pStyle w:val="1236"/>
              <w:spacing w:before="2"/>
              <w:rPr>
                <w:rFonts w:hint="eastAsia"/>
                <w:sz w:val="32"/>
                <w:highlight w:val="none"/>
              </w:rPr>
            </w:pPr>
            <w:r>
              <w:rPr>
                <w:rFonts w:hint="eastAsia"/>
                <w:sz w:val="32"/>
                <w:highlight w:val="none"/>
              </w:rPr>
            </w:r>
            <w:r/>
          </w:p>
          <w:p>
            <w:pPr>
              <w:pStyle w:val="1236"/>
              <w:ind w:left="585" w:right="576"/>
              <w:jc w:val="center"/>
              <w:rPr>
                <w:rFonts w:hint="eastAsia"/>
                <w:sz w:val="24"/>
                <w:highlight w:val="none"/>
              </w:rPr>
            </w:pPr>
            <w:r>
              <w:rPr>
                <w:sz w:val="24"/>
                <w:highlight w:val="none"/>
              </w:rPr>
              <w:t xml:space="preserve">说明</w:t>
            </w:r>
            <w:r/>
          </w:p>
        </w:tc>
      </w:tr>
      <w:tr>
        <w:trPr>
          <w:trHeight w:val="500"/>
        </w:trPr>
        <w:tc>
          <w:tcPr>
            <w:tcW w:w="1518" w:type="dxa"/>
            <w:textDirection w:val="lrTb"/>
            <w:noWrap w:val="false"/>
          </w:tcPr>
          <w:p>
            <w:pPr>
              <w:pStyle w:val="1236"/>
              <w:rPr>
                <w:rFonts w:hint="eastAsia" w:ascii="Times New Roman"/>
                <w:highlight w:val="none"/>
              </w:rPr>
            </w:pPr>
            <w:r>
              <w:rPr>
                <w:rFonts w:hint="eastAsia" w:ascii="Times New Roman"/>
                <w:highlight w:val="none"/>
              </w:rPr>
            </w:r>
            <w:r/>
          </w:p>
        </w:tc>
        <w:tc>
          <w:tcPr>
            <w:tcW w:w="857" w:type="dxa"/>
            <w:textDirection w:val="lrTb"/>
            <w:noWrap w:val="false"/>
          </w:tcPr>
          <w:p>
            <w:pPr>
              <w:pStyle w:val="1236"/>
              <w:rPr>
                <w:rFonts w:hint="eastAsia" w:ascii="Times New Roman"/>
                <w:highlight w:val="none"/>
              </w:rPr>
            </w:pPr>
            <w:r>
              <w:rPr>
                <w:rFonts w:hint="eastAsia" w:ascii="Times New Roman"/>
                <w:highlight w:val="none"/>
              </w:rPr>
            </w:r>
            <w:r/>
          </w:p>
        </w:tc>
        <w:tc>
          <w:tcPr>
            <w:tcW w:w="2041" w:type="dxa"/>
            <w:textDirection w:val="lrTb"/>
            <w:noWrap w:val="false"/>
          </w:tcPr>
          <w:p>
            <w:pPr>
              <w:pStyle w:val="1236"/>
              <w:rPr>
                <w:rFonts w:hint="eastAsia" w:ascii="Times New Roman"/>
                <w:highlight w:val="none"/>
              </w:rPr>
            </w:pPr>
            <w:r>
              <w:rPr>
                <w:rFonts w:hint="eastAsia" w:ascii="Times New Roman"/>
                <w:highlight w:val="none"/>
              </w:rPr>
            </w:r>
            <w:r/>
          </w:p>
        </w:tc>
        <w:tc>
          <w:tcPr>
            <w:tcW w:w="2041" w:type="dxa"/>
            <w:textDirection w:val="lrTb"/>
            <w:noWrap w:val="false"/>
          </w:tcPr>
          <w:p>
            <w:pPr>
              <w:pStyle w:val="1236"/>
              <w:rPr>
                <w:rFonts w:hint="eastAsia" w:ascii="Times New Roman"/>
                <w:highlight w:val="none"/>
              </w:rPr>
            </w:pPr>
            <w:r>
              <w:rPr>
                <w:rFonts w:hint="eastAsia" w:ascii="Times New Roman"/>
                <w:highlight w:val="none"/>
              </w:rPr>
            </w:r>
            <w:r/>
          </w:p>
        </w:tc>
        <w:tc>
          <w:tcPr>
            <w:tcW w:w="1399" w:type="dxa"/>
            <w:textDirection w:val="lrTb"/>
            <w:noWrap w:val="false"/>
          </w:tcPr>
          <w:p>
            <w:pPr>
              <w:pStyle w:val="1236"/>
              <w:rPr>
                <w:rFonts w:hint="eastAsia" w:ascii="Times New Roman"/>
                <w:highlight w:val="none"/>
              </w:rPr>
            </w:pPr>
            <w:r>
              <w:rPr>
                <w:rFonts w:hint="eastAsia" w:ascii="Times New Roman"/>
                <w:highlight w:val="none"/>
              </w:rPr>
            </w:r>
            <w:r/>
          </w:p>
        </w:tc>
        <w:tc>
          <w:tcPr>
            <w:tcW w:w="1691" w:type="dxa"/>
            <w:textDirection w:val="lrTb"/>
            <w:noWrap w:val="false"/>
          </w:tcPr>
          <w:p>
            <w:pPr>
              <w:pStyle w:val="1236"/>
              <w:rPr>
                <w:rFonts w:hint="eastAsia" w:ascii="Times New Roman"/>
                <w:highlight w:val="none"/>
              </w:rPr>
            </w:pPr>
            <w:r>
              <w:rPr>
                <w:rFonts w:hint="eastAsia" w:ascii="Times New Roman"/>
                <w:highlight w:val="none"/>
              </w:rPr>
            </w:r>
            <w:r/>
          </w:p>
        </w:tc>
      </w:tr>
      <w:tr>
        <w:trPr>
          <w:trHeight w:val="500"/>
        </w:trPr>
        <w:tc>
          <w:tcPr>
            <w:tcW w:w="1518" w:type="dxa"/>
            <w:textDirection w:val="lrTb"/>
            <w:noWrap w:val="false"/>
          </w:tcPr>
          <w:p>
            <w:pPr>
              <w:pStyle w:val="1236"/>
              <w:rPr>
                <w:rFonts w:hint="eastAsia" w:ascii="Times New Roman"/>
                <w:highlight w:val="none"/>
              </w:rPr>
            </w:pPr>
            <w:r>
              <w:rPr>
                <w:rFonts w:hint="eastAsia" w:ascii="Times New Roman"/>
                <w:highlight w:val="none"/>
              </w:rPr>
            </w:r>
            <w:r/>
          </w:p>
        </w:tc>
        <w:tc>
          <w:tcPr>
            <w:tcW w:w="857" w:type="dxa"/>
            <w:textDirection w:val="lrTb"/>
            <w:noWrap w:val="false"/>
          </w:tcPr>
          <w:p>
            <w:pPr>
              <w:pStyle w:val="1236"/>
              <w:rPr>
                <w:rFonts w:hint="eastAsia" w:ascii="Times New Roman"/>
                <w:highlight w:val="none"/>
              </w:rPr>
            </w:pPr>
            <w:r>
              <w:rPr>
                <w:rFonts w:hint="eastAsia" w:ascii="Times New Roman"/>
                <w:highlight w:val="none"/>
              </w:rPr>
            </w:r>
            <w:r/>
          </w:p>
        </w:tc>
        <w:tc>
          <w:tcPr>
            <w:tcW w:w="2041" w:type="dxa"/>
            <w:textDirection w:val="lrTb"/>
            <w:noWrap w:val="false"/>
          </w:tcPr>
          <w:p>
            <w:pPr>
              <w:pStyle w:val="1236"/>
              <w:rPr>
                <w:rFonts w:hint="eastAsia" w:ascii="Times New Roman"/>
                <w:highlight w:val="none"/>
              </w:rPr>
            </w:pPr>
            <w:r>
              <w:rPr>
                <w:rFonts w:hint="eastAsia" w:ascii="Times New Roman"/>
                <w:highlight w:val="none"/>
              </w:rPr>
            </w:r>
            <w:r/>
          </w:p>
        </w:tc>
        <w:tc>
          <w:tcPr>
            <w:tcW w:w="2041" w:type="dxa"/>
            <w:textDirection w:val="lrTb"/>
            <w:noWrap w:val="false"/>
          </w:tcPr>
          <w:p>
            <w:pPr>
              <w:pStyle w:val="1236"/>
              <w:rPr>
                <w:rFonts w:hint="eastAsia" w:ascii="Times New Roman"/>
                <w:highlight w:val="none"/>
              </w:rPr>
            </w:pPr>
            <w:r>
              <w:rPr>
                <w:rFonts w:hint="eastAsia" w:ascii="Times New Roman"/>
                <w:highlight w:val="none"/>
              </w:rPr>
            </w:r>
            <w:r/>
          </w:p>
        </w:tc>
        <w:tc>
          <w:tcPr>
            <w:tcW w:w="1399" w:type="dxa"/>
            <w:textDirection w:val="lrTb"/>
            <w:noWrap w:val="false"/>
          </w:tcPr>
          <w:p>
            <w:pPr>
              <w:pStyle w:val="1236"/>
              <w:rPr>
                <w:rFonts w:hint="eastAsia" w:ascii="Times New Roman"/>
                <w:highlight w:val="none"/>
              </w:rPr>
            </w:pPr>
            <w:r>
              <w:rPr>
                <w:rFonts w:hint="eastAsia" w:ascii="Times New Roman"/>
                <w:highlight w:val="none"/>
              </w:rPr>
            </w:r>
            <w:r/>
          </w:p>
        </w:tc>
        <w:tc>
          <w:tcPr>
            <w:tcW w:w="1691" w:type="dxa"/>
            <w:textDirection w:val="lrTb"/>
            <w:noWrap w:val="false"/>
          </w:tcPr>
          <w:p>
            <w:pPr>
              <w:pStyle w:val="1236"/>
              <w:rPr>
                <w:rFonts w:hint="eastAsia" w:ascii="Times New Roman"/>
                <w:highlight w:val="none"/>
              </w:rPr>
            </w:pPr>
            <w:r>
              <w:rPr>
                <w:rFonts w:hint="eastAsia" w:ascii="Times New Roman"/>
                <w:highlight w:val="none"/>
              </w:rPr>
            </w:r>
            <w:r/>
          </w:p>
        </w:tc>
      </w:tr>
      <w:tr>
        <w:trPr>
          <w:trHeight w:val="500"/>
        </w:trPr>
        <w:tc>
          <w:tcPr>
            <w:tcW w:w="1518" w:type="dxa"/>
            <w:textDirection w:val="lrTb"/>
            <w:noWrap w:val="false"/>
          </w:tcPr>
          <w:p>
            <w:pPr>
              <w:pStyle w:val="1236"/>
              <w:rPr>
                <w:rFonts w:hint="eastAsia" w:ascii="Times New Roman"/>
                <w:highlight w:val="none"/>
              </w:rPr>
            </w:pPr>
            <w:r>
              <w:rPr>
                <w:rFonts w:hint="eastAsia" w:ascii="Times New Roman"/>
                <w:highlight w:val="none"/>
              </w:rPr>
            </w:r>
            <w:r/>
          </w:p>
        </w:tc>
        <w:tc>
          <w:tcPr>
            <w:tcW w:w="857" w:type="dxa"/>
            <w:textDirection w:val="lrTb"/>
            <w:noWrap w:val="false"/>
          </w:tcPr>
          <w:p>
            <w:pPr>
              <w:pStyle w:val="1236"/>
              <w:rPr>
                <w:rFonts w:hint="eastAsia" w:ascii="Times New Roman"/>
                <w:highlight w:val="none"/>
              </w:rPr>
            </w:pPr>
            <w:r>
              <w:rPr>
                <w:rFonts w:hint="eastAsia" w:ascii="Times New Roman"/>
                <w:highlight w:val="none"/>
              </w:rPr>
            </w:r>
            <w:r/>
          </w:p>
        </w:tc>
        <w:tc>
          <w:tcPr>
            <w:tcW w:w="2041" w:type="dxa"/>
            <w:textDirection w:val="lrTb"/>
            <w:noWrap w:val="false"/>
          </w:tcPr>
          <w:p>
            <w:pPr>
              <w:pStyle w:val="1236"/>
              <w:rPr>
                <w:rFonts w:hint="eastAsia" w:ascii="Times New Roman"/>
                <w:highlight w:val="none"/>
              </w:rPr>
            </w:pPr>
            <w:r>
              <w:rPr>
                <w:rFonts w:hint="eastAsia" w:ascii="Times New Roman"/>
                <w:highlight w:val="none"/>
              </w:rPr>
            </w:r>
            <w:r/>
          </w:p>
        </w:tc>
        <w:tc>
          <w:tcPr>
            <w:tcW w:w="2041" w:type="dxa"/>
            <w:textDirection w:val="lrTb"/>
            <w:noWrap w:val="false"/>
          </w:tcPr>
          <w:p>
            <w:pPr>
              <w:pStyle w:val="1236"/>
              <w:rPr>
                <w:rFonts w:hint="eastAsia" w:ascii="Times New Roman"/>
                <w:highlight w:val="none"/>
              </w:rPr>
            </w:pPr>
            <w:r>
              <w:rPr>
                <w:rFonts w:hint="eastAsia" w:ascii="Times New Roman"/>
                <w:highlight w:val="none"/>
              </w:rPr>
            </w:r>
            <w:r/>
          </w:p>
        </w:tc>
        <w:tc>
          <w:tcPr>
            <w:tcW w:w="1399" w:type="dxa"/>
            <w:textDirection w:val="lrTb"/>
            <w:noWrap w:val="false"/>
          </w:tcPr>
          <w:p>
            <w:pPr>
              <w:pStyle w:val="1236"/>
              <w:rPr>
                <w:rFonts w:hint="eastAsia" w:ascii="Times New Roman"/>
                <w:highlight w:val="none"/>
              </w:rPr>
            </w:pPr>
            <w:r>
              <w:rPr>
                <w:rFonts w:hint="eastAsia" w:ascii="Times New Roman"/>
                <w:highlight w:val="none"/>
              </w:rPr>
            </w:r>
            <w:r/>
          </w:p>
        </w:tc>
        <w:tc>
          <w:tcPr>
            <w:tcW w:w="1691" w:type="dxa"/>
            <w:textDirection w:val="lrTb"/>
            <w:noWrap w:val="false"/>
          </w:tcPr>
          <w:p>
            <w:pPr>
              <w:pStyle w:val="1236"/>
              <w:rPr>
                <w:rFonts w:hint="eastAsia" w:ascii="Times New Roman"/>
                <w:highlight w:val="none"/>
              </w:rPr>
            </w:pPr>
            <w:r>
              <w:rPr>
                <w:rFonts w:hint="eastAsia" w:ascii="Times New Roman"/>
                <w:highlight w:val="none"/>
              </w:rPr>
            </w:r>
            <w:r/>
          </w:p>
        </w:tc>
      </w:tr>
    </w:tbl>
    <w:p>
      <w:pPr>
        <w:pStyle w:val="889"/>
        <w:jc w:val="left"/>
        <w:spacing w:before="74"/>
        <w:tabs>
          <w:tab w:val="left" w:pos="4529" w:leader="none"/>
        </w:tabs>
        <w:rPr>
          <w:rFonts w:hint="eastAsia"/>
          <w:sz w:val="24"/>
          <w:szCs w:val="24"/>
          <w:highlight w:val="none"/>
        </w:rPr>
      </w:pPr>
      <w:r/>
      <w:bookmarkStart w:id="210" w:name="货物名称"/>
      <w:r/>
      <w:bookmarkEnd w:id="210"/>
      <w:r/>
      <w:bookmarkStart w:id="211" w:name="说明：如投标产品与招标文件的要求存在偏差，则填写上表，若无偏差，则填写无。"/>
      <w:r/>
      <w:bookmarkEnd w:id="211"/>
      <w:r/>
      <w:r/>
    </w:p>
    <w:p>
      <w:pPr>
        <w:pStyle w:val="889"/>
        <w:jc w:val="left"/>
        <w:spacing w:before="74" w:line="360" w:lineRule="auto"/>
        <w:tabs>
          <w:tab w:val="left" w:pos="4529" w:leader="none"/>
        </w:tabs>
        <w:rPr>
          <w:rFonts w:hint="eastAsia"/>
          <w:sz w:val="24"/>
          <w:szCs w:val="24"/>
          <w:highlight w:val="none"/>
          <w:lang w:eastAsia="zh-CN"/>
        </w:rPr>
      </w:pPr>
      <w:r>
        <w:rPr>
          <w:rFonts w:hint="eastAsia"/>
          <w:sz w:val="24"/>
          <w:szCs w:val="24"/>
          <w:highlight w:val="none"/>
          <w:lang w:eastAsia="zh-CN"/>
        </w:rPr>
        <w:t xml:space="preserve">说明：按照本项目招标文件具体技术参数与功能指标等，在“技术偏离表”中如实详细填列所投产品的参数。</w:t>
      </w:r>
      <w:r/>
    </w:p>
    <w:p>
      <w:pPr>
        <w:pStyle w:val="889"/>
        <w:ind w:left="704"/>
        <w:spacing w:before="74"/>
        <w:tabs>
          <w:tab w:val="left" w:pos="4529" w:leader="none"/>
        </w:tabs>
        <w:rPr>
          <w:rFonts w:hint="eastAsia"/>
          <w:spacing w:val="-19"/>
          <w:highlight w:val="none"/>
          <w:lang w:eastAsia="zh-CN"/>
        </w:rPr>
      </w:pPr>
      <w:r>
        <w:rPr>
          <w:rFonts w:hint="eastAsia"/>
          <w:spacing w:val="-19"/>
          <w:highlight w:val="none"/>
          <w:lang w:eastAsia="zh-CN"/>
        </w:rPr>
      </w:r>
      <w:r/>
    </w:p>
    <w:p>
      <w:pPr>
        <w:pStyle w:val="889"/>
        <w:spacing w:before="7"/>
        <w:rPr>
          <w:rFonts w:hint="eastAsia"/>
          <w:sz w:val="13"/>
          <w:highlight w:val="none"/>
          <w:lang w:eastAsia="zh-CN"/>
        </w:rPr>
      </w:pPr>
      <w:r>
        <w:rPr>
          <w:rFonts w:hint="eastAsia"/>
          <w:sz w:val="13"/>
          <w:highlight w:val="none"/>
          <w:lang w:eastAsia="zh-CN"/>
        </w:rPr>
      </w:r>
      <w:r/>
    </w:p>
    <w:p>
      <w:pPr>
        <w:pStyle w:val="889"/>
        <w:ind w:left="704"/>
        <w:spacing w:before="213"/>
        <w:tabs>
          <w:tab w:val="left" w:pos="2503" w:leader="none"/>
        </w:tabs>
        <w:rPr>
          <w:rFonts w:hint="eastAsia"/>
          <w:sz w:val="24"/>
          <w:szCs w:val="24"/>
          <w:highlight w:val="none"/>
          <w:lang w:eastAsia="zh-CN"/>
        </w:rPr>
      </w:pPr>
      <w:r>
        <w:rPr>
          <w:rFonts w:hint="eastAsia"/>
          <w:sz w:val="24"/>
          <w:szCs w:val="24"/>
          <w:highlight w:val="none"/>
          <w:lang w:eastAsia="zh-CN"/>
        </w:rPr>
        <w:t xml:space="preserve">投标人：</w:t>
      </w:r>
      <w:r>
        <w:rPr>
          <w:rFonts w:hint="eastAsia"/>
          <w:sz w:val="24"/>
          <w:szCs w:val="24"/>
          <w:highlight w:val="none"/>
          <w:u w:val="single"/>
          <w:lang w:eastAsia="zh-CN"/>
        </w:rPr>
        <w:t xml:space="preserve"> </w:t>
      </w:r>
      <w:r>
        <w:rPr>
          <w:rFonts w:hint="eastAsia"/>
          <w:sz w:val="24"/>
          <w:szCs w:val="24"/>
          <w:highlight w:val="none"/>
          <w:u w:val="single"/>
          <w:lang w:eastAsia="zh-CN"/>
        </w:rPr>
        <w:tab/>
      </w:r>
      <w:r>
        <w:rPr>
          <w:rFonts w:hint="eastAsia"/>
          <w:sz w:val="24"/>
          <w:szCs w:val="24"/>
          <w:highlight w:val="none"/>
          <w:u w:val="single"/>
          <w:lang w:eastAsia="zh-CN"/>
        </w:rPr>
        <w:t xml:space="preserve">（盖章）</w:t>
      </w:r>
      <w:r/>
    </w:p>
    <w:p>
      <w:pPr>
        <w:pStyle w:val="889"/>
        <w:ind w:left="704"/>
        <w:spacing w:before="4"/>
        <w:tabs>
          <w:tab w:val="left" w:pos="4543" w:leader="none"/>
        </w:tabs>
        <w:rPr>
          <w:rFonts w:hint="eastAsia"/>
          <w:sz w:val="24"/>
          <w:szCs w:val="24"/>
          <w:highlight w:val="none"/>
          <w:lang w:eastAsia="zh-CN"/>
        </w:rPr>
      </w:pPr>
      <w:r>
        <w:rPr>
          <w:rFonts w:hint="eastAsia"/>
          <w:sz w:val="24"/>
          <w:szCs w:val="24"/>
          <w:highlight w:val="none"/>
          <w:lang w:eastAsia="zh-CN"/>
        </w:rPr>
      </w:r>
      <w:r/>
    </w:p>
    <w:p>
      <w:pPr>
        <w:pStyle w:val="889"/>
        <w:ind w:left="704"/>
        <w:spacing w:before="4"/>
        <w:tabs>
          <w:tab w:val="left" w:pos="4543" w:leader="none"/>
        </w:tabs>
        <w:rPr>
          <w:rFonts w:hint="eastAsia"/>
          <w:sz w:val="24"/>
          <w:szCs w:val="24"/>
          <w:highlight w:val="none"/>
          <w:lang w:eastAsia="zh-CN"/>
        </w:rPr>
      </w:pPr>
      <w:r>
        <w:rPr>
          <w:rFonts w:hint="eastAsia"/>
          <w:sz w:val="24"/>
          <w:szCs w:val="24"/>
          <w:highlight w:val="none"/>
          <w:lang w:eastAsia="zh-CN"/>
        </w:rPr>
        <w:t xml:space="preserve">法定代表人或委托代理人：</w:t>
      </w:r>
      <w:r>
        <w:rPr>
          <w:rFonts w:hint="eastAsia"/>
          <w:sz w:val="24"/>
          <w:szCs w:val="24"/>
          <w:highlight w:val="none"/>
          <w:u w:val="single"/>
          <w:lang w:eastAsia="zh-CN"/>
        </w:rPr>
        <w:t xml:space="preserve"> </w:t>
      </w:r>
      <w:r>
        <w:rPr>
          <w:rFonts w:hint="eastAsia"/>
          <w:sz w:val="24"/>
          <w:szCs w:val="24"/>
          <w:highlight w:val="none"/>
          <w:u w:val="single"/>
          <w:lang w:eastAsia="zh-CN"/>
        </w:rPr>
        <w:tab/>
      </w:r>
      <w:r>
        <w:rPr>
          <w:rFonts w:hint="eastAsia"/>
          <w:sz w:val="24"/>
          <w:szCs w:val="24"/>
          <w:highlight w:val="none"/>
          <w:u w:val="single"/>
          <w:lang w:eastAsia="zh-CN"/>
        </w:rPr>
        <w:t xml:space="preserve">（签字或盖章</w:t>
      </w:r>
      <w:r>
        <w:rPr>
          <w:rFonts w:hint="eastAsia"/>
          <w:spacing w:val="-19"/>
          <w:sz w:val="24"/>
          <w:szCs w:val="24"/>
          <w:highlight w:val="none"/>
          <w:u w:val="single"/>
          <w:lang w:eastAsia="zh-CN"/>
        </w:rPr>
        <w:t xml:space="preserve">）</w:t>
      </w:r>
      <w:r/>
    </w:p>
    <w:p>
      <w:pPr>
        <w:pStyle w:val="889"/>
        <w:ind w:left="199"/>
        <w:spacing w:before="168"/>
        <w:tabs>
          <w:tab w:val="left" w:pos="1399" w:leader="none"/>
          <w:tab w:val="left" w:pos="2119" w:leader="none"/>
          <w:tab w:val="left" w:pos="2839" w:leader="none"/>
        </w:tabs>
        <w:rPr>
          <w:rFonts w:hint="eastAsia"/>
          <w:sz w:val="24"/>
          <w:szCs w:val="24"/>
          <w:highlight w:val="none"/>
          <w:lang w:eastAsia="zh-CN"/>
        </w:rPr>
      </w:pPr>
      <w:r>
        <w:rPr>
          <w:rFonts w:hint="eastAsia"/>
          <w:sz w:val="24"/>
          <w:szCs w:val="24"/>
          <w:highlight w:val="none"/>
          <w:lang w:eastAsia="zh-CN"/>
        </w:rPr>
      </w:r>
      <w:r/>
    </w:p>
    <w:p>
      <w:pPr>
        <w:pStyle w:val="893"/>
        <w:ind w:left="0"/>
        <w:rPr>
          <w:rFonts w:hint="eastAsia" w:ascii="宋体" w:hAnsi="宋体"/>
          <w:bCs/>
          <w:sz w:val="24"/>
          <w:szCs w:val="24"/>
          <w:highlight w:val="none"/>
        </w:rPr>
      </w:pPr>
      <w:r>
        <w:rPr>
          <w:rFonts w:hint="eastAsia" w:hAnsi="宋体" w:cs="宋体"/>
          <w:sz w:val="24"/>
          <w:szCs w:val="24"/>
          <w:highlight w:val="none"/>
        </w:rPr>
        <w:t xml:space="preserve">日期：</w:t>
      </w:r>
      <w:r>
        <w:rPr>
          <w:rFonts w:hint="eastAsia" w:hAnsi="宋体" w:cs="宋体"/>
          <w:sz w:val="24"/>
          <w:szCs w:val="24"/>
          <w:highlight w:val="none"/>
          <w:u w:val="single"/>
        </w:rPr>
        <w:tab/>
      </w:r>
      <w:r>
        <w:rPr>
          <w:rFonts w:hint="eastAsia" w:hAnsi="宋体" w:cs="宋体"/>
          <w:sz w:val="24"/>
          <w:szCs w:val="24"/>
          <w:highlight w:val="none"/>
        </w:rPr>
        <w:t xml:space="preserve">年</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 xml:space="preserve">月</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 xml:space="preserve">日</w:t>
      </w:r>
      <w:r/>
    </w:p>
    <w:p>
      <w:pPr>
        <w:rPr>
          <w:highlight w:val="none"/>
        </w:rPr>
      </w:pPr>
      <w:r>
        <w:rPr>
          <w:highlight w:val="none"/>
        </w:rPr>
      </w:r>
      <w:r/>
    </w:p>
    <w:sectPr>
      <w:footnotePr/>
      <w:endnotePr/>
      <w:type w:val="nextPage"/>
      <w:pgSz w:w="11906" w:h="16838" w:orient="portrait"/>
      <w:pgMar w:top="1440" w:right="1440" w:bottom="1440" w:left="1417" w:header="0" w:footer="81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1"/>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w:t>
                    </w:r>
                    <w:r>
                      <w:rPr>
                        <w:lang w:val="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left="4373"/>
      <w:spacing w:line="235" w:lineRule="exact"/>
      <w:rPr>
        <w:rFonts w:hint="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51"/>
                            <w:rPr>
                              <w:rStyle w:val="1176"/>
                              <w:rFonts w:hint="eastAsia" w:ascii="宋体" w:hAnsi="宋体"/>
                            </w:rPr>
                          </w:pPr>
                          <w:r>
                            <w:rPr>
                              <w:rFonts w:ascii="宋体" w:hAnsi="宋体"/>
                            </w:rPr>
                            <w:fldChar w:fldCharType="begin"/>
                          </w:r>
                          <w:r>
                            <w:rPr>
                              <w:rStyle w:val="1176"/>
                              <w:rFonts w:ascii="宋体" w:hAnsi="宋体"/>
                            </w:rPr>
                            <w:instrText xml:space="preserve">PAGE  </w:instrText>
                          </w:r>
                          <w:r>
                            <w:rPr>
                              <w:rFonts w:ascii="宋体" w:hAnsi="宋体"/>
                            </w:rPr>
                            <w:fldChar w:fldCharType="separate"/>
                          </w:r>
                          <w:r>
                            <w:rPr>
                              <w:rStyle w:val="1176"/>
                              <w:rFonts w:ascii="宋体" w:hAnsi="宋体"/>
                            </w:rPr>
                            <w:t xml:space="preserve">21</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1"/>
                      <w:rPr>
                        <w:rStyle w:val="1176"/>
                        <w:rFonts w:hint="eastAsia" w:ascii="宋体" w:hAnsi="宋体"/>
                      </w:rPr>
                    </w:pPr>
                    <w:r>
                      <w:rPr>
                        <w:rFonts w:ascii="宋体" w:hAnsi="宋体"/>
                      </w:rPr>
                      <w:fldChar w:fldCharType="begin"/>
                    </w:r>
                    <w:r>
                      <w:rPr>
                        <w:rStyle w:val="1176"/>
                        <w:rFonts w:ascii="宋体" w:hAnsi="宋体"/>
                      </w:rPr>
                      <w:instrText xml:space="preserve">PAGE  </w:instrText>
                    </w:r>
                    <w:r>
                      <w:rPr>
                        <w:rFonts w:ascii="宋体" w:hAnsi="宋体"/>
                      </w:rPr>
                      <w:fldChar w:fldCharType="separate"/>
                    </w:r>
                    <w:r>
                      <w:rPr>
                        <w:rStyle w:val="1176"/>
                        <w:rFonts w:ascii="宋体" w:hAnsi="宋体"/>
                      </w:rPr>
                      <w:t xml:space="preserve">21</w:t>
                    </w:r>
                    <w:r>
                      <w:rPr>
                        <w:rFonts w:ascii="宋体" w:hAnsi="宋体"/>
                      </w:rPr>
                      <w:fldChar w:fldCharType="end"/>
                    </w:r>
                    <w:r/>
                  </w:p>
                </w:txbxContent>
              </v:textbox>
            </v:shape>
          </w:pict>
        </mc:Fallback>
      </mc:AlternateContent>
    </w:r>
    <w:r>
      <w:rPr>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1"/>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136"/>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1"/>
      <w:isLgl w:val="false"/>
      <w:suff w:val="nothing"/>
      <w:lvlText w:val=""/>
      <w:lvlJc w:val="left"/>
      <w:pPr>
        <w:ind w:left="0" w:firstLine="0"/>
      </w:pPr>
      <w:rPr>
        <w:rFonts w:hint="eastAsia"/>
      </w:rPr>
    </w:lvl>
    <w:lvl w:ilvl="6">
      <w:start w:val="1"/>
      <w:numFmt w:val="decimal"/>
      <w:pStyle w:val="1112"/>
      <w:isLgl w:val="false"/>
      <w:suff w:val="nothing"/>
      <w:lvlText w:val=""/>
      <w:lvlJc w:val="left"/>
      <w:pPr>
        <w:ind w:left="0" w:firstLine="0"/>
      </w:pPr>
      <w:rPr>
        <w:rFonts w:hint="eastAsia"/>
      </w:rPr>
    </w:lvl>
    <w:lvl w:ilvl="7">
      <w:start w:val="1"/>
      <w:numFmt w:val="decimal"/>
      <w:pStyle w:val="1113"/>
      <w:isLgl w:val="false"/>
      <w:suff w:val="nothing"/>
      <w:lvlText w:val=""/>
      <w:lvlJc w:val="left"/>
      <w:pPr>
        <w:ind w:left="0" w:firstLine="0"/>
      </w:pPr>
      <w:rPr>
        <w:rFonts w:hint="eastAsia"/>
      </w:rPr>
    </w:lvl>
    <w:lvl w:ilvl="8">
      <w:start w:val="1"/>
      <w:numFmt w:val="decimal"/>
      <w:pStyle w:val="1114"/>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ind w:left="3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21"/>
  </w:num>
  <w:num w:numId="4">
    <w:abstractNumId w:val="12"/>
  </w:num>
  <w:num w:numId="5">
    <w:abstractNumId w:val="5"/>
  </w:num>
  <w:num w:numId="6">
    <w:abstractNumId w:val="19"/>
  </w:num>
  <w:num w:numId="7">
    <w:abstractNumId w:val="7"/>
  </w:num>
  <w:num w:numId="8">
    <w:abstractNumId w:val="18"/>
  </w:num>
  <w:num w:numId="9">
    <w:abstractNumId w:val="8"/>
  </w:num>
  <w:num w:numId="10">
    <w:abstractNumId w:val="17"/>
  </w:num>
  <w:num w:numId="11">
    <w:abstractNumId w:val="3"/>
  </w:num>
  <w:num w:numId="12">
    <w:abstractNumId w:val="6"/>
  </w:num>
  <w:num w:numId="13">
    <w:abstractNumId w:val="2"/>
  </w:num>
  <w:num w:numId="14">
    <w:abstractNumId w:val="15"/>
  </w:num>
  <w:num w:numId="15">
    <w:abstractNumId w:val="14"/>
  </w:num>
  <w:num w:numId="16">
    <w:abstractNumId w:val="0"/>
  </w:num>
  <w:num w:numId="17">
    <w:abstractNumId w:val="20"/>
  </w:num>
  <w:num w:numId="18">
    <w:abstractNumId w:val="13"/>
  </w:num>
  <w:num w:numId="19">
    <w:abstractNumId w:val="16"/>
  </w:num>
  <w:num w:numId="20">
    <w:abstractNumId w:val="22"/>
  </w:num>
  <w:num w:numId="21">
    <w:abstractNumId w:val="11"/>
  </w:num>
  <w:num w:numId="22">
    <w:abstractNumId w:val="1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73" w:default="1">
    <w:name w:val="Normal"/>
    <w:next w:val="885"/>
    <w:uiPriority w:val="0"/>
    <w:qFormat/>
    <w:pPr>
      <w:jc w:val="both"/>
      <w:widowControl w:val="off"/>
    </w:pPr>
    <w:rPr>
      <w:rFonts w:ascii="Times New Roman" w:hAnsi="Times New Roman" w:eastAsia="宋体" w:cs="Times New Roman"/>
      <w:sz w:val="21"/>
      <w:szCs w:val="21"/>
      <w:lang w:val="en-US" w:eastAsia="zh-CN" w:bidi="ar-SA"/>
    </w:rPr>
  </w:style>
  <w:style w:type="paragraph" w:styleId="874">
    <w:name w:val="Heading 1"/>
    <w:basedOn w:val="873"/>
    <w:next w:val="873"/>
    <w:link w:val="958"/>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59"/>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60"/>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61"/>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62"/>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63"/>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64"/>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65"/>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66"/>
    <w:uiPriority w:val="9"/>
    <w:unhideWhenUsed/>
    <w:qFormat/>
    <w:pPr>
      <w:keepLines/>
      <w:keepNext/>
      <w:spacing w:before="320" w:after="200"/>
      <w:outlineLvl w:val="8"/>
    </w:pPr>
    <w:rPr>
      <w:rFonts w:ascii="Arial" w:hAnsi="Arial" w:eastAsia="Arial" w:cs="Arial"/>
      <w:i/>
      <w:iCs/>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Default"/>
    <w:next w:val="873"/>
    <w:uiPriority w:val="0"/>
    <w:qFormat/>
    <w:pPr>
      <w:widowControl w:val="off"/>
    </w:pPr>
    <w:rPr>
      <w:rFonts w:hint="default" w:ascii="宋体" w:hAnsi="宋体" w:eastAsia="宋体" w:cs="宋体"/>
      <w:color w:val="000000"/>
      <w:sz w:val="24"/>
      <w:szCs w:val="24"/>
      <w:lang w:eastAsia="zh-CN"/>
    </w:rPr>
  </w:style>
  <w:style w:type="paragraph" w:styleId="886">
    <w:name w:val="toc 7"/>
    <w:basedOn w:val="873"/>
    <w:next w:val="873"/>
    <w:uiPriority w:val="39"/>
    <w:unhideWhenUsed/>
    <w:qFormat/>
    <w:pPr>
      <w:ind w:left="1701"/>
      <w:spacing w:after="57"/>
    </w:pPr>
  </w:style>
  <w:style w:type="paragraph" w:styleId="887">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annotation text"/>
    <w:basedOn w:val="873"/>
    <w:link w:val="1226"/>
    <w:uiPriority w:val="99"/>
    <w:semiHidden/>
    <w:unhideWhenUsed/>
    <w:qFormat/>
    <w:pPr>
      <w:jc w:val="left"/>
    </w:pPr>
  </w:style>
  <w:style w:type="paragraph" w:styleId="889">
    <w:name w:val="Body Text"/>
    <w:basedOn w:val="873"/>
    <w:uiPriority w:val="0"/>
    <w:semiHidden/>
    <w:qFormat/>
    <w:rPr>
      <w:rFonts w:ascii="宋体" w:hAnsi="宋体" w:cs="宋体"/>
      <w:sz w:val="25"/>
      <w:szCs w:val="25"/>
      <w:lang w:eastAsia="en-US"/>
    </w:rPr>
  </w:style>
  <w:style w:type="paragraph" w:styleId="890">
    <w:name w:val="Body Text Indent"/>
    <w:basedOn w:val="873"/>
    <w:next w:val="891"/>
    <w:uiPriority w:val="0"/>
    <w:qFormat/>
    <w:pPr>
      <w:ind w:left="156"/>
      <w:spacing w:line="300" w:lineRule="auto"/>
      <w:widowControl/>
    </w:pPr>
    <w:rPr>
      <w:rFonts w:ascii="仿宋_GB2312" w:eastAsia="仿宋_GB2312"/>
      <w:sz w:val="28"/>
    </w:rPr>
  </w:style>
  <w:style w:type="paragraph" w:styleId="891">
    <w:name w:val="envelope return"/>
    <w:basedOn w:val="873"/>
    <w:uiPriority w:val="0"/>
    <w:qFormat/>
    <w:pPr>
      <w:ind w:firstLine="471"/>
      <w:spacing w:line="420" w:lineRule="exact"/>
    </w:pPr>
    <w:rPr>
      <w:rFonts w:ascii="Arial" w:hAnsi="Arial" w:cs="Arial"/>
      <w:sz w:val="24"/>
      <w:szCs w:val="24"/>
    </w:rPr>
  </w:style>
  <w:style w:type="paragraph" w:styleId="892">
    <w:name w:val="Block Text"/>
    <w:basedOn w:val="873"/>
    <w:uiPriority w:val="0"/>
    <w:qFormat/>
    <w:pPr>
      <w:ind w:left="1440" w:right="1440"/>
      <w:spacing w:after="120"/>
    </w:pPr>
  </w:style>
  <w:style w:type="paragraph" w:styleId="893">
    <w:name w:val="index 4"/>
    <w:basedOn w:val="873"/>
    <w:next w:val="873"/>
    <w:uiPriority w:val="0"/>
    <w:qFormat/>
    <w:pPr>
      <w:ind w:left="1260"/>
    </w:pPr>
  </w:style>
  <w:style w:type="paragraph" w:styleId="894">
    <w:name w:val="toc 5"/>
    <w:basedOn w:val="873"/>
    <w:next w:val="873"/>
    <w:uiPriority w:val="39"/>
    <w:unhideWhenUsed/>
    <w:qFormat/>
    <w:pPr>
      <w:ind w:left="1134"/>
      <w:spacing w:after="57"/>
    </w:pPr>
  </w:style>
  <w:style w:type="paragraph" w:styleId="895">
    <w:name w:val="toc 3"/>
    <w:basedOn w:val="873"/>
    <w:next w:val="873"/>
    <w:uiPriority w:val="39"/>
    <w:unhideWhenUsed/>
    <w:qFormat/>
    <w:pPr>
      <w:ind w:left="567"/>
      <w:spacing w:after="57"/>
    </w:pPr>
  </w:style>
  <w:style w:type="paragraph" w:styleId="896">
    <w:name w:val="Plain Text"/>
    <w:basedOn w:val="873"/>
    <w:next w:val="873"/>
    <w:uiPriority w:val="0"/>
    <w:qFormat/>
    <w:rPr>
      <w:rFonts w:ascii="宋体" w:hAnsi="Courier New"/>
    </w:rPr>
  </w:style>
  <w:style w:type="paragraph" w:styleId="897">
    <w:name w:val="toc 8"/>
    <w:basedOn w:val="873"/>
    <w:next w:val="873"/>
    <w:uiPriority w:val="39"/>
    <w:unhideWhenUsed/>
    <w:qFormat/>
    <w:pPr>
      <w:ind w:left="1984"/>
      <w:spacing w:after="57"/>
    </w:pPr>
  </w:style>
  <w:style w:type="paragraph" w:styleId="898">
    <w:name w:val="Date"/>
    <w:basedOn w:val="873"/>
    <w:next w:val="873"/>
    <w:uiPriority w:val="0"/>
    <w:qFormat/>
    <w:rPr>
      <w:sz w:val="24"/>
      <w:szCs w:val="20"/>
    </w:rPr>
  </w:style>
  <w:style w:type="paragraph" w:styleId="899">
    <w:name w:val="endnote text"/>
    <w:basedOn w:val="873"/>
    <w:link w:val="1103"/>
    <w:uiPriority w:val="99"/>
    <w:semiHidden/>
    <w:unhideWhenUsed/>
    <w:qFormat/>
    <w:rPr>
      <w:sz w:val="20"/>
    </w:rPr>
  </w:style>
  <w:style w:type="paragraph" w:styleId="900">
    <w:name w:val="Balloon Text"/>
    <w:basedOn w:val="873"/>
    <w:link w:val="1228"/>
    <w:uiPriority w:val="99"/>
    <w:semiHidden/>
    <w:unhideWhenUsed/>
    <w:qFormat/>
    <w:rPr>
      <w:sz w:val="18"/>
      <w:szCs w:val="18"/>
    </w:rPr>
  </w:style>
  <w:style w:type="paragraph" w:styleId="901">
    <w:name w:val="Footer"/>
    <w:basedOn w:val="873"/>
    <w:link w:val="976"/>
    <w:uiPriority w:val="99"/>
    <w:unhideWhenUsed/>
    <w:qFormat/>
    <w:pPr>
      <w:tabs>
        <w:tab w:val="center" w:pos="7143" w:leader="none"/>
        <w:tab w:val="right" w:pos="14287" w:leader="none"/>
      </w:tabs>
    </w:pPr>
  </w:style>
  <w:style w:type="paragraph" w:styleId="902">
    <w:name w:val="Header"/>
    <w:basedOn w:val="873"/>
    <w:link w:val="974"/>
    <w:uiPriority w:val="99"/>
    <w:unhideWhenUsed/>
    <w:qFormat/>
    <w:pPr>
      <w:tabs>
        <w:tab w:val="center" w:pos="7143" w:leader="none"/>
        <w:tab w:val="right" w:pos="14287" w:leader="none"/>
      </w:tabs>
    </w:pPr>
  </w:style>
  <w:style w:type="paragraph" w:styleId="903">
    <w:name w:val="toc 1"/>
    <w:basedOn w:val="873"/>
    <w:next w:val="873"/>
    <w:uiPriority w:val="39"/>
    <w:unhideWhenUsed/>
    <w:qFormat/>
    <w:pPr>
      <w:spacing w:after="57"/>
    </w:pPr>
  </w:style>
  <w:style w:type="paragraph" w:styleId="904">
    <w:name w:val="toc 4"/>
    <w:basedOn w:val="873"/>
    <w:next w:val="873"/>
    <w:uiPriority w:val="39"/>
    <w:unhideWhenUsed/>
    <w:qFormat/>
    <w:pPr>
      <w:ind w:left="850"/>
      <w:spacing w:after="57"/>
    </w:pPr>
  </w:style>
  <w:style w:type="paragraph" w:styleId="905">
    <w:name w:val="Subtitle"/>
    <w:basedOn w:val="873"/>
    <w:next w:val="873"/>
    <w:link w:val="969"/>
    <w:uiPriority w:val="11"/>
    <w:qFormat/>
    <w:pPr>
      <w:spacing w:before="200" w:after="200"/>
    </w:pPr>
    <w:rPr>
      <w:sz w:val="24"/>
      <w:szCs w:val="24"/>
    </w:rPr>
  </w:style>
  <w:style w:type="paragraph" w:styleId="906">
    <w:name w:val="List"/>
    <w:basedOn w:val="873"/>
    <w:uiPriority w:val="0"/>
    <w:qFormat/>
    <w:pPr>
      <w:ind w:left="200" w:hanging="200"/>
    </w:pPr>
  </w:style>
  <w:style w:type="paragraph" w:styleId="907">
    <w:name w:val="footnote text"/>
    <w:basedOn w:val="873"/>
    <w:link w:val="1102"/>
    <w:uiPriority w:val="99"/>
    <w:semiHidden/>
    <w:unhideWhenUsed/>
    <w:qFormat/>
    <w:pPr>
      <w:spacing w:after="40"/>
    </w:pPr>
    <w:rPr>
      <w:sz w:val="18"/>
    </w:rPr>
  </w:style>
  <w:style w:type="paragraph" w:styleId="908">
    <w:name w:val="toc 6"/>
    <w:basedOn w:val="873"/>
    <w:next w:val="873"/>
    <w:uiPriority w:val="39"/>
    <w:unhideWhenUsed/>
    <w:qFormat/>
    <w:pPr>
      <w:ind w:left="1417"/>
      <w:spacing w:after="57"/>
    </w:pPr>
  </w:style>
  <w:style w:type="paragraph" w:styleId="909">
    <w:name w:val="table of figures"/>
    <w:basedOn w:val="873"/>
    <w:next w:val="873"/>
    <w:uiPriority w:val="99"/>
    <w:unhideWhenUsed/>
    <w:qFormat/>
  </w:style>
  <w:style w:type="paragraph" w:styleId="910">
    <w:name w:val="toc 2"/>
    <w:basedOn w:val="873"/>
    <w:next w:val="873"/>
    <w:uiPriority w:val="39"/>
    <w:unhideWhenUsed/>
    <w:qFormat/>
    <w:pPr>
      <w:ind w:left="283"/>
      <w:spacing w:after="57"/>
    </w:pPr>
  </w:style>
  <w:style w:type="paragraph" w:styleId="911">
    <w:name w:val="toc 9"/>
    <w:basedOn w:val="873"/>
    <w:next w:val="873"/>
    <w:uiPriority w:val="39"/>
    <w:unhideWhenUsed/>
    <w:qFormat/>
    <w:pPr>
      <w:ind w:left="2268"/>
      <w:spacing w:after="57"/>
    </w:pPr>
  </w:style>
  <w:style w:type="paragraph" w:styleId="912">
    <w:name w:val="Body Text 2"/>
    <w:basedOn w:val="873"/>
    <w:uiPriority w:val="0"/>
    <w:qFormat/>
    <w:pPr>
      <w:spacing w:after="120" w:line="480" w:lineRule="auto"/>
    </w:pPr>
  </w:style>
  <w:style w:type="paragraph" w:styleId="913">
    <w:name w:val="HTML Preformatted"/>
    <w:basedOn w:val="87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4">
    <w:name w:val="Normal (Web)"/>
    <w:basedOn w:val="873"/>
    <w:uiPriority w:val="0"/>
    <w:qFormat/>
    <w:pPr>
      <w:ind w:firstLine="420"/>
      <w:jc w:val="left"/>
      <w:spacing w:before="100" w:beforeAutospacing="1" w:after="100" w:afterAutospacing="1" w:line="288" w:lineRule="auto"/>
      <w:widowControl/>
    </w:pPr>
    <w:rPr>
      <w:rFonts w:ascii="宋体" w:hAnsi="宋体"/>
      <w:sz w:val="24"/>
    </w:rPr>
  </w:style>
  <w:style w:type="paragraph" w:styleId="915">
    <w:name w:val="Title"/>
    <w:basedOn w:val="873"/>
    <w:next w:val="873"/>
    <w:link w:val="968"/>
    <w:uiPriority w:val="10"/>
    <w:qFormat/>
    <w:pPr>
      <w:contextualSpacing/>
      <w:spacing w:before="300" w:after="200"/>
    </w:pPr>
    <w:rPr>
      <w:sz w:val="48"/>
      <w:szCs w:val="48"/>
    </w:rPr>
  </w:style>
  <w:style w:type="paragraph" w:styleId="916">
    <w:name w:val="annotation subject"/>
    <w:basedOn w:val="888"/>
    <w:next w:val="888"/>
    <w:link w:val="1227"/>
    <w:uiPriority w:val="99"/>
    <w:semiHidden/>
    <w:unhideWhenUsed/>
    <w:qFormat/>
    <w:rPr>
      <w:b/>
      <w:bCs/>
    </w:rPr>
  </w:style>
  <w:style w:type="paragraph" w:styleId="917">
    <w:name w:val="Body Text First Indent"/>
    <w:basedOn w:val="889"/>
    <w:next w:val="873"/>
    <w:uiPriority w:val="0"/>
    <w:qFormat/>
    <w:pPr>
      <w:ind w:firstLine="420"/>
      <w:spacing w:after="120" w:line="440" w:lineRule="exact"/>
    </w:pPr>
    <w:rPr>
      <w:sz w:val="24"/>
      <w:szCs w:val="28"/>
    </w:rPr>
  </w:style>
  <w:style w:type="paragraph" w:styleId="918">
    <w:name w:val="Body Text First Indent 2"/>
    <w:basedOn w:val="890"/>
    <w:uiPriority w:val="99"/>
    <w:unhideWhenUsed/>
    <w:qFormat/>
    <w:pPr>
      <w:ind w:left="0" w:firstLine="420"/>
    </w:pPr>
    <w:rPr>
      <w:rFonts w:ascii="Times New Roman"/>
      <w:sz w:val="20"/>
    </w:rPr>
  </w:style>
  <w:style w:type="table" w:styleId="9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Strong"/>
    <w:uiPriority w:val="0"/>
    <w:qFormat/>
    <w:rPr>
      <w:rFonts w:ascii="Times New Roman" w:hAnsi="Times New Roman" w:eastAsia="宋体" w:cs="Times New Roman"/>
      <w:b/>
      <w:bCs/>
    </w:rPr>
  </w:style>
  <w:style w:type="character" w:styleId="921">
    <w:name w:val="endnote reference"/>
    <w:uiPriority w:val="99"/>
    <w:semiHidden/>
    <w:unhideWhenUsed/>
    <w:qFormat/>
    <w:rPr>
      <w:vertAlign w:val="superscript"/>
    </w:rPr>
  </w:style>
  <w:style w:type="character" w:styleId="922">
    <w:name w:val="page number"/>
    <w:basedOn w:val="883"/>
    <w:uiPriority w:val="0"/>
    <w:qFormat/>
  </w:style>
  <w:style w:type="character" w:styleId="923">
    <w:name w:val="FollowedHyperlink"/>
    <w:basedOn w:val="883"/>
    <w:uiPriority w:val="99"/>
    <w:semiHidden/>
    <w:unhideWhenUsed/>
    <w:qFormat/>
    <w:rPr>
      <w:color w:val="800080"/>
      <w:u w:val="none"/>
    </w:rPr>
  </w:style>
  <w:style w:type="character" w:styleId="924">
    <w:name w:val="HTML Definition"/>
    <w:basedOn w:val="883"/>
    <w:uiPriority w:val="99"/>
    <w:semiHidden/>
    <w:unhideWhenUsed/>
    <w:qFormat/>
  </w:style>
  <w:style w:type="character" w:styleId="925">
    <w:name w:val="HTML Typewriter"/>
    <w:basedOn w:val="883"/>
    <w:uiPriority w:val="99"/>
    <w:semiHidden/>
    <w:unhideWhenUsed/>
    <w:qFormat/>
    <w:rPr>
      <w:rFonts w:hint="default" w:ascii="monospace" w:hAnsi="monospace" w:eastAsia="monospace" w:cs="monospace"/>
      <w:sz w:val="20"/>
    </w:rPr>
  </w:style>
  <w:style w:type="character" w:styleId="926">
    <w:name w:val="HTML Acronym"/>
    <w:basedOn w:val="883"/>
    <w:uiPriority w:val="99"/>
    <w:semiHidden/>
    <w:unhideWhenUsed/>
    <w:qFormat/>
  </w:style>
  <w:style w:type="character" w:styleId="927">
    <w:name w:val="HTML Variable"/>
    <w:basedOn w:val="883"/>
    <w:uiPriority w:val="99"/>
    <w:semiHidden/>
    <w:unhideWhenUsed/>
    <w:qFormat/>
  </w:style>
  <w:style w:type="character" w:styleId="928">
    <w:name w:val="Hyperlink"/>
    <w:uiPriority w:val="99"/>
    <w:unhideWhenUsed/>
    <w:qFormat/>
    <w:rPr>
      <w:color w:val="0000ff" w:themeColor="hyperlink"/>
      <w:u w:val="single"/>
      <w14:textFill>
        <w14:solidFill>
          <w14:schemeClr w14:val="hlink"/>
        </w14:solidFill>
      </w14:textFill>
    </w:rPr>
  </w:style>
  <w:style w:type="character" w:styleId="929">
    <w:name w:val="HTML Code"/>
    <w:basedOn w:val="883"/>
    <w:uiPriority w:val="99"/>
    <w:semiHidden/>
    <w:unhideWhenUsed/>
    <w:qFormat/>
    <w:rPr>
      <w:rFonts w:hint="default" w:ascii="monospace" w:hAnsi="monospace" w:eastAsia="monospace" w:cs="monospace"/>
      <w:sz w:val="20"/>
    </w:rPr>
  </w:style>
  <w:style w:type="character" w:styleId="930">
    <w:name w:val="annotation reference"/>
    <w:basedOn w:val="883"/>
    <w:uiPriority w:val="99"/>
    <w:semiHidden/>
    <w:unhideWhenUsed/>
    <w:qFormat/>
    <w:rPr>
      <w:sz w:val="21"/>
      <w:szCs w:val="21"/>
    </w:rPr>
  </w:style>
  <w:style w:type="character" w:styleId="931">
    <w:name w:val="HTML Cite"/>
    <w:basedOn w:val="883"/>
    <w:uiPriority w:val="99"/>
    <w:semiHidden/>
    <w:unhideWhenUsed/>
    <w:qFormat/>
  </w:style>
  <w:style w:type="character" w:styleId="932">
    <w:name w:val="footnote reference"/>
    <w:uiPriority w:val="99"/>
    <w:unhideWhenUsed/>
    <w:qFormat/>
    <w:rPr>
      <w:vertAlign w:val="superscript"/>
    </w:rPr>
  </w:style>
  <w:style w:type="character" w:styleId="933">
    <w:name w:val="HTML Keyboard"/>
    <w:basedOn w:val="883"/>
    <w:uiPriority w:val="99"/>
    <w:semiHidden/>
    <w:unhideWhenUsed/>
    <w:qFormat/>
    <w:rPr>
      <w:rFonts w:hint="default" w:ascii="monospace" w:hAnsi="monospace" w:eastAsia="monospace" w:cs="monospace"/>
      <w:sz w:val="20"/>
    </w:rPr>
  </w:style>
  <w:style w:type="character" w:styleId="934">
    <w:name w:val="HTML Sample"/>
    <w:basedOn w:val="883"/>
    <w:uiPriority w:val="99"/>
    <w:semiHidden/>
    <w:unhideWhenUsed/>
    <w:qFormat/>
    <w:rPr>
      <w:rFonts w:ascii="monospace" w:hAnsi="monospace" w:eastAsia="monospace" w:cs="monospace"/>
    </w:rPr>
  </w:style>
  <w:style w:type="character" w:styleId="935" w:customStyle="1">
    <w:name w:val="Heading 1 Char"/>
    <w:basedOn w:val="883"/>
    <w:uiPriority w:val="9"/>
    <w:qFormat/>
    <w:rPr>
      <w:rFonts w:ascii="Arial" w:hAnsi="Arial" w:eastAsia="Arial" w:cs="Arial"/>
      <w:sz w:val="40"/>
      <w:szCs w:val="40"/>
    </w:rPr>
  </w:style>
  <w:style w:type="character" w:styleId="936" w:customStyle="1">
    <w:name w:val="Heading 2 Char"/>
    <w:basedOn w:val="883"/>
    <w:uiPriority w:val="9"/>
    <w:qFormat/>
    <w:rPr>
      <w:rFonts w:ascii="Arial" w:hAnsi="Arial" w:eastAsia="Arial" w:cs="Arial"/>
      <w:sz w:val="34"/>
    </w:rPr>
  </w:style>
  <w:style w:type="character" w:styleId="937" w:customStyle="1">
    <w:name w:val="Heading 3 Char"/>
    <w:basedOn w:val="883"/>
    <w:uiPriority w:val="9"/>
    <w:qFormat/>
    <w:rPr>
      <w:rFonts w:ascii="Arial" w:hAnsi="Arial" w:eastAsia="Arial" w:cs="Arial"/>
      <w:sz w:val="30"/>
      <w:szCs w:val="30"/>
    </w:rPr>
  </w:style>
  <w:style w:type="character" w:styleId="938" w:customStyle="1">
    <w:name w:val="Heading 4 Char"/>
    <w:basedOn w:val="883"/>
    <w:uiPriority w:val="9"/>
    <w:qFormat/>
    <w:rPr>
      <w:rFonts w:ascii="Arial" w:hAnsi="Arial" w:eastAsia="Arial" w:cs="Arial"/>
      <w:b/>
      <w:bCs/>
      <w:sz w:val="26"/>
      <w:szCs w:val="26"/>
    </w:rPr>
  </w:style>
  <w:style w:type="character" w:styleId="939" w:customStyle="1">
    <w:name w:val="Heading 5 Char"/>
    <w:basedOn w:val="883"/>
    <w:uiPriority w:val="9"/>
    <w:qFormat/>
    <w:rPr>
      <w:rFonts w:ascii="Arial" w:hAnsi="Arial" w:eastAsia="Arial" w:cs="Arial"/>
      <w:b/>
      <w:bCs/>
      <w:sz w:val="24"/>
      <w:szCs w:val="24"/>
    </w:rPr>
  </w:style>
  <w:style w:type="character" w:styleId="940" w:customStyle="1">
    <w:name w:val="Heading 6 Char"/>
    <w:basedOn w:val="883"/>
    <w:uiPriority w:val="9"/>
    <w:qFormat/>
    <w:rPr>
      <w:rFonts w:ascii="Arial" w:hAnsi="Arial" w:eastAsia="Arial" w:cs="Arial"/>
      <w:b/>
      <w:bCs/>
      <w:sz w:val="22"/>
      <w:szCs w:val="22"/>
    </w:rPr>
  </w:style>
  <w:style w:type="character" w:styleId="941" w:customStyle="1">
    <w:name w:val="Heading 7 Char"/>
    <w:basedOn w:val="883"/>
    <w:uiPriority w:val="9"/>
    <w:qFormat/>
    <w:rPr>
      <w:rFonts w:ascii="Arial" w:hAnsi="Arial" w:eastAsia="Arial" w:cs="Arial"/>
      <w:b/>
      <w:bCs/>
      <w:i/>
      <w:iCs/>
      <w:sz w:val="22"/>
      <w:szCs w:val="22"/>
    </w:rPr>
  </w:style>
  <w:style w:type="character" w:styleId="942" w:customStyle="1">
    <w:name w:val="Heading 8 Char"/>
    <w:basedOn w:val="883"/>
    <w:uiPriority w:val="9"/>
    <w:qFormat/>
    <w:rPr>
      <w:rFonts w:ascii="Arial" w:hAnsi="Arial" w:eastAsia="Arial" w:cs="Arial"/>
      <w:i/>
      <w:iCs/>
      <w:sz w:val="22"/>
      <w:szCs w:val="22"/>
    </w:rPr>
  </w:style>
  <w:style w:type="character" w:styleId="943" w:customStyle="1">
    <w:name w:val="Heading 9 Char"/>
    <w:basedOn w:val="883"/>
    <w:uiPriority w:val="9"/>
    <w:qFormat/>
    <w:rPr>
      <w:rFonts w:ascii="Arial" w:hAnsi="Arial" w:eastAsia="Arial" w:cs="Arial"/>
      <w:i/>
      <w:iCs/>
      <w:sz w:val="21"/>
      <w:szCs w:val="21"/>
    </w:rPr>
  </w:style>
  <w:style w:type="character" w:styleId="944" w:customStyle="1">
    <w:name w:val="Title Char"/>
    <w:basedOn w:val="883"/>
    <w:uiPriority w:val="10"/>
    <w:qFormat/>
    <w:rPr>
      <w:sz w:val="48"/>
      <w:szCs w:val="48"/>
    </w:rPr>
  </w:style>
  <w:style w:type="character" w:styleId="945" w:customStyle="1">
    <w:name w:val="Subtitle Char"/>
    <w:basedOn w:val="883"/>
    <w:uiPriority w:val="11"/>
    <w:qFormat/>
    <w:rPr>
      <w:sz w:val="24"/>
      <w:szCs w:val="24"/>
    </w:rPr>
  </w:style>
  <w:style w:type="character" w:styleId="946" w:customStyle="1">
    <w:name w:val="Quote Char"/>
    <w:uiPriority w:val="29"/>
    <w:qFormat/>
    <w:rPr>
      <w:i/>
    </w:rPr>
  </w:style>
  <w:style w:type="character" w:styleId="947" w:customStyle="1">
    <w:name w:val="Intense Quote Char"/>
    <w:uiPriority w:val="30"/>
    <w:qFormat/>
    <w:rPr>
      <w:i/>
    </w:rPr>
  </w:style>
  <w:style w:type="character" w:styleId="948" w:customStyle="1">
    <w:name w:val="Header Char"/>
    <w:basedOn w:val="883"/>
    <w:uiPriority w:val="99"/>
    <w:qFormat/>
  </w:style>
  <w:style w:type="character" w:styleId="949" w:customStyle="1">
    <w:name w:val="Caption Char"/>
    <w:uiPriority w:val="99"/>
    <w:qFormat/>
  </w:style>
  <w:style w:type="character" w:styleId="950" w:customStyle="1">
    <w:name w:val="Footnote Text Char"/>
    <w:uiPriority w:val="99"/>
    <w:qFormat/>
    <w:rPr>
      <w:sz w:val="18"/>
    </w:rPr>
  </w:style>
  <w:style w:type="character" w:styleId="951" w:customStyle="1">
    <w:name w:val="Endnote Text Char"/>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paragraph" w:styleId="953" w:customStyle="1">
    <w:name w:val="_Style 1"/>
    <w:basedOn w:val="873"/>
    <w:uiPriority w:val="0"/>
    <w:qFormat/>
    <w:pPr>
      <w:ind w:firstLine="420"/>
    </w:pPr>
    <w:rPr>
      <w:szCs w:val="22"/>
    </w:rPr>
  </w:style>
  <w:style w:type="paragraph" w:styleId="954" w:customStyle="1">
    <w:name w:val="正文文本缩进1"/>
    <w:basedOn w:val="873"/>
    <w:next w:val="873"/>
    <w:link w:val="1138"/>
    <w:uiPriority w:val="0"/>
    <w:qFormat/>
    <w:pPr>
      <w:ind w:firstLine="645"/>
    </w:pPr>
    <w:rPr>
      <w:rFonts w:ascii="楷体_GB2312" w:eastAsia="楷体_GB2312"/>
      <w:sz w:val="32"/>
      <w:szCs w:val="32"/>
      <w:lang w:eastAsia="en-US"/>
    </w:rPr>
  </w:style>
  <w:style w:type="paragraph" w:styleId="955">
    <w:name w:val="List Paragraph"/>
    <w:basedOn w:val="873"/>
    <w:uiPriority w:val="34"/>
    <w:qFormat/>
    <w:pPr>
      <w:contextualSpacing/>
      <w:ind w:left="720"/>
    </w:pPr>
  </w:style>
  <w:style w:type="paragraph" w:styleId="956" w:customStyle="1">
    <w:name w:val="列出段落1"/>
    <w:basedOn w:val="873"/>
    <w:link w:val="1184"/>
    <w:uiPriority w:val="0"/>
    <w:qFormat/>
    <w:pPr>
      <w:contextualSpacing/>
      <w:ind w:left="720"/>
      <w:jc w:val="left"/>
      <w:widowControl/>
    </w:pPr>
    <w:rPr>
      <w:rFonts w:ascii="Calibri" w:hAnsi="Calibri"/>
      <w:sz w:val="24"/>
      <w:szCs w:val="24"/>
      <w:lang w:eastAsia="en-US" w:bidi="en-US"/>
    </w:rPr>
  </w:style>
  <w:style w:type="paragraph" w:styleId="957" w:customStyle="1">
    <w:name w:val="段"/>
    <w:next w:val="873"/>
    <w:uiPriority w:val="0"/>
    <w:qFormat/>
    <w:pPr>
      <w:ind w:firstLine="200"/>
      <w:jc w:val="both"/>
    </w:pPr>
    <w:rPr>
      <w:rFonts w:ascii="宋体" w:hAnsi="Calibri" w:eastAsia="宋体" w:cs="Times New Roman"/>
      <w:sz w:val="21"/>
      <w:lang w:val="en-US" w:eastAsia="zh-CN" w:bidi="ar-SA"/>
    </w:rPr>
  </w:style>
  <w:style w:type="character" w:styleId="958" w:customStyle="1">
    <w:name w:val="标题 1 字符"/>
    <w:link w:val="874"/>
    <w:uiPriority w:val="9"/>
    <w:qFormat/>
    <w:rPr>
      <w:rFonts w:ascii="Arial" w:hAnsi="Arial" w:eastAsia="Arial" w:cs="Arial"/>
      <w:sz w:val="40"/>
      <w:szCs w:val="40"/>
    </w:rPr>
  </w:style>
  <w:style w:type="character" w:styleId="959" w:customStyle="1">
    <w:name w:val="标题 2 字符"/>
    <w:link w:val="875"/>
    <w:uiPriority w:val="9"/>
    <w:qFormat/>
    <w:rPr>
      <w:rFonts w:ascii="Arial" w:hAnsi="Arial" w:eastAsia="Arial" w:cs="Arial"/>
      <w:sz w:val="34"/>
    </w:rPr>
  </w:style>
  <w:style w:type="character" w:styleId="960" w:customStyle="1">
    <w:name w:val="标题 3 字符"/>
    <w:link w:val="876"/>
    <w:uiPriority w:val="9"/>
    <w:qFormat/>
    <w:rPr>
      <w:rFonts w:ascii="Arial" w:hAnsi="Arial" w:eastAsia="Arial" w:cs="Arial"/>
      <w:sz w:val="30"/>
      <w:szCs w:val="30"/>
    </w:rPr>
  </w:style>
  <w:style w:type="character" w:styleId="961" w:customStyle="1">
    <w:name w:val="标题 4 字符"/>
    <w:link w:val="877"/>
    <w:uiPriority w:val="9"/>
    <w:qFormat/>
    <w:rPr>
      <w:rFonts w:ascii="Arial" w:hAnsi="Arial" w:eastAsia="Arial" w:cs="Arial"/>
      <w:b/>
      <w:bCs/>
      <w:sz w:val="26"/>
      <w:szCs w:val="26"/>
    </w:rPr>
  </w:style>
  <w:style w:type="character" w:styleId="962" w:customStyle="1">
    <w:name w:val="标题 5 字符"/>
    <w:link w:val="878"/>
    <w:uiPriority w:val="9"/>
    <w:qFormat/>
    <w:rPr>
      <w:rFonts w:ascii="Arial" w:hAnsi="Arial" w:eastAsia="Arial" w:cs="Arial"/>
      <w:b/>
      <w:bCs/>
      <w:sz w:val="24"/>
      <w:szCs w:val="24"/>
    </w:rPr>
  </w:style>
  <w:style w:type="character" w:styleId="963" w:customStyle="1">
    <w:name w:val="标题 6 字符"/>
    <w:link w:val="879"/>
    <w:uiPriority w:val="9"/>
    <w:qFormat/>
    <w:rPr>
      <w:rFonts w:ascii="Arial" w:hAnsi="Arial" w:eastAsia="Arial" w:cs="Arial"/>
      <w:b/>
      <w:bCs/>
      <w:sz w:val="22"/>
      <w:szCs w:val="22"/>
    </w:rPr>
  </w:style>
  <w:style w:type="character" w:styleId="964" w:customStyle="1">
    <w:name w:val="标题 7 字符"/>
    <w:link w:val="880"/>
    <w:uiPriority w:val="9"/>
    <w:qFormat/>
    <w:rPr>
      <w:rFonts w:ascii="Arial" w:hAnsi="Arial" w:eastAsia="Arial" w:cs="Arial"/>
      <w:b/>
      <w:bCs/>
      <w:i/>
      <w:iCs/>
      <w:sz w:val="22"/>
      <w:szCs w:val="22"/>
    </w:rPr>
  </w:style>
  <w:style w:type="character" w:styleId="965" w:customStyle="1">
    <w:name w:val="标题 8 字符"/>
    <w:link w:val="881"/>
    <w:uiPriority w:val="9"/>
    <w:qFormat/>
    <w:rPr>
      <w:rFonts w:ascii="Arial" w:hAnsi="Arial" w:eastAsia="Arial" w:cs="Arial"/>
      <w:i/>
      <w:iCs/>
      <w:sz w:val="22"/>
      <w:szCs w:val="22"/>
    </w:rPr>
  </w:style>
  <w:style w:type="character" w:styleId="966" w:customStyle="1">
    <w:name w:val="标题 9 字符"/>
    <w:link w:val="882"/>
    <w:uiPriority w:val="9"/>
    <w:qFormat/>
    <w:rPr>
      <w:rFonts w:ascii="Arial" w:hAnsi="Arial" w:eastAsia="Arial" w:cs="Arial"/>
      <w:i/>
      <w:iCs/>
      <w:sz w:val="21"/>
      <w:szCs w:val="21"/>
    </w:rPr>
  </w:style>
  <w:style w:type="paragraph" w:styleId="967">
    <w:name w:val="No Spacing"/>
    <w:uiPriority w:val="1"/>
    <w:qFormat/>
    <w:rPr>
      <w:rFonts w:ascii="Calibri" w:hAnsi="Calibri" w:eastAsia="宋体" w:cs="Times New Roman"/>
      <w:lang w:val="en-US" w:eastAsia="zh-CN" w:bidi="ar-SA"/>
    </w:rPr>
  </w:style>
  <w:style w:type="character" w:styleId="968" w:customStyle="1">
    <w:name w:val="标题 字符"/>
    <w:link w:val="915"/>
    <w:uiPriority w:val="10"/>
    <w:qFormat/>
    <w:rPr>
      <w:sz w:val="48"/>
      <w:szCs w:val="48"/>
    </w:rPr>
  </w:style>
  <w:style w:type="character" w:styleId="969" w:customStyle="1">
    <w:name w:val="副标题 字符"/>
    <w:link w:val="905"/>
    <w:uiPriority w:val="11"/>
    <w:qFormat/>
    <w:rPr>
      <w:sz w:val="24"/>
      <w:szCs w:val="24"/>
    </w:rPr>
  </w:style>
  <w:style w:type="paragraph" w:styleId="970">
    <w:name w:val="Quote"/>
    <w:basedOn w:val="873"/>
    <w:next w:val="873"/>
    <w:link w:val="971"/>
    <w:uiPriority w:val="29"/>
    <w:qFormat/>
    <w:pPr>
      <w:ind w:left="720" w:right="720"/>
    </w:pPr>
    <w:rPr>
      <w:i/>
    </w:rPr>
  </w:style>
  <w:style w:type="character" w:styleId="971" w:customStyle="1">
    <w:name w:val="引用 字符"/>
    <w:link w:val="970"/>
    <w:uiPriority w:val="29"/>
    <w:qFormat/>
    <w:rPr>
      <w:i/>
    </w:rPr>
  </w:style>
  <w:style w:type="paragraph" w:styleId="972">
    <w:name w:val="Intense Quote"/>
    <w:basedOn w:val="873"/>
    <w:next w:val="873"/>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字符"/>
    <w:link w:val="972"/>
    <w:uiPriority w:val="30"/>
    <w:qFormat/>
    <w:rPr>
      <w:i/>
    </w:rPr>
  </w:style>
  <w:style w:type="character" w:styleId="974" w:customStyle="1">
    <w:name w:val="页眉 字符"/>
    <w:link w:val="902"/>
    <w:uiPriority w:val="99"/>
    <w:qFormat/>
  </w:style>
  <w:style w:type="character" w:styleId="975" w:customStyle="1">
    <w:name w:val="Footer Char"/>
    <w:uiPriority w:val="99"/>
    <w:qFormat/>
  </w:style>
  <w:style w:type="character" w:styleId="976" w:customStyle="1">
    <w:name w:val="页脚 字符"/>
    <w:link w:val="901"/>
    <w:uiPriority w:val="99"/>
    <w:qFormat/>
  </w:style>
  <w:style w:type="table" w:styleId="9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2" w:customStyle="1">
    <w:name w:val="脚注文本 字符"/>
    <w:link w:val="907"/>
    <w:uiPriority w:val="99"/>
    <w:qFormat/>
    <w:rPr>
      <w:sz w:val="18"/>
    </w:rPr>
  </w:style>
  <w:style w:type="character" w:styleId="1103" w:customStyle="1">
    <w:name w:val="尾注文本 字符"/>
    <w:link w:val="899"/>
    <w:uiPriority w:val="99"/>
    <w:qFormat/>
    <w:rPr>
      <w:sz w:val="20"/>
    </w:rPr>
  </w:style>
  <w:style w:type="paragraph" w:styleId="1104" w:customStyle="1">
    <w:name w:val="TOC 标题11"/>
    <w:uiPriority w:val="39"/>
    <w:unhideWhenUsed/>
    <w:qFormat/>
    <w:rPr>
      <w:rFonts w:ascii="Calibri" w:hAnsi="Calibri" w:eastAsia="宋体" w:cs="Times New Roman"/>
      <w:lang w:val="en-US" w:eastAsia="zh-CN" w:bidi="ar-SA"/>
    </w:rPr>
  </w:style>
  <w:style w:type="paragraph" w:styleId="1105" w:customStyle="1">
    <w:name w:val="标题 11"/>
    <w:basedOn w:val="873"/>
    <w:next w:val="873"/>
    <w:link w:val="1117"/>
    <w:uiPriority w:val="0"/>
    <w:qFormat/>
    <w:pPr>
      <w:jc w:val="center"/>
      <w:keepNext/>
      <w:outlineLvl w:val="0"/>
    </w:pPr>
    <w:rPr>
      <w:rFonts w:ascii="楷体_GB2312" w:eastAsia="楷体_GB2312"/>
      <w:sz w:val="28"/>
      <w:szCs w:val="28"/>
      <w:lang w:eastAsia="en-US"/>
    </w:rPr>
  </w:style>
  <w:style w:type="paragraph" w:styleId="1106" w:customStyle="1">
    <w:name w:val="标题 21"/>
    <w:basedOn w:val="873"/>
    <w:next w:val="1107"/>
    <w:link w:val="111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07" w:customStyle="1">
    <w:name w:val="正文缩进1"/>
    <w:basedOn w:val="873"/>
    <w:link w:val="1119"/>
    <w:uiPriority w:val="0"/>
    <w:qFormat/>
    <w:pPr>
      <w:ind w:firstLine="420"/>
    </w:pPr>
    <w:rPr>
      <w:sz w:val="20"/>
      <w:lang w:eastAsia="en-US"/>
    </w:rPr>
  </w:style>
  <w:style w:type="paragraph" w:styleId="1108" w:customStyle="1">
    <w:name w:val="标题 31"/>
    <w:basedOn w:val="873"/>
    <w:next w:val="1107"/>
    <w:link w:val="1120"/>
    <w:uiPriority w:val="0"/>
    <w:qFormat/>
    <w:pPr>
      <w:keepLines/>
      <w:keepNext/>
      <w:spacing w:before="260" w:after="260" w:line="416" w:lineRule="auto"/>
      <w:outlineLvl w:val="2"/>
    </w:pPr>
    <w:rPr>
      <w:b/>
      <w:bCs/>
      <w:sz w:val="32"/>
      <w:szCs w:val="32"/>
      <w:lang w:eastAsia="en-US"/>
    </w:rPr>
  </w:style>
  <w:style w:type="paragraph" w:styleId="1109" w:customStyle="1">
    <w:name w:val="标题 41"/>
    <w:basedOn w:val="873"/>
    <w:next w:val="873"/>
    <w:link w:val="1121"/>
    <w:uiPriority w:val="0"/>
    <w:qFormat/>
    <w:pPr>
      <w:keepLines/>
      <w:keepNext/>
      <w:spacing w:before="280" w:after="290" w:line="376" w:lineRule="auto"/>
      <w:outlineLvl w:val="3"/>
    </w:pPr>
    <w:rPr>
      <w:rFonts w:ascii="Arial" w:hAnsi="Arial" w:eastAsia="黑体"/>
      <w:b/>
      <w:bCs/>
      <w:sz w:val="28"/>
      <w:szCs w:val="28"/>
      <w:lang w:eastAsia="en-US"/>
    </w:rPr>
  </w:style>
  <w:style w:type="paragraph" w:styleId="1110" w:customStyle="1">
    <w:name w:val="标题 51"/>
    <w:basedOn w:val="873"/>
    <w:next w:val="1107"/>
    <w:link w:val="1122"/>
    <w:uiPriority w:val="0"/>
    <w:qFormat/>
    <w:pPr>
      <w:keepNext/>
      <w:outlineLvl w:val="4"/>
    </w:pPr>
    <w:rPr>
      <w:rFonts w:ascii="宋体"/>
      <w:color w:val="000000"/>
      <w:sz w:val="28"/>
      <w:szCs w:val="28"/>
      <w:lang w:eastAsia="en-US"/>
    </w:rPr>
  </w:style>
  <w:style w:type="paragraph" w:styleId="1111" w:customStyle="1">
    <w:name w:val="标题 61"/>
    <w:basedOn w:val="873"/>
    <w:next w:val="873"/>
    <w:link w:val="112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112" w:customStyle="1">
    <w:name w:val="标题 71"/>
    <w:basedOn w:val="873"/>
    <w:next w:val="873"/>
    <w:link w:val="1124"/>
    <w:uiPriority w:val="0"/>
    <w:qFormat/>
    <w:pPr>
      <w:numPr>
        <w:ilvl w:val="6"/>
        <w:numId w:val="1"/>
      </w:numPr>
      <w:keepLines/>
      <w:keepNext/>
      <w:spacing w:before="240" w:after="64" w:line="320" w:lineRule="auto"/>
      <w:outlineLvl w:val="6"/>
    </w:pPr>
    <w:rPr>
      <w:b/>
      <w:bCs/>
      <w:sz w:val="24"/>
      <w:szCs w:val="24"/>
      <w:lang w:eastAsia="en-US"/>
    </w:rPr>
  </w:style>
  <w:style w:type="paragraph" w:styleId="1113" w:customStyle="1">
    <w:name w:val="标题 81"/>
    <w:basedOn w:val="873"/>
    <w:next w:val="873"/>
    <w:link w:val="112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114" w:customStyle="1">
    <w:name w:val="标题 91"/>
    <w:basedOn w:val="873"/>
    <w:next w:val="873"/>
    <w:link w:val="1126"/>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1115" w:customStyle="1">
    <w:name w:val="默认段落字体1"/>
    <w:uiPriority w:val="1"/>
    <w:unhideWhenUsed/>
    <w:qFormat/>
  </w:style>
  <w:style w:type="table" w:styleId="1116" w:customStyle="1">
    <w:name w:val="普通表格1"/>
    <w:uiPriority w:val="99"/>
    <w:unhideWhenUsed/>
    <w:qFormat/>
    <w:tblPr>
      <w:tblCellMar>
        <w:left w:w="0" w:type="dxa"/>
        <w:top w:w="0" w:type="dxa"/>
        <w:right w:w="0" w:type="dxa"/>
        <w:bottom w:w="0" w:type="dxa"/>
      </w:tblCellMar>
    </w:tblPr>
  </w:style>
  <w:style w:type="character" w:styleId="1117" w:customStyle="1">
    <w:name w:val="标题 1 Char"/>
    <w:link w:val="1105"/>
    <w:uiPriority w:val="0"/>
    <w:qFormat/>
    <w:rPr>
      <w:rFonts w:ascii="楷体_GB2312" w:hAnsi="Times New Roman" w:eastAsia="楷体_GB2312" w:cs="Times New Roman"/>
      <w:sz w:val="28"/>
      <w:szCs w:val="28"/>
    </w:rPr>
  </w:style>
  <w:style w:type="character" w:styleId="1118" w:customStyle="1">
    <w:name w:val="标题 2 Char"/>
    <w:link w:val="1106"/>
    <w:uiPriority w:val="0"/>
    <w:qFormat/>
    <w:rPr>
      <w:rFonts w:ascii="Arial" w:hAnsi="Arial" w:eastAsia="幼圆" w:cs="Arial"/>
      <w:b/>
      <w:bCs/>
      <w:sz w:val="44"/>
      <w:szCs w:val="44"/>
    </w:rPr>
  </w:style>
  <w:style w:type="character" w:styleId="1119" w:customStyle="1">
    <w:name w:val="正文缩进 Char"/>
    <w:link w:val="1107"/>
    <w:uiPriority w:val="0"/>
    <w:qFormat/>
    <w:rPr>
      <w:rFonts w:ascii="Times New Roman" w:hAnsi="Times New Roman" w:eastAsia="宋体" w:cs="Times New Roman"/>
      <w:szCs w:val="21"/>
    </w:rPr>
  </w:style>
  <w:style w:type="character" w:styleId="1120" w:customStyle="1">
    <w:name w:val="标题 3 Char"/>
    <w:link w:val="1108"/>
    <w:uiPriority w:val="0"/>
    <w:qFormat/>
    <w:rPr>
      <w:rFonts w:ascii="Times New Roman" w:hAnsi="Times New Roman" w:eastAsia="宋体" w:cs="Times New Roman"/>
      <w:b/>
      <w:bCs/>
      <w:sz w:val="32"/>
      <w:szCs w:val="32"/>
    </w:rPr>
  </w:style>
  <w:style w:type="character" w:styleId="1121" w:customStyle="1">
    <w:name w:val="标题 4 Char"/>
    <w:link w:val="1109"/>
    <w:uiPriority w:val="0"/>
    <w:qFormat/>
    <w:rPr>
      <w:rFonts w:ascii="Arial" w:hAnsi="Arial" w:eastAsia="黑体" w:cs="Arial"/>
      <w:b/>
      <w:bCs/>
      <w:sz w:val="28"/>
      <w:szCs w:val="28"/>
    </w:rPr>
  </w:style>
  <w:style w:type="character" w:styleId="1122" w:customStyle="1">
    <w:name w:val="标题 5 Char"/>
    <w:link w:val="1110"/>
    <w:uiPriority w:val="0"/>
    <w:qFormat/>
    <w:rPr>
      <w:rFonts w:ascii="宋体" w:hAnsi="Times New Roman" w:eastAsia="宋体" w:cs="Times New Roman"/>
      <w:color w:val="000000"/>
      <w:sz w:val="28"/>
      <w:szCs w:val="28"/>
    </w:rPr>
  </w:style>
  <w:style w:type="character" w:styleId="1123" w:customStyle="1">
    <w:name w:val="标题 6 Char"/>
    <w:link w:val="1111"/>
    <w:uiPriority w:val="0"/>
    <w:qFormat/>
    <w:rPr>
      <w:rFonts w:ascii="Arial" w:hAnsi="Arial" w:eastAsia="黑体" w:cs="Times New Roman"/>
      <w:b/>
      <w:bCs/>
      <w:sz w:val="24"/>
      <w:szCs w:val="24"/>
    </w:rPr>
  </w:style>
  <w:style w:type="character" w:styleId="1124" w:customStyle="1">
    <w:name w:val="标题 7 Char"/>
    <w:link w:val="1112"/>
    <w:uiPriority w:val="0"/>
    <w:qFormat/>
    <w:rPr>
      <w:rFonts w:ascii="Times New Roman" w:hAnsi="Times New Roman" w:eastAsia="宋体" w:cs="Times New Roman"/>
      <w:b/>
      <w:bCs/>
      <w:sz w:val="24"/>
      <w:szCs w:val="24"/>
    </w:rPr>
  </w:style>
  <w:style w:type="character" w:styleId="1125" w:customStyle="1">
    <w:name w:val="标题 8 Char"/>
    <w:link w:val="1113"/>
    <w:uiPriority w:val="0"/>
    <w:qFormat/>
    <w:rPr>
      <w:rFonts w:ascii="Arial" w:hAnsi="Arial" w:eastAsia="黑体" w:cs="Times New Roman"/>
      <w:sz w:val="24"/>
      <w:szCs w:val="24"/>
    </w:rPr>
  </w:style>
  <w:style w:type="character" w:styleId="1126" w:customStyle="1">
    <w:name w:val="标题 9 Char"/>
    <w:link w:val="1114"/>
    <w:uiPriority w:val="0"/>
    <w:qFormat/>
    <w:rPr>
      <w:rFonts w:ascii="Arial" w:hAnsi="Arial" w:eastAsia="黑体" w:cs="Times New Roman"/>
      <w:szCs w:val="21"/>
    </w:rPr>
  </w:style>
  <w:style w:type="paragraph" w:styleId="1127" w:customStyle="1">
    <w:name w:val="列表 31"/>
    <w:basedOn w:val="873"/>
    <w:uiPriority w:val="0"/>
    <w:qFormat/>
    <w:pPr>
      <w:ind w:left="100" w:hanging="200"/>
    </w:pPr>
  </w:style>
  <w:style w:type="paragraph" w:styleId="1128" w:customStyle="1">
    <w:name w:val="目录 71"/>
    <w:basedOn w:val="873"/>
    <w:next w:val="873"/>
    <w:uiPriority w:val="0"/>
    <w:semiHidden/>
    <w:qFormat/>
    <w:pPr>
      <w:ind w:left="1260"/>
      <w:jc w:val="left"/>
    </w:pPr>
  </w:style>
  <w:style w:type="paragraph" w:styleId="1129" w:customStyle="1">
    <w:name w:val="文档结构图1"/>
    <w:basedOn w:val="873"/>
    <w:link w:val="1130"/>
    <w:uiPriority w:val="0"/>
    <w:semiHidden/>
    <w:qFormat/>
    <w:pPr>
      <w:shd w:val="clear" w:color="auto" w:fill="000080"/>
    </w:pPr>
    <w:rPr>
      <w:sz w:val="20"/>
      <w:lang w:eastAsia="en-US"/>
    </w:rPr>
  </w:style>
  <w:style w:type="character" w:styleId="1130" w:customStyle="1">
    <w:name w:val="文档结构图 Char"/>
    <w:link w:val="1129"/>
    <w:uiPriority w:val="0"/>
    <w:semiHidden/>
    <w:qFormat/>
    <w:rPr>
      <w:rFonts w:ascii="Times New Roman" w:hAnsi="Times New Roman" w:eastAsia="宋体" w:cs="Times New Roman"/>
      <w:szCs w:val="21"/>
      <w:shd w:val="clear" w:color="auto" w:fill="000080"/>
    </w:rPr>
  </w:style>
  <w:style w:type="paragraph" w:styleId="1131" w:customStyle="1">
    <w:name w:val="批注文字1"/>
    <w:basedOn w:val="873"/>
    <w:link w:val="1132"/>
    <w:uiPriority w:val="0"/>
    <w:semiHidden/>
    <w:qFormat/>
    <w:pPr>
      <w:jc w:val="left"/>
    </w:pPr>
    <w:rPr>
      <w:sz w:val="20"/>
      <w:lang w:eastAsia="en-US"/>
    </w:rPr>
  </w:style>
  <w:style w:type="character" w:styleId="1132" w:customStyle="1">
    <w:name w:val="批注文字 Char"/>
    <w:link w:val="1131"/>
    <w:uiPriority w:val="0"/>
    <w:semiHidden/>
    <w:qFormat/>
    <w:rPr>
      <w:rFonts w:ascii="Times New Roman" w:hAnsi="Times New Roman" w:eastAsia="宋体" w:cs="Times New Roman"/>
      <w:szCs w:val="21"/>
    </w:rPr>
  </w:style>
  <w:style w:type="paragraph" w:styleId="1133" w:customStyle="1">
    <w:name w:val="正文文本 31"/>
    <w:basedOn w:val="873"/>
    <w:link w:val="1134"/>
    <w:uiPriority w:val="0"/>
    <w:qFormat/>
    <w:rPr>
      <w:rFonts w:ascii="仿宋_GB2312" w:hAnsi="Arial" w:eastAsia="仿宋_GB2312"/>
      <w:sz w:val="32"/>
      <w:szCs w:val="32"/>
      <w:lang w:eastAsia="en-US"/>
    </w:rPr>
  </w:style>
  <w:style w:type="character" w:styleId="1134" w:customStyle="1">
    <w:name w:val="正文文本 3 Char"/>
    <w:link w:val="1133"/>
    <w:uiPriority w:val="0"/>
    <w:qFormat/>
    <w:rPr>
      <w:rFonts w:ascii="仿宋_GB2312" w:hAnsi="Arial" w:eastAsia="仿宋_GB2312" w:cs="Times New Roman"/>
      <w:sz w:val="32"/>
      <w:szCs w:val="32"/>
    </w:rPr>
  </w:style>
  <w:style w:type="paragraph" w:styleId="1135" w:customStyle="1">
    <w:name w:val="正文文本1"/>
    <w:basedOn w:val="873"/>
    <w:link w:val="1137"/>
    <w:uiPriority w:val="0"/>
    <w:qFormat/>
    <w:rPr>
      <w:rFonts w:ascii="楷体_GB2312" w:hAnsi="Arial" w:eastAsia="楷体_GB2312"/>
      <w:sz w:val="28"/>
      <w:szCs w:val="28"/>
      <w:lang w:eastAsia="en-US"/>
    </w:rPr>
  </w:style>
  <w:style w:type="paragraph" w:styleId="1136" w:customStyle="1">
    <w:name w:val="列表项目符号 51"/>
    <w:basedOn w:val="873"/>
    <w:uiPriority w:val="0"/>
    <w:qFormat/>
    <w:pPr>
      <w:numPr>
        <w:ilvl w:val="0"/>
        <w:numId w:val="1"/>
      </w:numPr>
    </w:pPr>
  </w:style>
  <w:style w:type="character" w:styleId="1137" w:customStyle="1">
    <w:name w:val="正文文本 Char"/>
    <w:link w:val="1135"/>
    <w:uiPriority w:val="0"/>
    <w:qFormat/>
    <w:rPr>
      <w:rFonts w:ascii="楷体_GB2312" w:hAnsi="Arial" w:eastAsia="楷体_GB2312" w:cs="Times New Roman"/>
      <w:sz w:val="28"/>
      <w:szCs w:val="28"/>
    </w:rPr>
  </w:style>
  <w:style w:type="character" w:styleId="1138" w:customStyle="1">
    <w:name w:val="正文文本缩进 Char"/>
    <w:link w:val="954"/>
    <w:uiPriority w:val="0"/>
    <w:qFormat/>
    <w:rPr>
      <w:rFonts w:ascii="楷体_GB2312" w:hAnsi="Times New Roman" w:eastAsia="楷体_GB2312" w:cs="Times New Roman"/>
      <w:sz w:val="32"/>
      <w:szCs w:val="32"/>
    </w:rPr>
  </w:style>
  <w:style w:type="paragraph" w:styleId="1139" w:customStyle="1">
    <w:name w:val="列表 21"/>
    <w:basedOn w:val="873"/>
    <w:uiPriority w:val="0"/>
    <w:qFormat/>
    <w:pPr>
      <w:ind w:left="100" w:hanging="200"/>
    </w:pPr>
  </w:style>
  <w:style w:type="paragraph" w:styleId="1140" w:customStyle="1">
    <w:name w:val="目录 51"/>
    <w:basedOn w:val="873"/>
    <w:next w:val="873"/>
    <w:uiPriority w:val="0"/>
    <w:semiHidden/>
    <w:qFormat/>
    <w:pPr>
      <w:ind w:left="840"/>
      <w:jc w:val="left"/>
    </w:pPr>
  </w:style>
  <w:style w:type="paragraph" w:styleId="1141" w:customStyle="1">
    <w:name w:val="目录 31"/>
    <w:basedOn w:val="873"/>
    <w:next w:val="873"/>
    <w:uiPriority w:val="0"/>
    <w:semiHidden/>
    <w:qFormat/>
    <w:pPr>
      <w:ind w:left="420"/>
      <w:jc w:val="left"/>
    </w:pPr>
    <w:rPr>
      <w:i/>
      <w:iCs/>
      <w:szCs w:val="24"/>
    </w:rPr>
  </w:style>
  <w:style w:type="paragraph" w:styleId="1142" w:customStyle="1">
    <w:name w:val="纯文本1"/>
    <w:basedOn w:val="873"/>
    <w:link w:val="1143"/>
    <w:uiPriority w:val="0"/>
    <w:qFormat/>
    <w:rPr>
      <w:rFonts w:ascii="宋体" w:hAnsi="Courier New"/>
      <w:sz w:val="20"/>
      <w:lang w:eastAsia="en-US"/>
    </w:rPr>
  </w:style>
  <w:style w:type="character" w:styleId="1143" w:customStyle="1">
    <w:name w:val="纯文本 Char"/>
    <w:link w:val="1142"/>
    <w:uiPriority w:val="0"/>
    <w:qFormat/>
    <w:rPr>
      <w:rFonts w:ascii="宋体" w:hAnsi="Courier New" w:eastAsia="宋体" w:cs="Courier New"/>
      <w:szCs w:val="21"/>
    </w:rPr>
  </w:style>
  <w:style w:type="paragraph" w:styleId="1144" w:customStyle="1">
    <w:name w:val="目录 81"/>
    <w:basedOn w:val="873"/>
    <w:next w:val="873"/>
    <w:uiPriority w:val="0"/>
    <w:semiHidden/>
    <w:qFormat/>
    <w:pPr>
      <w:ind w:left="1470"/>
      <w:jc w:val="left"/>
    </w:pPr>
  </w:style>
  <w:style w:type="paragraph" w:styleId="1145" w:customStyle="1">
    <w:name w:val="日期1"/>
    <w:basedOn w:val="873"/>
    <w:next w:val="873"/>
    <w:link w:val="1146"/>
    <w:uiPriority w:val="0"/>
    <w:qFormat/>
    <w:rPr>
      <w:sz w:val="24"/>
      <w:szCs w:val="24"/>
      <w:lang w:eastAsia="en-US"/>
    </w:rPr>
  </w:style>
  <w:style w:type="character" w:styleId="1146" w:customStyle="1">
    <w:name w:val="日期 Char"/>
    <w:link w:val="1145"/>
    <w:uiPriority w:val="0"/>
    <w:qFormat/>
    <w:rPr>
      <w:rFonts w:ascii="Times New Roman" w:hAnsi="Times New Roman" w:eastAsia="宋体" w:cs="Times New Roman"/>
      <w:sz w:val="24"/>
      <w:szCs w:val="24"/>
    </w:rPr>
  </w:style>
  <w:style w:type="paragraph" w:styleId="1147" w:customStyle="1">
    <w:name w:val="正文文本缩进 21"/>
    <w:basedOn w:val="873"/>
    <w:link w:val="1148"/>
    <w:uiPriority w:val="0"/>
    <w:qFormat/>
    <w:pPr>
      <w:ind w:left="630" w:firstLine="645"/>
    </w:pPr>
    <w:rPr>
      <w:rFonts w:ascii="Arial" w:hAnsi="Arial" w:eastAsia="仿宋_GB2312"/>
      <w:sz w:val="32"/>
      <w:szCs w:val="32"/>
      <w:lang w:eastAsia="en-US"/>
    </w:rPr>
  </w:style>
  <w:style w:type="character" w:styleId="1148" w:customStyle="1">
    <w:name w:val="正文文本缩进 2 Char"/>
    <w:link w:val="1147"/>
    <w:uiPriority w:val="0"/>
    <w:qFormat/>
    <w:rPr>
      <w:rFonts w:ascii="Arial" w:hAnsi="Arial" w:eastAsia="仿宋_GB2312" w:cs="Arial"/>
      <w:sz w:val="32"/>
      <w:szCs w:val="32"/>
    </w:rPr>
  </w:style>
  <w:style w:type="paragraph" w:styleId="1149" w:customStyle="1">
    <w:name w:val="批注框文本1"/>
    <w:basedOn w:val="873"/>
    <w:link w:val="1150"/>
    <w:uiPriority w:val="0"/>
    <w:semiHidden/>
    <w:qFormat/>
    <w:rPr>
      <w:sz w:val="18"/>
      <w:szCs w:val="18"/>
      <w:lang w:eastAsia="en-US"/>
    </w:rPr>
  </w:style>
  <w:style w:type="character" w:styleId="1150" w:customStyle="1">
    <w:name w:val="批注框文本 Char"/>
    <w:link w:val="1149"/>
    <w:uiPriority w:val="0"/>
    <w:semiHidden/>
    <w:qFormat/>
    <w:rPr>
      <w:rFonts w:ascii="Times New Roman" w:hAnsi="Times New Roman" w:eastAsia="宋体" w:cs="Times New Roman"/>
      <w:sz w:val="18"/>
      <w:szCs w:val="18"/>
    </w:rPr>
  </w:style>
  <w:style w:type="paragraph" w:styleId="1151" w:customStyle="1">
    <w:name w:val="页脚1"/>
    <w:basedOn w:val="873"/>
    <w:link w:val="1152"/>
    <w:uiPriority w:val="0"/>
    <w:qFormat/>
    <w:pPr>
      <w:jc w:val="left"/>
      <w:tabs>
        <w:tab w:val="center" w:pos="4153" w:leader="none"/>
        <w:tab w:val="right" w:pos="8306" w:leader="none"/>
      </w:tabs>
    </w:pPr>
    <w:rPr>
      <w:sz w:val="18"/>
      <w:szCs w:val="18"/>
      <w:lang w:eastAsia="en-US"/>
    </w:rPr>
  </w:style>
  <w:style w:type="character" w:styleId="1152" w:customStyle="1">
    <w:name w:val="页脚 Char"/>
    <w:link w:val="1151"/>
    <w:uiPriority w:val="0"/>
    <w:qFormat/>
    <w:rPr>
      <w:rFonts w:ascii="Times New Roman" w:hAnsi="Times New Roman" w:eastAsia="宋体" w:cs="Times New Roman"/>
      <w:sz w:val="18"/>
      <w:szCs w:val="18"/>
    </w:rPr>
  </w:style>
  <w:style w:type="paragraph" w:styleId="1153" w:customStyle="1">
    <w:name w:val="页眉1"/>
    <w:basedOn w:val="873"/>
    <w:link w:val="115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154" w:customStyle="1">
    <w:name w:val="页眉 Char"/>
    <w:link w:val="1153"/>
    <w:uiPriority w:val="99"/>
    <w:qFormat/>
    <w:rPr>
      <w:rFonts w:ascii="Times New Roman" w:hAnsi="Times New Roman" w:eastAsia="宋体" w:cs="Times New Roman"/>
      <w:sz w:val="18"/>
      <w:szCs w:val="18"/>
    </w:rPr>
  </w:style>
  <w:style w:type="paragraph" w:styleId="1155" w:customStyle="1">
    <w:name w:val="目录 11"/>
    <w:basedOn w:val="873"/>
    <w:next w:val="873"/>
    <w:uiPriority w:val="0"/>
    <w:semiHidden/>
    <w:qFormat/>
    <w:pPr>
      <w:jc w:val="left"/>
      <w:spacing w:before="120" w:after="120" w:line="400" w:lineRule="exact"/>
      <w:tabs>
        <w:tab w:val="right" w:pos="8720" w:leader="dot"/>
      </w:tabs>
    </w:pPr>
    <w:rPr>
      <w:rFonts w:ascii="宋体" w:hAnsi="宋体"/>
      <w:caps/>
      <w:sz w:val="24"/>
      <w:szCs w:val="24"/>
    </w:rPr>
  </w:style>
  <w:style w:type="paragraph" w:styleId="1156" w:customStyle="1">
    <w:name w:val="目录 41"/>
    <w:basedOn w:val="873"/>
    <w:next w:val="873"/>
    <w:uiPriority w:val="0"/>
    <w:semiHidden/>
    <w:qFormat/>
    <w:pPr>
      <w:ind w:left="630"/>
      <w:jc w:val="left"/>
    </w:pPr>
  </w:style>
  <w:style w:type="paragraph" w:styleId="1157" w:customStyle="1">
    <w:name w:val="列表1"/>
    <w:basedOn w:val="873"/>
    <w:uiPriority w:val="0"/>
    <w:qFormat/>
    <w:pPr>
      <w:ind w:left="200" w:hanging="200"/>
    </w:pPr>
  </w:style>
  <w:style w:type="paragraph" w:styleId="1158" w:customStyle="1">
    <w:name w:val="目录 61"/>
    <w:basedOn w:val="873"/>
    <w:next w:val="873"/>
    <w:uiPriority w:val="0"/>
    <w:semiHidden/>
    <w:qFormat/>
    <w:pPr>
      <w:ind w:left="1050"/>
      <w:jc w:val="left"/>
    </w:pPr>
  </w:style>
  <w:style w:type="paragraph" w:styleId="1159" w:customStyle="1">
    <w:name w:val="正文文本缩进 31"/>
    <w:basedOn w:val="873"/>
    <w:link w:val="1160"/>
    <w:uiPriority w:val="0"/>
    <w:qFormat/>
    <w:pPr>
      <w:ind w:left="645" w:firstLine="645"/>
    </w:pPr>
    <w:rPr>
      <w:rFonts w:ascii="Arial" w:hAnsi="Arial" w:eastAsia="仿宋_GB2312"/>
      <w:color w:val="ffff00"/>
      <w:sz w:val="32"/>
      <w:szCs w:val="32"/>
      <w:lang w:eastAsia="en-US"/>
    </w:rPr>
  </w:style>
  <w:style w:type="character" w:styleId="1160" w:customStyle="1">
    <w:name w:val="正文文本缩进 3 Char"/>
    <w:link w:val="1159"/>
    <w:uiPriority w:val="0"/>
    <w:qFormat/>
    <w:rPr>
      <w:rFonts w:ascii="Arial" w:hAnsi="Arial" w:eastAsia="仿宋_GB2312" w:cs="Arial"/>
      <w:color w:val="ffff00"/>
      <w:sz w:val="32"/>
      <w:szCs w:val="32"/>
    </w:rPr>
  </w:style>
  <w:style w:type="paragraph" w:styleId="1161" w:customStyle="1">
    <w:name w:val="图表目录1"/>
    <w:basedOn w:val="873"/>
    <w:next w:val="873"/>
    <w:uiPriority w:val="0"/>
    <w:semiHidden/>
    <w:qFormat/>
    <w:pPr>
      <w:ind w:left="840" w:hanging="420"/>
    </w:pPr>
  </w:style>
  <w:style w:type="paragraph" w:styleId="1162" w:customStyle="1">
    <w:name w:val="目录 21"/>
    <w:basedOn w:val="873"/>
    <w:next w:val="873"/>
    <w:uiPriority w:val="0"/>
    <w:semiHidden/>
    <w:qFormat/>
    <w:pPr>
      <w:ind w:left="210"/>
      <w:jc w:val="left"/>
    </w:pPr>
    <w:rPr>
      <w:smallCaps/>
      <w:szCs w:val="24"/>
    </w:rPr>
  </w:style>
  <w:style w:type="paragraph" w:styleId="1163" w:customStyle="1">
    <w:name w:val="目录 91"/>
    <w:basedOn w:val="873"/>
    <w:next w:val="873"/>
    <w:uiPriority w:val="0"/>
    <w:semiHidden/>
    <w:qFormat/>
    <w:pPr>
      <w:ind w:left="1680"/>
      <w:jc w:val="left"/>
    </w:pPr>
  </w:style>
  <w:style w:type="paragraph" w:styleId="1164" w:customStyle="1">
    <w:name w:val="正文文本 21"/>
    <w:basedOn w:val="873"/>
    <w:link w:val="1165"/>
    <w:uiPriority w:val="0"/>
    <w:qFormat/>
    <w:pPr>
      <w:jc w:val="center"/>
      <w:widowControl/>
    </w:pPr>
    <w:rPr>
      <w:rFonts w:ascii="楷体_GB2312" w:eastAsia="楷体_GB2312"/>
      <w:sz w:val="28"/>
      <w:szCs w:val="28"/>
      <w:lang w:eastAsia="en-US"/>
    </w:rPr>
  </w:style>
  <w:style w:type="character" w:styleId="1165" w:customStyle="1">
    <w:name w:val="正文文本 2 Char"/>
    <w:link w:val="1164"/>
    <w:uiPriority w:val="0"/>
    <w:qFormat/>
    <w:rPr>
      <w:rFonts w:ascii="楷体_GB2312" w:hAnsi="Times New Roman" w:eastAsia="楷体_GB2312" w:cs="Times New Roman"/>
      <w:sz w:val="28"/>
      <w:szCs w:val="28"/>
    </w:rPr>
  </w:style>
  <w:style w:type="paragraph" w:styleId="1166" w:customStyle="1">
    <w:name w:val="普通(网站)1"/>
    <w:basedOn w:val="873"/>
    <w:uiPriority w:val="99"/>
    <w:qFormat/>
    <w:pPr>
      <w:jc w:val="left"/>
      <w:spacing w:before="100" w:beforeAutospacing="1" w:after="100" w:afterAutospacing="1"/>
      <w:widowControl/>
    </w:pPr>
    <w:rPr>
      <w:rFonts w:ascii="宋体" w:hAnsi="宋体" w:cs="宋体"/>
      <w:sz w:val="24"/>
      <w:szCs w:val="24"/>
    </w:rPr>
  </w:style>
  <w:style w:type="paragraph" w:styleId="1167" w:customStyle="1">
    <w:name w:val="索引 11"/>
    <w:basedOn w:val="873"/>
    <w:next w:val="873"/>
    <w:uiPriority w:val="0"/>
    <w:semiHidden/>
    <w:qFormat/>
    <w:pPr>
      <w:spacing w:line="240" w:lineRule="atLeast"/>
    </w:pPr>
    <w:rPr>
      <w:b/>
      <w:bCs/>
    </w:rPr>
  </w:style>
  <w:style w:type="paragraph" w:styleId="1168" w:customStyle="1">
    <w:name w:val="批注主题1"/>
    <w:basedOn w:val="1131"/>
    <w:next w:val="1131"/>
    <w:link w:val="1169"/>
    <w:uiPriority w:val="0"/>
    <w:semiHidden/>
    <w:qFormat/>
    <w:rPr>
      <w:b/>
      <w:bCs/>
    </w:rPr>
  </w:style>
  <w:style w:type="character" w:styleId="1169" w:customStyle="1">
    <w:name w:val="批注主题 Char"/>
    <w:link w:val="1168"/>
    <w:uiPriority w:val="0"/>
    <w:semiHidden/>
    <w:qFormat/>
    <w:rPr>
      <w:rFonts w:ascii="Times New Roman" w:hAnsi="Times New Roman" w:eastAsia="宋体" w:cs="Times New Roman"/>
      <w:b/>
      <w:bCs/>
      <w:szCs w:val="21"/>
    </w:rPr>
  </w:style>
  <w:style w:type="paragraph" w:styleId="1170" w:customStyle="1">
    <w:name w:val="正文首行缩进1"/>
    <w:basedOn w:val="873"/>
    <w:link w:val="1171"/>
    <w:uiPriority w:val="0"/>
    <w:qFormat/>
    <w:pPr>
      <w:ind w:firstLine="200"/>
      <w:spacing w:line="360" w:lineRule="auto"/>
    </w:pPr>
    <w:rPr>
      <w:rFonts w:ascii="仿宋_GB2312" w:eastAsia="仿宋_GB2312"/>
      <w:sz w:val="30"/>
      <w:szCs w:val="30"/>
      <w:lang w:eastAsia="en-US"/>
    </w:rPr>
  </w:style>
  <w:style w:type="character" w:styleId="1171" w:customStyle="1">
    <w:name w:val="正文首行缩进 Char"/>
    <w:link w:val="1170"/>
    <w:uiPriority w:val="0"/>
    <w:qFormat/>
    <w:rPr>
      <w:rFonts w:ascii="仿宋_GB2312" w:hAnsi="Times New Roman" w:eastAsia="仿宋_GB2312" w:cs="Times New Roman"/>
      <w:sz w:val="30"/>
      <w:szCs w:val="30"/>
    </w:rPr>
  </w:style>
  <w:style w:type="paragraph" w:styleId="1172" w:customStyle="1">
    <w:name w:val="正文首行缩进 21"/>
    <w:basedOn w:val="954"/>
    <w:link w:val="1173"/>
    <w:uiPriority w:val="0"/>
    <w:qFormat/>
    <w:pPr>
      <w:ind w:firstLine="420"/>
      <w:spacing w:line="360" w:lineRule="auto"/>
    </w:pPr>
    <w:rPr>
      <w:rFonts w:ascii="宋体" w:hAnsi="宋体" w:eastAsia="宋体"/>
      <w:szCs w:val="20"/>
    </w:rPr>
  </w:style>
  <w:style w:type="character" w:styleId="1173" w:customStyle="1">
    <w:name w:val="正文首行缩进 2 Char"/>
    <w:link w:val="1172"/>
    <w:uiPriority w:val="0"/>
    <w:qFormat/>
    <w:rPr>
      <w:rFonts w:ascii="宋体" w:hAnsi="宋体" w:eastAsia="宋体" w:cs="Times New Roman"/>
      <w:sz w:val="32"/>
      <w:szCs w:val="20"/>
    </w:rPr>
  </w:style>
  <w:style w:type="table" w:styleId="1174" w:customStyle="1">
    <w:name w:val="网格型1"/>
    <w:basedOn w:val="1116"/>
    <w:uiPriority w:val="0"/>
    <w:qFormat/>
    <w:pPr>
      <w:jc w:val="both"/>
      <w:widowControl w:val="off"/>
    </w:pPr>
    <w:tblPr/>
  </w:style>
  <w:style w:type="character" w:styleId="1175" w:customStyle="1">
    <w:name w:val="要点1"/>
    <w:uiPriority w:val="0"/>
    <w:qFormat/>
    <w:rPr>
      <w:b/>
      <w:bCs/>
    </w:rPr>
  </w:style>
  <w:style w:type="character" w:styleId="1176" w:customStyle="1">
    <w:name w:val="页码1"/>
    <w:uiPriority w:val="0"/>
    <w:qFormat/>
  </w:style>
  <w:style w:type="character" w:styleId="1177" w:customStyle="1">
    <w:name w:val="已访问的超链接1"/>
    <w:uiPriority w:val="0"/>
    <w:qFormat/>
    <w:rPr>
      <w:color w:val="800080"/>
      <w:u w:val="single"/>
    </w:rPr>
  </w:style>
  <w:style w:type="character" w:styleId="1178" w:customStyle="1">
    <w:name w:val="HTML 打字机1"/>
    <w:uiPriority w:val="99"/>
    <w:qFormat/>
    <w:rPr>
      <w:rFonts w:ascii="宋体" w:hAnsi="宋体" w:eastAsia="宋体" w:cs="宋体"/>
      <w:sz w:val="24"/>
      <w:szCs w:val="24"/>
    </w:rPr>
  </w:style>
  <w:style w:type="character" w:styleId="1179" w:customStyle="1">
    <w:name w:val="超链接1"/>
    <w:uiPriority w:val="0"/>
    <w:qFormat/>
    <w:rPr>
      <w:color w:val="0000ff"/>
      <w:u w:val="single"/>
    </w:rPr>
  </w:style>
  <w:style w:type="character" w:styleId="1180" w:customStyle="1">
    <w:name w:val="批注引用1"/>
    <w:uiPriority w:val="0"/>
    <w:semiHidden/>
    <w:qFormat/>
    <w:rPr>
      <w:sz w:val="21"/>
      <w:szCs w:val="21"/>
    </w:rPr>
  </w:style>
  <w:style w:type="character" w:styleId="1181" w:customStyle="1">
    <w:name w:val="font5 Char"/>
    <w:uiPriority w:val="0"/>
    <w:qFormat/>
    <w:rPr>
      <w:rFonts w:ascii="宋体" w:hAnsi="宋体" w:eastAsia="宋体"/>
      <w:sz w:val="28"/>
      <w:szCs w:val="28"/>
      <w:lang w:val="en-US" w:eastAsia="zh-CN" w:bidi="ar-SA"/>
    </w:rPr>
  </w:style>
  <w:style w:type="character" w:styleId="1182" w:customStyle="1">
    <w:name w:val="二级目录 Char"/>
    <w:link w:val="1183"/>
    <w:uiPriority w:val="0"/>
    <w:qFormat/>
    <w:rPr>
      <w:rFonts w:ascii="Calibri" w:hAnsi="Calibri"/>
      <w:b/>
      <w:sz w:val="30"/>
      <w:szCs w:val="28"/>
    </w:rPr>
  </w:style>
  <w:style w:type="paragraph" w:styleId="1183" w:customStyle="1">
    <w:name w:val="二级目录"/>
    <w:next w:val="873"/>
    <w:link w:val="1182"/>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84" w:customStyle="1">
    <w:name w:val="列出段落 Char"/>
    <w:link w:val="956"/>
    <w:uiPriority w:val="0"/>
    <w:qFormat/>
    <w:rPr>
      <w:rFonts w:ascii="Calibri" w:hAnsi="Calibri"/>
      <w:sz w:val="24"/>
      <w:szCs w:val="24"/>
      <w:lang w:eastAsia="en-US" w:bidi="en-US"/>
    </w:rPr>
  </w:style>
  <w:style w:type="paragraph" w:styleId="1185" w:customStyle="1">
    <w:name w:val="Body Text(ch)"/>
    <w:basedOn w:val="873"/>
    <w:next w:val="1135"/>
    <w:uiPriority w:val="0"/>
    <w:qFormat/>
    <w:pPr>
      <w:spacing w:after="120"/>
    </w:pPr>
    <w:rPr>
      <w:rFonts w:ascii="宋体" w:hAnsi="Arial"/>
      <w:bCs/>
      <w:iCs/>
      <w:szCs w:val="24"/>
    </w:rPr>
  </w:style>
  <w:style w:type="paragraph" w:styleId="1186" w:customStyle="1">
    <w:name w:val="xl27"/>
    <w:basedOn w:val="8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7" w:customStyle="1">
    <w:name w:val="xl26"/>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8" w:customStyle="1">
    <w:name w:val="Char"/>
    <w:basedOn w:val="873"/>
    <w:uiPriority w:val="0"/>
    <w:qFormat/>
    <w:pPr>
      <w:ind w:firstLine="200"/>
      <w:tabs>
        <w:tab w:val="left" w:pos="360" w:leader="none"/>
      </w:tabs>
    </w:pPr>
    <w:rPr>
      <w:sz w:val="28"/>
      <w:szCs w:val="30"/>
    </w:rPr>
  </w:style>
  <w:style w:type="paragraph" w:styleId="1189" w:customStyle="1">
    <w:name w:val="Char1"/>
    <w:basedOn w:val="1129"/>
    <w:uiPriority w:val="0"/>
    <w:qFormat/>
    <w:rPr>
      <w:rFonts w:ascii="Tahoma" w:hAnsi="Tahoma"/>
      <w:sz w:val="24"/>
      <w:szCs w:val="24"/>
    </w:rPr>
  </w:style>
  <w:style w:type="paragraph" w:styleId="1190" w:customStyle="1">
    <w:name w:val="普通正文"/>
    <w:basedOn w:val="873"/>
    <w:uiPriority w:val="0"/>
    <w:qFormat/>
    <w:pPr>
      <w:ind w:firstLine="480"/>
      <w:jc w:val="left"/>
      <w:spacing w:before="120" w:after="120" w:line="360" w:lineRule="auto"/>
    </w:pPr>
    <w:rPr>
      <w:rFonts w:ascii="Arial" w:hAnsi="Arial"/>
      <w:sz w:val="24"/>
      <w:szCs w:val="24"/>
    </w:rPr>
  </w:style>
  <w:style w:type="paragraph" w:styleId="1191" w:customStyle="1">
    <w:name w:val="table_lines"/>
    <w:basedOn w:val="873"/>
    <w:uiPriority w:val="0"/>
    <w:qFormat/>
    <w:pPr>
      <w:jc w:val="left"/>
      <w:widowControl/>
    </w:pPr>
    <w:rPr>
      <w:sz w:val="20"/>
      <w:szCs w:val="20"/>
      <w:lang w:val="de-DE" w:eastAsia="de-DE"/>
    </w:rPr>
  </w:style>
  <w:style w:type="paragraph" w:styleId="119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93" w:customStyle="1">
    <w:name w:val="font7"/>
    <w:basedOn w:val="873"/>
    <w:uiPriority w:val="0"/>
    <w:qFormat/>
    <w:pPr>
      <w:jc w:val="left"/>
      <w:spacing w:before="100" w:beforeAutospacing="1" w:after="100" w:afterAutospacing="1"/>
      <w:widowControl/>
    </w:pPr>
    <w:rPr>
      <w:rFonts w:hint="eastAsia" w:ascii="宋体" w:hAnsi="宋体"/>
      <w:sz w:val="18"/>
      <w:szCs w:val="18"/>
    </w:rPr>
  </w:style>
  <w:style w:type="paragraph" w:styleId="1194" w:customStyle="1">
    <w:name w:val="Char Char Char Char"/>
    <w:basedOn w:val="1129"/>
    <w:uiPriority w:val="0"/>
    <w:qFormat/>
    <w:pPr>
      <w:spacing w:line="360" w:lineRule="auto"/>
    </w:pPr>
    <w:rPr>
      <w:rFonts w:ascii="Tahoma" w:hAnsi="Tahoma"/>
      <w:sz w:val="24"/>
      <w:szCs w:val="24"/>
    </w:rPr>
  </w:style>
  <w:style w:type="paragraph" w:styleId="1195" w:customStyle="1">
    <w:name w:val="列出段落2"/>
    <w:basedOn w:val="873"/>
    <w:uiPriority w:val="99"/>
    <w:qFormat/>
    <w:pPr>
      <w:contextualSpacing/>
      <w:ind w:left="720"/>
      <w:jc w:val="left"/>
      <w:widowControl/>
    </w:pPr>
    <w:rPr>
      <w:rFonts w:ascii="Calibri" w:hAnsi="Calibri"/>
      <w:sz w:val="24"/>
      <w:szCs w:val="24"/>
      <w:lang w:eastAsia="en-US" w:bidi="en-US"/>
    </w:rPr>
  </w:style>
  <w:style w:type="paragraph" w:styleId="1196" w:customStyle="1">
    <w:name w:val="4"/>
    <w:basedOn w:val="873"/>
    <w:next w:val="1159"/>
    <w:uiPriority w:val="0"/>
    <w:qFormat/>
    <w:pPr>
      <w:ind w:firstLine="420"/>
      <w:spacing w:line="360" w:lineRule="auto"/>
    </w:pPr>
    <w:rPr>
      <w:color w:val="ff0000"/>
      <w:sz w:val="24"/>
      <w:szCs w:val="24"/>
    </w:rPr>
  </w:style>
  <w:style w:type="paragraph" w:styleId="1197" w:customStyle="1">
    <w:name w:val="普通 (Web)"/>
    <w:basedOn w:val="873"/>
    <w:uiPriority w:val="0"/>
    <w:qFormat/>
    <w:pPr>
      <w:jc w:val="left"/>
      <w:spacing w:before="100" w:beforeAutospacing="1" w:after="100" w:afterAutospacing="1"/>
      <w:widowControl/>
    </w:pPr>
    <w:rPr>
      <w:rFonts w:ascii="宋体" w:hAnsi="宋体"/>
      <w:sz w:val="24"/>
      <w:szCs w:val="24"/>
    </w:rPr>
  </w:style>
  <w:style w:type="paragraph" w:styleId="1198" w:customStyle="1">
    <w:name w:val="Char Char Char Char Char Char Char Char Char Char"/>
    <w:basedOn w:val="873"/>
    <w:uiPriority w:val="0"/>
    <w:qFormat/>
    <w:pPr>
      <w:spacing w:line="360" w:lineRule="auto"/>
    </w:pPr>
    <w:rPr>
      <w:sz w:val="24"/>
      <w:szCs w:val="20"/>
    </w:rPr>
  </w:style>
  <w:style w:type="paragraph" w:styleId="1199" w:customStyle="1">
    <w:name w:val="样式1"/>
    <w:basedOn w:val="873"/>
    <w:uiPriority w:val="0"/>
    <w:qFormat/>
    <w:pPr>
      <w:numPr>
        <w:ilvl w:val="0"/>
        <w:numId w:val="3"/>
      </w:numPr>
    </w:pPr>
    <w:rPr>
      <w:rFonts w:ascii="宋体" w:hAnsi="宋体"/>
    </w:rPr>
  </w:style>
  <w:style w:type="paragraph" w:styleId="1200" w:customStyle="1">
    <w:name w:val="font6"/>
    <w:basedOn w:val="873"/>
    <w:uiPriority w:val="0"/>
    <w:qFormat/>
    <w:pPr>
      <w:jc w:val="left"/>
      <w:spacing w:before="100" w:beforeAutospacing="1" w:after="100" w:afterAutospacing="1"/>
      <w:widowControl/>
    </w:pPr>
    <w:rPr>
      <w:rFonts w:hint="eastAsia" w:ascii="宋体" w:hAnsi="宋体"/>
      <w:sz w:val="28"/>
      <w:szCs w:val="28"/>
      <w:u w:val="single"/>
    </w:rPr>
  </w:style>
  <w:style w:type="paragraph" w:styleId="1201" w:customStyle="1">
    <w:name w:val="xl25"/>
    <w:basedOn w:val="87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2" w:customStyle="1">
    <w:name w:val="图标"/>
    <w:basedOn w:val="873"/>
    <w:next w:val="87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3" w:customStyle="1">
    <w:name w:val="标题3"/>
    <w:basedOn w:val="873"/>
    <w:next w:val="873"/>
    <w:uiPriority w:val="0"/>
    <w:qFormat/>
    <w:pPr>
      <w:ind w:firstLine="624"/>
      <w:spacing w:line="590" w:lineRule="atLeast"/>
    </w:pPr>
    <w:rPr>
      <w:rFonts w:ascii="方正黑体_GBK" w:eastAsia="方正黑体_GBK"/>
      <w:sz w:val="32"/>
      <w:szCs w:val="32"/>
    </w:rPr>
  </w:style>
  <w:style w:type="paragraph" w:styleId="1204" w:customStyle="1">
    <w:name w:val="xl24"/>
    <w:basedOn w:val="8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5" w:customStyle="1">
    <w:name w:val="xl29"/>
    <w:basedOn w:val="87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6" w:customStyle="1">
    <w:name w:val="Char Char Char Char Char Char Char Char"/>
    <w:basedOn w:val="873"/>
    <w:uiPriority w:val="0"/>
    <w:qFormat/>
    <w:pPr>
      <w:jc w:val="left"/>
      <w:spacing w:after="160" w:line="240" w:lineRule="exact"/>
      <w:widowControl/>
    </w:pPr>
    <w:rPr>
      <w:rFonts w:ascii="Verdana" w:hAnsi="Verdana"/>
      <w:sz w:val="20"/>
      <w:szCs w:val="20"/>
      <w:lang w:eastAsia="en-US"/>
    </w:rPr>
  </w:style>
  <w:style w:type="paragraph" w:styleId="1207" w:customStyle="1">
    <w:name w:val="xl28"/>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8" w:customStyle="1">
    <w:name w:val="Char Char Char Char Char Char Char Char1"/>
    <w:basedOn w:val="873"/>
    <w:uiPriority w:val="0"/>
    <w:qFormat/>
    <w:pPr>
      <w:jc w:val="left"/>
      <w:spacing w:after="160" w:line="240" w:lineRule="exact"/>
      <w:widowControl/>
    </w:pPr>
    <w:rPr>
      <w:rFonts w:ascii="Verdana" w:hAnsi="Verdana"/>
      <w:sz w:val="20"/>
      <w:szCs w:val="20"/>
      <w:lang w:eastAsia="en-US"/>
    </w:rPr>
  </w:style>
  <w:style w:type="paragraph" w:styleId="1209" w:customStyle="1">
    <w:name w:val="xl30"/>
    <w:basedOn w:val="873"/>
    <w:uiPriority w:val="0"/>
    <w:qFormat/>
    <w:pPr>
      <w:jc w:val="center"/>
      <w:spacing w:before="100" w:beforeAutospacing="1" w:after="100" w:afterAutospacing="1"/>
      <w:widowControl/>
    </w:pPr>
    <w:rPr>
      <w:rFonts w:ascii="宋体" w:hAnsi="宋体"/>
      <w:b/>
      <w:bCs/>
      <w:sz w:val="36"/>
      <w:szCs w:val="36"/>
    </w:rPr>
  </w:style>
  <w:style w:type="paragraph" w:styleId="1210" w:customStyle="1">
    <w:name w:val="Char Char Char Char1"/>
    <w:basedOn w:val="1129"/>
    <w:uiPriority w:val="0"/>
    <w:qFormat/>
    <w:pPr>
      <w:spacing w:line="360" w:lineRule="auto"/>
    </w:pPr>
    <w:rPr>
      <w:rFonts w:ascii="Tahoma" w:hAnsi="Tahoma"/>
      <w:sz w:val="24"/>
      <w:szCs w:val="24"/>
    </w:rPr>
  </w:style>
  <w:style w:type="paragraph" w:styleId="1211" w:customStyle="1">
    <w:name w:val="table_1stline"/>
    <w:basedOn w:val="873"/>
    <w:uiPriority w:val="0"/>
    <w:qFormat/>
    <w:pPr>
      <w:jc w:val="left"/>
      <w:spacing w:before="120"/>
      <w:widowControl/>
    </w:pPr>
    <w:rPr>
      <w:bCs/>
      <w:sz w:val="20"/>
      <w:szCs w:val="20"/>
      <w:lang w:val="de-DE" w:eastAsia="de-DE"/>
    </w:rPr>
  </w:style>
  <w:style w:type="paragraph" w:styleId="1212" w:customStyle="1">
    <w:name w:val="font5"/>
    <w:basedOn w:val="873"/>
    <w:uiPriority w:val="0"/>
    <w:qFormat/>
    <w:pPr>
      <w:jc w:val="left"/>
      <w:spacing w:before="100" w:beforeAutospacing="1" w:after="100" w:afterAutospacing="1"/>
      <w:widowControl/>
    </w:pPr>
    <w:rPr>
      <w:rFonts w:hint="eastAsia" w:ascii="宋体" w:hAnsi="宋体"/>
      <w:sz w:val="28"/>
      <w:szCs w:val="28"/>
    </w:rPr>
  </w:style>
  <w:style w:type="paragraph" w:styleId="1213" w:customStyle="1">
    <w:name w:val="标题1"/>
    <w:basedOn w:val="873"/>
    <w:next w:val="87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4" w:customStyle="1">
    <w:name w:val="修订1"/>
    <w:uiPriority w:val="99"/>
    <w:semiHidden/>
    <w:qFormat/>
    <w:rPr>
      <w:rFonts w:ascii="Times New Roman" w:hAnsi="Times New Roman" w:eastAsia="宋体" w:cs="Times New Roman"/>
      <w:sz w:val="21"/>
      <w:szCs w:val="21"/>
      <w:lang w:val="en-US" w:eastAsia="zh-CN" w:bidi="ar-SA"/>
    </w:rPr>
  </w:style>
  <w:style w:type="paragraph" w:styleId="121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16" w:customStyle="1">
    <w:name w:val="普通文字"/>
    <w:basedOn w:val="873"/>
    <w:next w:val="873"/>
    <w:uiPriority w:val="99"/>
    <w:qFormat/>
    <w:rPr>
      <w:rFonts w:ascii="宋体"/>
      <w:sz w:val="24"/>
      <w:szCs w:val="20"/>
    </w:rPr>
  </w:style>
  <w:style w:type="paragraph" w:styleId="1217" w:customStyle="1">
    <w:name w:val="目录 111"/>
    <w:basedOn w:val="873"/>
    <w:next w:val="873"/>
    <w:uiPriority w:val="39"/>
    <w:unhideWhenUsed/>
    <w:qFormat/>
    <w:pPr>
      <w:jc w:val="left"/>
      <w:spacing w:after="100" w:line="259" w:lineRule="auto"/>
      <w:widowControl/>
    </w:pPr>
    <w:rPr>
      <w:rFonts w:ascii="Calibri" w:hAnsi="Calibri"/>
      <w:sz w:val="22"/>
      <w:szCs w:val="22"/>
    </w:rPr>
  </w:style>
  <w:style w:type="paragraph" w:styleId="1218" w:customStyle="1">
    <w:name w:val="首行缩进"/>
    <w:uiPriority w:val="0"/>
    <w:qFormat/>
    <w:pPr>
      <w:ind w:firstLine="480"/>
      <w:jc w:val="both"/>
      <w:widowControl w:val="off"/>
    </w:pPr>
    <w:rPr>
      <w:rFonts w:ascii="Calibri" w:hAnsi="Calibri" w:eastAsia="宋体" w:cs="Times New Roman"/>
      <w:sz w:val="21"/>
      <w:lang w:val="zh-CN" w:eastAsia="zh-CN" w:bidi="ar-SA"/>
    </w:rPr>
  </w:style>
  <w:style w:type="paragraph" w:styleId="1219" w:customStyle="1">
    <w:name w:val="引文目录1"/>
    <w:basedOn w:val="873"/>
    <w:next w:val="873"/>
    <w:uiPriority w:val="0"/>
    <w:qFormat/>
    <w:pPr>
      <w:ind w:left="420"/>
    </w:pPr>
  </w:style>
  <w:style w:type="paragraph" w:styleId="1220" w:customStyle="1">
    <w:name w:val="List Paragraph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1221" w:customStyle="1">
    <w:name w:val="NormalCharacter1"/>
    <w:link w:val="1222"/>
    <w:uiPriority w:val="99"/>
    <w:qFormat/>
  </w:style>
  <w:style w:type="paragraph" w:styleId="1222" w:customStyle="1">
    <w:name w:val="UserStyle_4"/>
    <w:basedOn w:val="873"/>
    <w:link w:val="1221"/>
    <w:uiPriority w:val="99"/>
    <w:qFormat/>
  </w:style>
  <w:style w:type="character" w:styleId="1223" w:customStyle="1">
    <w:name w:val="font41"/>
    <w:basedOn w:val="883"/>
    <w:uiPriority w:val="0"/>
    <w:qFormat/>
    <w:rPr>
      <w:rFonts w:hint="default" w:ascii="仿宋_GB2312" w:eastAsia="仿宋_GB2312" w:cs="仿宋_GB2312"/>
      <w:color w:val="000000"/>
      <w:sz w:val="21"/>
      <w:szCs w:val="21"/>
      <w:u w:val="single"/>
    </w:rPr>
  </w:style>
  <w:style w:type="character" w:styleId="1224" w:customStyle="1">
    <w:name w:val="font21"/>
    <w:basedOn w:val="883"/>
    <w:uiPriority w:val="0"/>
    <w:qFormat/>
    <w:rPr>
      <w:rFonts w:hint="default" w:ascii="仿宋_GB2312" w:eastAsia="仿宋_GB2312" w:cs="仿宋_GB2312"/>
      <w:color w:val="000000"/>
      <w:sz w:val="21"/>
      <w:szCs w:val="21"/>
      <w:u w:val="none"/>
    </w:rPr>
  </w:style>
  <w:style w:type="character" w:styleId="1225" w:customStyle="1">
    <w:name w:val="font11"/>
    <w:basedOn w:val="883"/>
    <w:uiPriority w:val="0"/>
    <w:qFormat/>
    <w:rPr>
      <w:rFonts w:hint="eastAsia" w:ascii="宋体" w:hAnsi="宋体" w:eastAsia="宋体" w:cs="宋体"/>
      <w:color w:val="000000"/>
      <w:sz w:val="28"/>
      <w:szCs w:val="28"/>
      <w:u w:val="none"/>
    </w:rPr>
  </w:style>
  <w:style w:type="character" w:styleId="1226" w:customStyle="1">
    <w:name w:val="批注文字 字符"/>
    <w:basedOn w:val="883"/>
    <w:link w:val="888"/>
    <w:uiPriority w:val="99"/>
    <w:semiHidden/>
    <w:qFormat/>
    <w:rPr>
      <w:sz w:val="21"/>
      <w:szCs w:val="21"/>
    </w:rPr>
  </w:style>
  <w:style w:type="character" w:styleId="1227" w:customStyle="1">
    <w:name w:val="批注主题 字符"/>
    <w:basedOn w:val="1226"/>
    <w:link w:val="916"/>
    <w:uiPriority w:val="0"/>
    <w:qFormat/>
    <w:rPr>
      <w:sz w:val="21"/>
      <w:szCs w:val="21"/>
    </w:rPr>
  </w:style>
  <w:style w:type="character" w:styleId="1228" w:customStyle="1">
    <w:name w:val="批注框文本 字符"/>
    <w:basedOn w:val="883"/>
    <w:link w:val="900"/>
    <w:uiPriority w:val="99"/>
    <w:semiHidden/>
    <w:qFormat/>
    <w:rPr>
      <w:sz w:val="18"/>
      <w:szCs w:val="18"/>
    </w:rPr>
  </w:style>
  <w:style w:type="character" w:styleId="1229" w:customStyle="1">
    <w:name w:val="glyphicon"/>
    <w:basedOn w:val="883"/>
    <w:uiPriority w:val="0"/>
    <w:qFormat/>
  </w:style>
  <w:style w:type="character" w:styleId="1230" w:customStyle="1">
    <w:name w:val="hour_am"/>
    <w:basedOn w:val="883"/>
    <w:uiPriority w:val="0"/>
    <w:qFormat/>
  </w:style>
  <w:style w:type="character" w:styleId="1231" w:customStyle="1">
    <w:name w:val="hover5"/>
    <w:basedOn w:val="883"/>
    <w:uiPriority w:val="0"/>
    <w:qFormat/>
    <w:rPr>
      <w:shd w:val="clear" w:color="auto" w:fill="eeeeee"/>
    </w:rPr>
  </w:style>
  <w:style w:type="character" w:styleId="1232" w:customStyle="1">
    <w:name w:val="old"/>
    <w:basedOn w:val="883"/>
    <w:uiPriority w:val="0"/>
    <w:qFormat/>
    <w:rPr>
      <w:color w:val="999999"/>
    </w:rPr>
  </w:style>
  <w:style w:type="character" w:styleId="1233" w:customStyle="1">
    <w:name w:val="hour_pm"/>
    <w:basedOn w:val="883"/>
    <w:uiPriority w:val="0"/>
    <w:qFormat/>
  </w:style>
  <w:style w:type="character" w:styleId="1234" w:customStyle="1">
    <w:name w:val="font81"/>
    <w:uiPriority w:val="0"/>
    <w:qFormat/>
    <w:rPr>
      <w:rFonts w:hint="eastAsia" w:ascii="宋体" w:hAnsi="宋体" w:eastAsia="宋体" w:cs="宋体"/>
      <w:b/>
      <w:color w:val="000000"/>
      <w:sz w:val="24"/>
      <w:szCs w:val="24"/>
      <w:u w:val="none"/>
    </w:rPr>
  </w:style>
  <w:style w:type="table" w:styleId="1235" w:customStyle="1">
    <w:name w:val="Table Normal"/>
    <w:uiPriority w:val="0"/>
    <w:qFormat/>
    <w:tblPr>
      <w:tblCellMar>
        <w:left w:w="0" w:type="dxa"/>
        <w:top w:w="0" w:type="dxa"/>
        <w:right w:w="0" w:type="dxa"/>
        <w:bottom w:w="0" w:type="dxa"/>
      </w:tblCellMar>
    </w:tblPr>
  </w:style>
  <w:style w:type="paragraph" w:styleId="1236" w:customStyle="1">
    <w:name w:val="Table Paragraph"/>
    <w:basedOn w:val="873"/>
    <w:uiPriority w:val="1"/>
    <w:qFormat/>
    <w:pPr>
      <w:jc w:val="left"/>
    </w:pPr>
    <w:rPr>
      <w:rFonts w:ascii="宋体" w:hAnsi="宋体" w:cs="宋体"/>
      <w:sz w:val="22"/>
      <w:szCs w:val="22"/>
      <w:lang w:val="zh-CN" w:bidi="zh-CN"/>
    </w:rPr>
  </w:style>
  <w:style w:type="paragraph" w:styleId="1237" w:customStyle="1">
    <w:name w:val="索引 411"/>
    <w:basedOn w:val="873"/>
    <w:next w:val="873"/>
    <w:uiPriority w:val="99"/>
    <w:qFormat/>
    <w:pPr>
      <w:ind w:left="600"/>
    </w:pPr>
  </w:style>
  <w:style w:type="paragraph" w:styleId="1238" w:customStyle="1">
    <w:name w:val="表格文字"/>
    <w:basedOn w:val="873"/>
    <w:uiPriority w:val="0"/>
    <w:qFormat/>
    <w:pPr>
      <w:jc w:val="left"/>
      <w:spacing w:before="25" w:after="25"/>
    </w:pPr>
    <w:rPr>
      <w:bCs/>
      <w:color w:val="000000"/>
      <w:spacing w:val="10"/>
    </w:rPr>
  </w:style>
  <w:style w:type="numbering" w:styleId="12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8fe97aed-0899-4d8f-a9f0-872985f14f9b</errorID>
      <errorWord>“.</errorWord>
      <group>L1_Punc</group>
      <groupName>标点问题</groupName>
      <ability>L2_Punc</ability>
      <abilityName>标点符号检查</abilityName>
      <candidateList>
        <item>“</item>
      </candidateList>
      <explain/>
      <paraID>111D31D7</paraID>
      <start>145</start>
      <end>147</end>
      <status>ignored</status>
      <modifiedWord/>
      <trackRevisions>false</trackRevisions>
    </reviewItem>
    <reviewItem>
      <errorID>f977c97d-6146-4645-86ca-a7fecd8e7338</errorID>
      <errorWord>100万以下</errorWord>
      <group>L1_Word</group>
      <groupName>字词问题</groupName>
      <ability>L2_Typo</ability>
      <abilityName>字词错误</abilityName>
      <candidateList>
        <item>100万元以下</item>
      </candidateList>
      <explain/>
      <paraID>4E3E20B4</paraID>
      <start>48</start>
      <end>55</end>
      <status>modified</status>
      <modifiedWord>100万元以下</modifiedWord>
      <trackRevisions>false</trackRevisions>
    </reviewItem>
    <reviewItem>
      <errorID>8ae95400-d50b-4563-b404-a77522c3d5cb</errorID>
      <errorWord>：/</errorWord>
      <group>L1_Punc</group>
      <groupName>标点问题</groupName>
      <ability>L2_Punc</ability>
      <abilityName>标点符号检查</abilityName>
      <candidateList>
        <item>：</item>
      </candidateList>
      <explain/>
      <paraID>516D5DC9</paraID>
      <start>5</start>
      <end>7</end>
      <status>ignored</status>
      <modifiedWord/>
      <trackRevisions>false</trackRevisions>
    </reviewItem>
    <reviewItem>
      <errorID>d0b962fd-297e-497b-9c6d-477820f759b2</errorID>
      <errorWord>属</errorWord>
      <group>L1_Word</group>
      <groupName>字词问题</groupName>
      <ability>L2_Typo</ability>
      <abilityName>字词错误</abilityName>
      <candidateList>
        <item>属于</item>
      </candidateList>
      <explain/>
      <paraID>4BDC2E3E</paraID>
      <start>22</start>
      <end>24</end>
      <status>modified</status>
      <modifiedWord>属于</modifiedWord>
      <trackRevisions>false</trackRevisions>
    </reviewItem>
    <reviewItem>
      <errorID>8786ba29-2969-48d8-98fd-01af4cae2331</errorID>
      <errorWord>上述的</errorWord>
      <group>L1_Word</group>
      <groupName>字词问题</groupName>
      <ability>L2_Typo</ability>
      <abilityName>字词错误</abilityName>
      <candidateList>
        <item>上述</item>
      </candidateList>
      <explain>〈形〉属性词。上面所说的：～各条，望切实执行。</explain>
      <paraID> BA996C0</paraID>
      <start>4</start>
      <end>7</end>
      <status>ignored</status>
      <modifiedWord/>
      <trackRevisions>false</trackRevisions>
    </reviewItem>
    <reviewItem>
      <errorID>0422818c-7f0c-4b84-a08d-d4b0b59fd60f</errorID>
      <errorWord>》</errorWord>
      <group>L1_Word</group>
      <groupName>字词问题</groupName>
      <ability>L2_Typo</ability>
      <abilityName>字词错误</abilityName>
      <candidateList>
        <item>》和</item>
      </candidateList>
      <explain/>
      <paraID>  600225</paraID>
      <start>89</start>
      <end>90</end>
      <status>ignored</status>
      <modifiedWord/>
      <trackRevisions>false</trackRevisions>
    </reviewItem>
    <reviewItem>
      <errorID>17387eab-658e-4716-bc73-6a1c66b70e5b</errorID>
      <errorWord>》</errorWord>
      <group>L1_Word</group>
      <groupName>字词问题</groupName>
      <ability>L2_Typo</ability>
      <abilityName>字词错误</abilityName>
      <candidateList>
        <item>》等</item>
      </candidateList>
      <explain/>
      <paraID>7CFB7CAD</paraID>
      <start>39</start>
      <end>40</end>
      <status>ignored</status>
      <modifiedWord/>
      <trackRevisions>false</trackRevisions>
    </reviewItem>
    <reviewItem>
      <errorID>b88c8582-3e6d-49a6-8ce4-dca0b1c0ecec</errorID>
      <errorWord>胶粘剂</errorWord>
      <group>L1_Word</group>
      <groupName>字词问题</groupName>
      <ability>L2_Typo</ability>
      <abilityName>字词错误</abilityName>
      <candidateList>
        <item>胶黏剂</item>
      </candidateList>
      <explain/>
      <paraID>31505D9E</paraID>
      <start>14</start>
      <end>17</end>
      <status>ignored</status>
      <modifiedWord/>
      <trackRevisions>false</trackRevisions>
    </reviewItem>
    <reviewItem>
      <errorID>2d271252-b124-4b9d-89c1-fdcc57183715</errorID>
      <errorWord>-</errorWord>
      <group>L1_Format</group>
      <groupName>格式问题</groupName>
      <ability>L2_HalfPunc</ability>
      <abilityName>全半角检查</abilityName>
      <candidateList>
        <item>－</item>
      </candidateList>
      <explain>文本全半角错误。</explain>
      <paraID>4AA5A2E8</paraID>
      <start>95</start>
      <end>96</end>
      <status>modified</status>
      <modifiedWord>－</modifiedWord>
      <trackRevisions>false</trackRevisions>
    </reviewItem>
    <reviewItem>
      <errorID>878846e3-44eb-446c-8133-563857c42de8</errorID>
      <errorWord>(</errorWord>
      <group>L1_Format</group>
      <groupName>格式问题</groupName>
      <ability>L2_HalfPunc</ability>
      <abilityName>全半角检查</abilityName>
      <candidateList>
        <item>（</item>
      </candidateList>
      <explain>文本全半角错误。</explain>
      <paraID>4AA5A2E8</paraID>
      <start>111</start>
      <end>112</end>
      <status>modified</status>
      <modifiedWord>（</modifiedWord>
      <trackRevisions>false</trackRevisions>
    </reviewItem>
    <reviewItem>
      <errorID>565d3be1-e5b3-49c8-b323-126626f08cfd</errorID>
      <errorWord>)</errorWord>
      <group>L1_Format</group>
      <groupName>格式问题</groupName>
      <ability>L2_HalfPunc</ability>
      <abilityName>全半角检查</abilityName>
      <candidateList>
        <item>）</item>
      </candidateList>
      <explain>文本全半角错误。</explain>
      <paraID>4AA5A2E8</paraID>
      <start>117</start>
      <end>118</end>
      <status>modified</status>
      <modifiedWord>）</modifiedWord>
      <trackRevisions>false</trackRevisions>
    </reviewItem>
    <reviewItem>
      <errorID>1bedc6ea-c18b-4d75-9565-39e27981d7ef</errorID>
      <errorWord>(</errorWord>
      <group>L1_Format</group>
      <groupName>格式问题</groupName>
      <ability>L2_HalfPunc</ability>
      <abilityName>全半角检查</abilityName>
      <candidateList>
        <item>（</item>
      </candidateList>
      <explain>文本全半角错误。</explain>
      <paraID>4AA5A2E8</paraID>
      <start>189</start>
      <end>190</end>
      <status>modified</status>
      <modifiedWord>（</modifiedWord>
      <trackRevisions>false</trackRevisions>
    </reviewItem>
    <reviewItem>
      <errorID>4d685066-3c50-4958-8c29-68bf1fa35a97</errorID>
      <errorWord>)</errorWord>
      <group>L1_Format</group>
      <groupName>格式问题</groupName>
      <ability>L2_HalfPunc</ability>
      <abilityName>全半角检查</abilityName>
      <candidateList>
        <item>）</item>
      </candidateList>
      <explain>文本全半角错误。</explain>
      <paraID>4AA5A2E8</paraID>
      <start>194</start>
      <end>195</end>
      <status>modified</status>
      <modifiedWord>）</modifiedWord>
      <trackRevisions>false</trackRevisions>
    </reviewItem>
    <reviewItem>
      <errorID>49544732-f1a1-47ec-a666-31f4900c48b4</errorID>
      <errorWord>(</errorWord>
      <group>L1_Format</group>
      <groupName>格式问题</groupName>
      <ability>L2_HalfPunc</ability>
      <abilityName>全半角检查</abilityName>
      <candidateList>
        <item>（</item>
      </candidateList>
      <explain>文本全半角错误。</explain>
      <paraID>4AA5A2E8</paraID>
      <start>279</start>
      <end>280</end>
      <status>modified</status>
      <modifiedWord>（</modifiedWord>
      <trackRevisions>false</trackRevisions>
    </reviewItem>
    <reviewItem>
      <errorID>8327314d-d90d-404c-9a1c-94d60ddaaa9d</errorID>
      <errorWord>)</errorWord>
      <group>L1_Format</group>
      <groupName>格式问题</groupName>
      <ability>L2_HalfPunc</ability>
      <abilityName>全半角检查</abilityName>
      <candidateList>
        <item>）</item>
      </candidateList>
      <explain>文本全半角错误。</explain>
      <paraID>4AA5A2E8</paraID>
      <start>300</start>
      <end>301</end>
      <status>modified</status>
      <modifiedWord>）</modifiedWord>
      <trackRevisions>false</trackRevisions>
    </reviewItem>
    <reviewItem>
      <errorID>ac724e38-01f5-42b4-850f-8ee8344ab189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6E7687CA</paraID>
      <start>0</start>
      <end>2</end>
      <status>ignored</status>
      <modifiedWord/>
      <trackRevisions>false</trackRevisions>
    </reviewItem>
    <reviewItem>
      <errorID>fa398ee9-7d6c-4601-9579-686ac83fd1e4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6E7687CA</paraID>
      <start>152</start>
      <end>156</end>
      <status>modified</status>
      <modifiedWord>其他设备</modifiedWord>
      <trackRevisions>false</trackRevisions>
    </reviewItem>
    <reviewItem>
      <errorID>0fe1e97e-a83c-4baf-8461-51291739d6c1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13E3951C</paraID>
      <start>0</start>
      <end>2</end>
      <status>ignored</status>
      <modifiedWord/>
      <trackRevisions>false</trackRevisions>
    </reviewItem>
    <reviewItem>
      <errorID>fa6e4168-e039-46b5-b8ad-8aaf4da0f356</errorID>
      <errorWord>为约</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13E3951C</paraID>
      <start>108</start>
      <end>110</end>
      <status>ignored</status>
      <modifiedWord/>
      <trackRevisions>false</trackRevisions>
    </reviewItem>
    <reviewItem>
      <errorID>5e49324c-214b-4bd4-ad8b-2f34566b8c11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15A5DE63</paraID>
      <start>0</start>
      <end>2</end>
      <status>ignored</status>
      <modifiedWord/>
      <trackRevisions>false</trackRevisions>
    </reviewItem>
    <reviewItem>
      <errorID>686cbc1a-56b1-43ce-813c-e22bdb3671a2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48ADD378</paraID>
      <start>0</start>
      <end>2</end>
      <status>ignored</status>
      <modifiedWord/>
      <trackRevisions>false</trackRevisions>
    </reviewItem>
    <reviewItem>
      <errorID>c9fb22d7-f601-47a1-8612-00026f3016d2</errorID>
      <errorWord>采用的</errorWord>
      <group>L1_Word</group>
      <groupName>字词问题</groupName>
      <ability>L2_Typo</ability>
      <abilityName>字词错误</abilityName>
      <candidateList>
        <item>采用</item>
      </candidateList>
      <explain>〈动〉认为合适而使用：～新工艺｜～举手表决方式｜那篇稿子已被编辑部～。</explain>
      <paraID>48ADD378</paraID>
      <start>29</start>
      <end>31</end>
      <status>modified</status>
      <modifiedWord>采用</modifiedWord>
      <trackRevisions>false</trackRevisions>
    </reviewItem>
    <reviewItem>
      <errorID>505d8c34-9982-4ec1-9d3c-51437eb6b51c</errorID>
      <errorWord>至少为</errorWord>
      <group>L1_Word</group>
      <groupName>字词问题</groupName>
      <ability>L2_Typo</ability>
      <abilityName>字词错误</abilityName>
      <candidateList>
        <item>至少</item>
      </candidateList>
      <explain/>
      <paraID>48ADD378</paraID>
      <start>57</start>
      <end>59</end>
      <status>modified</status>
      <modifiedWord>至少</modifiedWord>
      <trackRevisions>false</trackRevisions>
    </reviewItem>
    <reviewItem>
      <errorID>69e569ce-6d8e-4543-89f9-6d8e5a5f82a8</errorID>
      <errorWord>细沙</errorWord>
      <group>L1_Word</group>
      <groupName>字词问题</groupName>
      <ability>L2_Typo</ability>
      <abilityName>字词错误</abilityName>
      <candidateList>
        <item>细砂</item>
      </candidateList>
      <explain>存在发音相同字词的误用。</explain>
      <paraID>1E0C90B7</paraID>
      <start>10</start>
      <end>12</end>
      <status>modified</status>
      <modifiedWord>细砂</modifiedWord>
      <trackRevisions>false</trackRevisions>
    </reviewItem>
    <reviewItem>
      <errorID>353975f0-8922-4c03-a420-32ad232599cf</errorID>
      <errorWord>,</errorWord>
      <group>L1_Format</group>
      <groupName>格式问题</groupName>
      <ability>L2_HalfPunc</ability>
      <abilityName>全半角检查</abilityName>
      <candidateList>
        <item>，</item>
      </candidateList>
      <explain>文本全半角错误。</explain>
      <paraID>1E0C90B7</paraID>
      <start>19</start>
      <end>20</end>
      <status>modified</status>
      <modifiedWord>，</modifiedWord>
      <trackRevisions>false</trackRevisions>
    </reviewItem>
    <reviewItem>
      <errorID>880b0404-442d-4162-817d-6fcdada84db2</errorID>
      <errorWord>细沙</errorWord>
      <group>L1_Word</group>
      <groupName>字词问题</groupName>
      <ability>L2_Typo</ability>
      <abilityName>字词错误</abilityName>
      <candidateList>
        <item>细砂</item>
      </candidateList>
      <explain>存在发音相同字词的误用。</explain>
      <paraID>3B2B17ED</paraID>
      <start>10</start>
      <end>12</end>
      <status>modified</status>
      <modifiedWord>细砂</modifiedWord>
      <trackRevisions>false</trackRevisions>
    </reviewItem>
    <reviewItem>
      <errorID>e2ec1f8b-5328-4e51-b76b-9618dc677309</errorID>
      <errorWord>,</errorWord>
      <group>L1_Format</group>
      <groupName>格式问题</groupName>
      <ability>L2_HalfPunc</ability>
      <abilityName>全半角检查</abilityName>
      <candidateList>
        <item>，</item>
      </candidateList>
      <explain>文本全半角错误。</explain>
      <paraID>3B2B17ED</paraID>
      <start>19</start>
      <end>20</end>
      <status>modified</status>
      <modifiedWord>，</modifiedWord>
      <trackRevisions>false</trackRevisions>
    </reviewItem>
    <reviewItem>
      <errorID>b43bace8-4f14-40f1-af72-1bc0342afd17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7276C3E0</paraID>
      <start>0</start>
      <end>2</end>
      <status>ignored</status>
      <modifiedWord/>
      <trackRevisions>false</trackRevisions>
    </reviewItem>
    <reviewItem>
      <errorID>32e9aa47-edde-473e-8875-b118377d50ec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7276C3E0</paraID>
      <start>93</start>
      <end>94</end>
      <status>modified</status>
      <modifiedWord>—</modifiedWord>
      <trackRevisions>false</trackRevisions>
    </reviewItem>
    <reviewItem>
      <errorID>a8dadb9c-3abc-4509-9a6e-d94d59d1cd53</errorID>
      <errorWord>有</errorWord>
      <group>L1_Word</group>
      <groupName>字词问题</groupName>
      <ability>L2_Typo</ability>
      <abilityName>字词错误</abilityName>
      <candidateList>
        <item>由</item>
      </candidateList>
      <explain>存在发音相同字词的误用。</explain>
      <paraID>11DB083A</paraID>
      <start>161</start>
      <end>162</end>
      <status>modified</status>
      <modifiedWord>由</modifiedWord>
      <trackRevisions>false</trackRevisions>
    </reviewItem>
    <reviewItem>
      <errorID>51557b78-7cfb-49d9-acfe-95d5468b0f81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45637AE2</paraID>
      <start>0</start>
      <end>2</end>
      <status>ignored</status>
      <modifiedWord/>
      <trackRevisions>false</trackRevisions>
    </reviewItem>
    <reviewItem>
      <errorID>721094e2-f219-4693-8d03-ed8282ac51e7</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45637AE2</paraID>
      <start>106</start>
      <end>110</end>
      <status>modified</status>
      <modifiedWord>两个阶段</modifiedWord>
      <trackRevisions>false</trackRevisions>
    </reviewItem>
    <reviewItem>
      <errorID>3209cd63-0f5f-42cb-869c-a022a81a9a60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7C3B809E</paraID>
      <start>0</start>
      <end>2</end>
      <status>ignored</status>
      <modifiedWord/>
      <trackRevisions>false</trackRevisions>
    </reviewItem>
    <reviewItem>
      <errorID>648c9a3a-c668-4514-aa83-d334fb84c4fa</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7C3B809E</paraID>
      <start>232</start>
      <end>236</end>
      <status>modified</status>
      <modifiedWord>两个阶段</modifiedWord>
      <trackRevisions>false</trackRevisions>
    </reviewItem>
    <reviewItem>
      <errorID>02835338-bd71-47e8-9a12-0873c81f61f0</errorID>
      <errorWord>横竿</errorWord>
      <group>L1_Word</group>
      <groupName>字词问题</groupName>
      <ability>L2_Typo</ability>
      <abilityName>字词错误</abilityName>
      <candidateList>
        <item>横杆</item>
      </candidateList>
      <explain>存在发音相同字词的误用。</explain>
      <paraID>2735C9A7</paraID>
      <start>0</start>
      <end>2</end>
      <status>modified</status>
      <modifiedWord>横杆</modifiedWord>
      <trackRevisions>false</trackRevisions>
    </reviewItem>
    <reviewItem>
      <errorID>8a67b123-697d-491d-91eb-383a9f5c41a0</errorID>
      <errorWord>总长为</errorWord>
      <group>L1_Word</group>
      <groupName>字词问题</groupName>
      <ability>L2_Typo</ability>
      <abilityName>字词错误</abilityName>
      <candidateList>
        <item>总长度</item>
      </candidateList>
      <explain/>
      <paraID>3940CF07</paraID>
      <start>60</start>
      <end>63</end>
      <status>modified</status>
      <modifiedWord>总长度</modifiedWord>
      <trackRevisions>false</trackRevisions>
    </reviewItem>
    <reviewItem>
      <errorID>321389e5-ceb6-49ab-b1f6-bf1e5f8776e1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7E668CD6</paraID>
      <start>0</start>
      <end>2</end>
      <status>ignored</status>
      <modifiedWord/>
      <trackRevisions>false</trackRevisions>
    </reviewItem>
    <reviewItem>
      <errorID>b8973782-c14a-4adf-a29d-1ef58bc42b3e</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7E668CD6</paraID>
      <start>348</start>
      <end>352</end>
      <status>modified</status>
      <modifiedWord>两个阶段</modifiedWord>
      <trackRevisions>false</trackRevisions>
    </reviewItem>
    <reviewItem>
      <errorID>f85fcc82-d253-4996-8bf8-1508b387b7ad</errorID>
      <errorWord>)</errorWord>
      <group>L1_Format</group>
      <groupName>格式问题</groupName>
      <ability>L2_HalfPunc</ability>
      <abilityName>全半角检查</abilityName>
      <candidateList>
        <item>）</item>
      </candidateList>
      <explain>文本全半角错误。</explain>
      <paraID>4947299D</paraID>
      <start>70</start>
      <end>71</end>
      <status>modified</status>
      <modifiedWord>）</modifiedWord>
      <trackRevisions>false</trackRevisions>
    </reviewItem>
    <reviewItem>
      <errorID>6d422cfc-570b-4db3-92af-1023ca80fc6a</errorID>
      <errorWord>:</errorWord>
      <group>L1_Format</group>
      <groupName>格式问题</groupName>
      <ability>L2_HalfPunc</ability>
      <abilityName>全半角检查</abilityName>
      <candidateList>
        <item>：</item>
      </candidateList>
      <explain>文本全半角错误。</explain>
      <paraID>4947299D</paraID>
      <start>76</start>
      <end>77</end>
      <status>modified</status>
      <modifiedWord>：</modifiedWord>
      <trackRevisions>false</trackRevisions>
    </reviewItem>
    <reviewItem>
      <errorID>19db8a1d-7015-439c-af9e-7d46775a35e0</errorID>
      <errorWord>)</errorWord>
      <group>L1_Format</group>
      <groupName>格式问题</groupName>
      <ability>L2_HalfPunc</ability>
      <abilityName>全半角检查</abilityName>
      <candidateList>
        <item>）</item>
      </candidateList>
      <explain>文本全半角错误。</explain>
      <paraID>4947299D</paraID>
      <start>83</start>
      <end>84</end>
      <status>modified</status>
      <modifiedWord>）</modifiedWord>
      <trackRevisions>false</trackRevisions>
    </reviewItem>
    <reviewItem>
      <errorID>f5257d06-de80-48dd-912b-213a0c3937b1</errorID>
      <errorWord>)</errorWord>
      <group>L1_Format</group>
      <groupName>格式问题</groupName>
      <ability>L2_HalfPunc</ability>
      <abilityName>全半角检查</abilityName>
      <candidateList>
        <item>）</item>
      </candidateList>
      <explain>文本全半角错误。</explain>
      <paraID>4947299D</paraID>
      <start>103</start>
      <end>104</end>
      <status>modified</status>
      <modifiedWord>）</modifiedWord>
      <trackRevisions>false</trackRevisions>
    </reviewItem>
    <reviewItem>
      <errorID>f4a239e0-2310-4ea7-9c04-a3e035167c8a</errorID>
      <errorWord>)</errorWord>
      <group>L1_Format</group>
      <groupName>格式问题</groupName>
      <ability>L2_HalfPunc</ability>
      <abilityName>全半角检查</abilityName>
      <candidateList>
        <item>）</item>
      </candidateList>
      <explain>文本全半角错误。</explain>
      <paraID>4947299D</paraID>
      <start>124</start>
      <end>125</end>
      <status>modified</status>
      <modifiedWord>）</modifiedWord>
      <trackRevisions>false</trackRevisions>
    </reviewItem>
    <reviewItem>
      <errorID>55619ac1-636d-486e-a0e2-51979917837d</errorID>
      <errorWord>)</errorWord>
      <group>L1_Format</group>
      <groupName>格式问题</groupName>
      <ability>L2_HalfPunc</ability>
      <abilityName>全半角检查</abilityName>
      <candidateList>
        <item>）</item>
      </candidateList>
      <explain>文本全半角错误。</explain>
      <paraID>4947299D</paraID>
      <start>148</start>
      <end>149</end>
      <status>modified</status>
      <modifiedWord>）</modifiedWord>
      <trackRevisions>false</trackRevisions>
    </reviewItem>
    <reviewItem>
      <errorID>f4792f9e-5bcf-41d2-865f-9c3f3d8f27c0</errorID>
      <errorWord>:</errorWord>
      <group>L1_Format</group>
      <groupName>格式问题</groupName>
      <ability>L2_HalfPunc</ability>
      <abilityName>全半角检查</abilityName>
      <candidateList>
        <item>：</item>
      </candidateList>
      <explain>文本全半角错误。</explain>
      <paraID>46080BFC</paraID>
      <start>81</start>
      <end>82</end>
      <status>modified</status>
      <modifiedWord>：</modifiedWord>
      <trackRevisions>false</trackRevisions>
    </reviewItem>
    <reviewItem>
      <errorID>f6cf94a1-fd7a-4583-8f29-e97d323a055d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4291B002</paraID>
      <start>0</start>
      <end>2</end>
      <status>ignored</status>
      <modifiedWord/>
      <trackRevisions>false</trackRevisions>
    </reviewItem>
    <reviewItem>
      <errorID>942c0f47-f466-4d61-95e7-69dba326775f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74CD7428</paraID>
      <start>0</start>
      <end>2</end>
      <status>ignored</status>
      <modifiedWord/>
      <trackRevisions>false</trackRevisions>
    </reviewItem>
    <reviewItem>
      <errorID>ea41ce83-e302-43a8-ae42-8e73d0849a99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1414A87A</paraID>
      <start>0</start>
      <end>2</end>
      <status>ignored</status>
      <modifiedWord/>
      <trackRevisions>false</trackRevisions>
    </reviewItem>
    <reviewItem>
      <errorID>afa7c504-0b6c-41c8-8fb9-dfdae3c6fd31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71A57999</paraID>
      <start>0</start>
      <end>2</end>
      <status>ignored</status>
      <modifiedWord/>
      <trackRevisions>false</trackRevisions>
    </reviewItem>
    <reviewItem>
      <errorID>40a8371f-5abc-4a08-8f70-fa5d04d2242e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3ABA46AB</paraID>
      <start>0</start>
      <end>2</end>
      <status>ignored</status>
      <modifiedWord/>
      <trackRevisions>false</trackRevisions>
    </reviewItem>
    <reviewItem>
      <errorID>86d98392-b3f1-4db1-911b-fbfaf5e151eb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7932185E</paraID>
      <start>0</start>
      <end>2</end>
      <status>ignored</status>
      <modifiedWord/>
      <trackRevisions>false</trackRevisions>
    </reviewItem>
    <reviewItem>
      <errorID>56a6d8f9-96f5-4d54-ada4-fe0aedf30896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62A15B55</paraID>
      <start>37</start>
      <end>38</end>
      <status>modified</status>
      <modifiedWord>—</modifiedWord>
      <trackRevisions>false</trackRevisions>
    </reviewItem>
    <reviewItem>
      <errorID>dd5efd31-543c-4dc6-b42f-1adf69fc067a</errorID>
      <errorWord>,</errorWord>
      <group>L1_Format</group>
      <groupName>格式问题</groupName>
      <ability>L2_HalfPunc</ability>
      <abilityName>全半角检查</abilityName>
      <candidateList>
        <item>，</item>
      </candidateList>
      <explain>文本全半角错误。</explain>
      <paraID>62A15B55</paraID>
      <start>42</start>
      <end>43</end>
      <status>modified</status>
      <modifiedWord>，</modifiedWord>
      <trackRevisions>false</trackRevisions>
    </reviewItem>
    <reviewItem>
      <errorID>38e8e32f-20eb-4c10-9a11-2b1e449c9060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62A15B55</paraID>
      <start>47</start>
      <end>48</end>
      <status>modified</status>
      <modifiedWord>—</modifiedWord>
      <trackRevisions>false</trackRevisions>
    </reviewItem>
    <reviewItem>
      <errorID>b36342bf-ec64-41cb-923e-3b43420705f1</errorID>
      <errorWord>耐侯性</errorWord>
      <group>L1_Word</group>
      <groupName>字词问题</groupName>
      <ability>L2_Typo</ability>
      <abilityName>字词错误</abilityName>
      <candidateList>
        <item>耐候性</item>
      </candidateList>
      <explain/>
      <paraID>77AC8EEC</paraID>
      <start>532</start>
      <end>535</end>
      <status>modified</status>
      <modifiedWord>耐候性</modifiedWord>
      <trackRevisions>false</trackRevisions>
    </reviewItem>
    <reviewItem>
      <errorID>ae6fc7f8-c437-4add-910c-947f5ffd78f1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14E50B35</paraID>
      <start>0</start>
      <end>2</end>
      <status>ignored</status>
      <modifiedWord/>
      <trackRevisions>false</trackRevisions>
    </reviewItem>
    <reviewItem>
      <errorID>42ddcd8c-8aa5-4ceb-8cc0-e0e9bdd68232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5D24B895</paraID>
      <start>100</start>
      <end>101</end>
      <status>modified</status>
      <modifiedWord>—</modifiedWord>
      <trackRevisions>false</trackRevisions>
    </reviewItem>
    <reviewItem>
      <errorID>7f9ed446-d2de-45cd-8866-7c8725a1cece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5D24B895</paraID>
      <start>116</start>
      <end>117</end>
      <status>modified</status>
      <modifiedWord>—</modifiedWord>
      <trackRevisions>false</trackRevisions>
    </reviewItem>
    <reviewItem>
      <errorID>3a85997b-cf13-4242-b822-bd47984b72a0</errorID>
      <errorWord>)</errorWord>
      <group>L1_Format</group>
      <groupName>格式问题</groupName>
      <ability>L2_HalfPunc</ability>
      <abilityName>全半角检查</abilityName>
      <candidateList>
        <item>）</item>
      </candidateList>
      <explain>文本全半角错误。</explain>
      <paraID> AD82A8B</paraID>
      <start>33</start>
      <end>34</end>
      <status>modified</status>
      <modifiedWord>）</modifiedWord>
      <trackRevisions>false</trackRevisions>
    </reviewItem>
    <reviewItem>
      <errorID>8e3f11a0-121e-4383-9d4a-a07d91fb1ef6</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6AD22FF0</paraID>
      <start>149</start>
      <end>151</end>
      <status>modified</status>
      <modifiedWord>材料</modifiedWord>
      <trackRevisions>false</trackRevisions>
    </reviewItem>
    <reviewItem>
      <errorID>403d7eb8-5c35-453c-a010-716183ab4e54</errorID>
      <errorWord>兰色</errorWord>
      <group>L1_Word</group>
      <groupName>字词问题</groupName>
      <ability>L2_Typo</ability>
      <abilityName>字词错误</abilityName>
      <candidateList>
        <item>蓝色</item>
      </candidateList>
      <explain/>
      <paraID>495ED6CD</paraID>
      <start>42</start>
      <end>44</end>
      <status>ignored</status>
      <modifiedWord/>
      <trackRevisions>false</trackRevisions>
    </reviewItem>
    <reviewItem>
      <errorID>f66bf880-79ce-47db-bf4d-706bcf3c5580</errorID>
      <errorWord>(</errorWord>
      <group>L1_Format</group>
      <groupName>格式问题</groupName>
      <ability>L2_HalfPunc</ability>
      <abilityName>全半角检查</abilityName>
      <candidateList>
        <item>（</item>
      </candidateList>
      <explain>文本全半角错误。</explain>
      <paraID>495ED6CD</paraID>
      <start>48</start>
      <end>49</end>
      <status>modified</status>
      <modifiedWord>（</modifiedWord>
      <trackRevisions>false</trackRevisions>
    </reviewItem>
    <reviewItem>
      <errorID>725c2d88-571c-4198-a6d2-229a52a8426a</errorID>
      <errorWord>只</errorWord>
      <group>L1_Knowledge</group>
      <groupName>知识性问题</groupName>
      <ability>L2_Knowledge</ability>
      <abilityName>其他知识</abilityName>
      <candidateList>
        <item>支</item>
      </candidateList>
      <explain>请检查“只”是否为量词使用错误，建议修改为“支”。</explain>
      <paraID> D011D3C</paraID>
      <start>4</start>
      <end>5</end>
      <status>modified</status>
      <modifiedWord>支</modifiedWord>
      <trackRevisions>false</trackRevisions>
    </reviewItem>
    <reviewItem>
      <errorID>5abdfad1-2e20-44a3-9593-34afe2ad8a2b</errorID>
      <errorWord>:</errorWord>
      <group>L1_Format</group>
      <groupName>格式问题</groupName>
      <ability>L2_HalfPunc</ability>
      <abilityName>全半角检查</abilityName>
      <candidateList>
        <item>：</item>
      </candidateList>
      <explain>文本全半角错误。</explain>
      <paraID> D011D3C</paraID>
      <start>16</start>
      <end>17</end>
      <status>modified</status>
      <modifiedWord>：</modifiedWord>
      <trackRevisions>false</trackRevisions>
    </reviewItem>
    <reviewItem>
      <errorID>7bf416bb-352a-4339-a289-e8abb9966300</errorID>
      <errorWord>:</errorWord>
      <group>L1_Format</group>
      <groupName>格式问题</groupName>
      <ability>L2_HalfPunc</ability>
      <abilityName>全半角检查</abilityName>
      <candidateList>
        <item>：</item>
      </candidateList>
      <explain>文本全半角错误。</explain>
      <paraID>4E1EBCCF</paraID>
      <start>27</start>
      <end>28</end>
      <status>modified</status>
      <modifiedWord>：</modifiedWord>
      <trackRevisions>false</trackRevisions>
    </reviewItem>
    <reviewItem>
      <errorID>a9c15640-fd6a-441a-8e13-1c5f06b2e5c5</errorID>
      <errorWord>:</errorWord>
      <group>L1_Format</group>
      <groupName>格式问题</groupName>
      <ability>L2_HalfPunc</ability>
      <abilityName>全半角检查</abilityName>
      <candidateList>
        <item>：</item>
      </candidateList>
      <explain>文本全半角错误。</explain>
      <paraID>4E1EBCCF</paraID>
      <start>37</start>
      <end>38</end>
      <status>modified</status>
      <modifiedWord>：</modifiedWord>
      <trackRevisions>false</trackRevisions>
    </reviewItem>
    <reviewItem>
      <errorID>42e7a56b-0e48-4d40-9cc9-3e5c5dab40ea</errorID>
      <errorWord>:</errorWord>
      <group>L1_Format</group>
      <groupName>格式问题</groupName>
      <ability>L2_HalfPunc</ability>
      <abilityName>全半角检查</abilityName>
      <candidateList>
        <item>：</item>
      </candidateList>
      <explain>文本全半角错误。</explain>
      <paraID>4E1EBCCF</paraID>
      <start>46</start>
      <end>47</end>
      <status>modified</status>
      <modifiedWord>：</modifiedWord>
      <trackRevisions>false</trackRevisions>
    </reviewItem>
    <reviewItem>
      <errorID>4afb023a-a575-46c8-9de6-1e7fcb0e9ee0</errorID>
      <errorWord>:</errorWord>
      <group>L1_Format</group>
      <groupName>格式问题</groupName>
      <ability>L2_HalfPunc</ability>
      <abilityName>全半角检查</abilityName>
      <candidateList>
        <item>：</item>
      </candidateList>
      <explain>文本全半角错误。</explain>
      <paraID>4E1EBCCF</paraID>
      <start>58</start>
      <end>59</end>
      <status>modified</status>
      <modifiedWord>：</modifiedWord>
      <trackRevisions>false</trackRevisions>
    </reviewItem>
    <reviewItem>
      <errorID>88db8578-d070-4989-9b63-1fb3eed65c8a</errorID>
      <errorWord>:</errorWord>
      <group>L1_Format</group>
      <groupName>格式问题</groupName>
      <ability>L2_HalfPunc</ability>
      <abilityName>全半角检查</abilityName>
      <candidateList>
        <item>：</item>
      </candidateList>
      <explain>文本全半角错误。</explain>
      <paraID>4E1EBCCF</paraID>
      <start>67</start>
      <end>68</end>
      <status>modified</status>
      <modifiedWord>：</modifiedWord>
      <trackRevisions>false</trackRevisions>
    </reviewItem>
    <reviewItem>
      <errorID>6df8ce93-8b4a-47dc-a1d9-294409391deb</errorID>
      <errorWord>:</errorWord>
      <group>L1_Format</group>
      <groupName>格式问题</groupName>
      <ability>L2_HalfPunc</ability>
      <abilityName>全半角检查</abilityName>
      <candidateList>
        <item>：</item>
      </candidateList>
      <explain>文本全半角错误。</explain>
      <paraID>4E1EBCCF</paraID>
      <start>88</start>
      <end>89</end>
      <status>modified</status>
      <modifiedWord>：</modifiedWord>
      <trackRevisions>false</trackRevisions>
    </reviewItem>
    <reviewItem>
      <errorID>81fffc34-d74b-4d18-ba59-70e214411064</errorID>
      <errorWord>:</errorWord>
      <group>L1_Format</group>
      <groupName>格式问题</groupName>
      <ability>L2_HalfPunc</ability>
      <abilityName>全半角检查</abilityName>
      <candidateList>
        <item>：</item>
      </candidateList>
      <explain>文本全半角错误。</explain>
      <paraID> 64DDC2F</paraID>
      <start>7</start>
      <end>8</end>
      <status>modified</status>
      <modifiedWord>：</modifiedWord>
      <trackRevisions>false</trackRevisions>
    </reviewItem>
    <reviewItem>
      <errorID>fcd2d33a-aa4c-4772-bd44-89c8617e84cd</errorID>
      <errorWord>:</errorWord>
      <group>L1_Format</group>
      <groupName>格式问题</groupName>
      <ability>L2_HalfPunc</ability>
      <abilityName>全半角检查</abilityName>
      <candidateList>
        <item>：</item>
      </candidateList>
      <explain>文本全半角错误。</explain>
      <paraID> 64DDC2F</paraID>
      <start>29</start>
      <end>30</end>
      <status>modified</status>
      <modifiedWord>：</modifiedWord>
      <trackRevisions>false</trackRevisions>
    </reviewItem>
    <reviewItem>
      <errorID>3497c18c-862f-4ec2-b9ba-9ef1a1458427</errorID>
      <errorWord>:</errorWord>
      <group>L1_Format</group>
      <groupName>格式问题</groupName>
      <ability>L2_HalfPunc</ability>
      <abilityName>全半角检查</abilityName>
      <candidateList>
        <item>：</item>
      </candidateList>
      <explain>文本全半角错误。</explain>
      <paraID> 64DDC2F</paraID>
      <start>81</start>
      <end>82</end>
      <status>modified</status>
      <modifiedWord>：</modifiedWord>
      <trackRevisions>false</trackRevisions>
    </reviewItem>
    <reviewItem>
      <errorID>3ea22189-fc98-462d-8450-4e18ff278464</errorID>
      <errorWord>:</errorWord>
      <group>L1_Format</group>
      <groupName>格式问题</groupName>
      <ability>L2_HalfPunc</ability>
      <abilityName>全半角检查</abilityName>
      <candidateList>
        <item>：</item>
      </candidateList>
      <explain>文本全半角错误。</explain>
      <paraID> 64DDC2F</paraID>
      <start>96</start>
      <end>97</end>
      <status>modified</status>
      <modifiedWord>：</modifiedWord>
      <trackRevisions>false</trackRevisions>
    </reviewItem>
    <reviewItem>
      <errorID>ad5a2bcf-9398-4e48-8f4b-84c9ad13f24b</errorID>
      <errorWord>:</errorWord>
      <group>L1_Format</group>
      <groupName>格式问题</groupName>
      <ability>L2_HalfPunc</ability>
      <abilityName>全半角检查</abilityName>
      <candidateList>
        <item>：</item>
      </candidateList>
      <explain>文本全半角错误。</explain>
      <paraID> 64DDC2F</paraID>
      <start>113</start>
      <end>114</end>
      <status>modified</status>
      <modifiedWord>：</modifiedWord>
      <trackRevisions>false</trackRevisions>
    </reviewItem>
    <reviewItem>
      <errorID>c08f8149-af91-41ae-bbd1-d2c07144bf29</errorID>
      <errorWord>:</errorWord>
      <group>L1_Format</group>
      <groupName>格式问题</groupName>
      <ability>L2_HalfPunc</ability>
      <abilityName>全半角检查</abilityName>
      <candidateList>
        <item>：</item>
      </candidateList>
      <explain>文本全半角错误。</explain>
      <paraID>6EFB47C3</paraID>
      <start>4</start>
      <end>5</end>
      <status>modified</status>
      <modifiedWord>：</modifiedWord>
      <trackRevisions>false</trackRevisions>
    </reviewItem>
    <reviewItem>
      <errorID>8e277080-d9bf-430c-a337-f56820961c78</errorID>
      <errorWord>:</errorWord>
      <group>L1_Format</group>
      <groupName>格式问题</groupName>
      <ability>L2_HalfPunc</ability>
      <abilityName>全半角检查</abilityName>
      <candidateList>
        <item>：</item>
      </candidateList>
      <explain>文本全半角错误。</explain>
      <paraID>6EFB47C3</paraID>
      <start>14</start>
      <end>15</end>
      <status>modified</status>
      <modifiedWord>：</modifiedWord>
      <trackRevisions>false</trackRevisions>
    </reviewItem>
    <reviewItem>
      <errorID>e0b8c889-1a20-45db-9fcf-1f775c8826ed</errorID>
      <errorWord>:</errorWord>
      <group>L1_Format</group>
      <groupName>格式问题</groupName>
      <ability>L2_HalfPunc</ability>
      <abilityName>全半角检查</abilityName>
      <candidateList>
        <item>：</item>
      </candidateList>
      <explain>文本全半角错误。</explain>
      <paraID>6EFB47C3</paraID>
      <start>21</start>
      <end>22</end>
      <status>modified</status>
      <modifiedWord>：</modifiedWord>
      <trackRevisions>false</trackRevisions>
    </reviewItem>
    <reviewItem>
      <errorID>1fc43f63-2e96-4141-9fed-1a849b6134d0</errorID>
      <errorWord>:</errorWord>
      <group>L1_Format</group>
      <groupName>格式问题</groupName>
      <ability>L2_HalfPunc</ability>
      <abilityName>全半角检查</abilityName>
      <candidateList>
        <item>：</item>
      </candidateList>
      <explain>文本全半角错误。</explain>
      <paraID>6EFB47C3</paraID>
      <start>27</start>
      <end>28</end>
      <status>modified</status>
      <modifiedWord>：</modifiedWord>
      <trackRevisions>false</trackRevisions>
    </reviewItem>
    <reviewItem>
      <errorID>d72c3f4e-760c-4ce1-bc23-3dc18fdf4f2d</errorID>
      <errorWord>:</errorWord>
      <group>L1_Format</group>
      <groupName>格式问题</groupName>
      <ability>L2_HalfPunc</ability>
      <abilityName>全半角检查</abilityName>
      <candidateList>
        <item>：</item>
      </candidateList>
      <explain>文本全半角错误。</explain>
      <paraID>6EFB47C3</paraID>
      <start>36</start>
      <end>37</end>
      <status>modified</status>
      <modifiedWord>：</modifiedWord>
      <trackRevisions>false</trackRevisions>
    </reviewItem>
    <reviewItem>
      <errorID>c4356f3b-19dd-4146-9204-187d8e195e31</errorID>
      <errorWord>:</errorWord>
      <group>L1_Format</group>
      <groupName>格式问题</groupName>
      <ability>L2_HalfPunc</ability>
      <abilityName>全半角检查</abilityName>
      <candidateList>
        <item>：</item>
      </candidateList>
      <explain>文本全半角错误。</explain>
      <paraID>6EFB47C3</paraID>
      <start>49</start>
      <end>50</end>
      <status>modified</status>
      <modifiedWord>：</modifiedWord>
      <trackRevisions>false</trackRevisions>
    </reviewItem>
    <reviewItem>
      <errorID>2aef3b0e-e8fa-4e75-99d1-254132bcfb99</errorID>
      <errorWord>:</errorWord>
      <group>L1_Format</group>
      <groupName>格式问题</groupName>
      <ability>L2_HalfPunc</ability>
      <abilityName>全半角检查</abilityName>
      <candidateList>
        <item>：</item>
      </candidateList>
      <explain>文本全半角错误。</explain>
      <paraID>6A32463D</paraID>
      <start>7</start>
      <end>8</end>
      <status>modified</status>
      <modifiedWord>：</modifiedWord>
      <trackRevisions>false</trackRevisions>
    </reviewItem>
    <reviewItem>
      <errorID>6b3420d8-b29b-409c-8f4c-1090f909408e</errorID>
      <errorWord>:</errorWord>
      <group>L1_Format</group>
      <groupName>格式问题</groupName>
      <ability>L2_HalfPunc</ability>
      <abilityName>全半角检查</abilityName>
      <candidateList>
        <item>：</item>
      </candidateList>
      <explain>文本全半角错误。</explain>
      <paraID>6A32463D</paraID>
      <start>32</start>
      <end>33</end>
      <status>modified</status>
      <modifiedWord>：</modifiedWord>
      <trackRevisions>false</trackRevisions>
    </reviewItem>
    <reviewItem>
      <errorID>397758cd-2118-4ff4-97c2-ef0ca8342676</errorID>
      <errorWord>:</errorWord>
      <group>L1_Format</group>
      <groupName>格式问题</groupName>
      <ability>L2_HalfPunc</ability>
      <abilityName>全半角检查</abilityName>
      <candidateList>
        <item>：</item>
      </candidateList>
      <explain>文本全半角错误。</explain>
      <paraID>6A32463D</paraID>
      <start>43</start>
      <end>44</end>
      <status>modified</status>
      <modifiedWord>：</modifiedWord>
      <trackRevisions>false</trackRevisions>
    </reviewItem>
    <reviewItem>
      <errorID>12ab251d-90f8-44e9-a8ca-7c15a1fbde53</errorID>
      <errorWord>:</errorWord>
      <group>L1_Format</group>
      <groupName>格式问题</groupName>
      <ability>L2_HalfPunc</ability>
      <abilityName>全半角检查</abilityName>
      <candidateList>
        <item>：</item>
      </candidateList>
      <explain>文本全半角错误。</explain>
      <paraID>6A32463D</paraID>
      <start>52</start>
      <end>53</end>
      <status>modified</status>
      <modifiedWord>：</modifiedWord>
      <trackRevisions>false</trackRevisions>
    </reviewItem>
    <reviewItem>
      <errorID>072a3f02-91b5-4f08-bf19-b3e84b14b484</errorID>
      <errorWord>(</errorWord>
      <group>L1_Format</group>
      <groupName>格式问题</groupName>
      <ability>L2_HalfPunc</ability>
      <abilityName>全半角检查</abilityName>
      <candidateList>
        <item>（</item>
      </candidateList>
      <explain>文本全半角错误。</explain>
      <paraID>445D2858</paraID>
      <start>34</start>
      <end>35</end>
      <status>modified</status>
      <modifiedWord>（</modifiedWord>
      <trackRevisions>false</trackRevisions>
    </reviewItem>
    <reviewItem>
      <errorID>022bd189-b634-4aa7-a9d6-f1cde2e1bbd1</errorID>
      <errorWord>)</errorWord>
      <group>L1_Format</group>
      <groupName>格式问题</groupName>
      <ability>L2_HalfPunc</ability>
      <abilityName>全半角检查</abilityName>
      <candidateList>
        <item>）</item>
      </candidateList>
      <explain>文本全半角错误。</explain>
      <paraID>445D2858</paraID>
      <start>38</start>
      <end>39</end>
      <status>modified</status>
      <modifiedWord>）</modifiedWord>
      <trackRevisions>false</trackRevisions>
    </reviewItem>
    <reviewItem>
      <errorID>40adfb25-a93f-4bce-847a-46c2d55bb37b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18675808</paraID>
      <start>0</start>
      <end>2</end>
      <status>ignored</status>
      <modifiedWord/>
      <trackRevisions>false</trackRevisions>
    </reviewItem>
    <reviewItem>
      <errorID>7a5862fa-2aaf-4d94-a017-ba34013c567c</errorID>
      <errorWord>，，</errorWord>
      <group>L1_Punc</group>
      <groupName>标点问题</groupName>
      <ability>L2_Punc</ability>
      <abilityName>标点符号检查</abilityName>
      <candidateList>
        <item>，</item>
      </candidateList>
      <explain/>
      <paraID>18675808</paraID>
      <start>82</start>
      <end>83</end>
      <status>modified</status>
      <modifiedWord>，</modifiedWord>
      <trackRevisions>false</trackRevisions>
    </reviewItem>
    <reviewItem>
      <errorID>cefb4fce-31ec-4a0c-afed-f8010d8140c7</errorID>
      <errorWord>勾</errorWord>
      <group>L1_Word</group>
      <groupName>字词问题</groupName>
      <ability>L2_Typo</ability>
      <abilityName>字词错误</abilityName>
      <candidateList>
        <item>钩</item>
      </candidateList>
      <explain>存在发音相同字词的误用。</explain>
      <paraID>18675808</paraID>
      <start>86</start>
      <end>87</end>
      <status>modified</status>
      <modifiedWord>钩</modifiedWord>
      <trackRevisions>false</trackRevisions>
    </reviewItem>
    <reviewItem>
      <errorID>a0cbd80e-d3eb-4c7a-bfec-c1be2e1c3b8e</errorID>
      <errorWord>危害到</errorWord>
      <group>L1_Word</group>
      <groupName>字词问题</groupName>
      <ability>L2_Typo</ability>
      <abilityName>字词错误</abilityName>
      <candidateList>
        <item>危害</item>
      </candidateList>
      <explain/>
      <paraID>18675808</paraID>
      <start>165</start>
      <end>167</end>
      <status>modified</status>
      <modifiedWord>危害</modifiedWord>
      <trackRevisions>false</trackRevisions>
    </reviewItem>
    <reviewItem>
      <errorID>2844bf41-e9bd-499c-b15d-948d27106e76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691AB83A</paraID>
      <start>0</start>
      <end>2</end>
      <status>ignored</status>
      <modifiedWord/>
      <trackRevisions>false</trackRevisions>
    </reviewItem>
    <reviewItem>
      <errorID>2c744b47-afff-483c-b97f-900d158bce1f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4F271783</paraID>
      <start>0</start>
      <end>2</end>
      <status>ignored</status>
      <modifiedWord/>
      <trackRevisions>false</trackRevisions>
    </reviewItem>
    <reviewItem>
      <errorID>13612893-3c2e-4816-a0c9-45bf93eed8f8</errorID>
      <errorWord>复</errorWord>
      <group>L1_Word</group>
      <groupName>字词问题</groupName>
      <ability>L2_Typo</ability>
      <abilityName>字词错误</abilityName>
      <candidateList>
        <item>覆</item>
      </candidateList>
      <explain>存在发音相同字词的误用。</explain>
      <paraID>4F271783</paraID>
      <start>74</start>
      <end>75</end>
      <status>modified</status>
      <modifiedWord>覆</modifiedWord>
      <trackRevisions>false</trackRevisions>
    </reviewItem>
    <reviewItem>
      <errorID>c59686a4-dc65-4feb-bdb3-bededf2362a4</errorID>
      <errorWord>基才</errorWord>
      <group>L1_Word</group>
      <groupName>字词问题</groupName>
      <ability>L2_Typo</ability>
      <abilityName>字词错误</abilityName>
      <candidateList>
        <item>基材</item>
      </candidateList>
      <explain/>
      <paraID>4F271783</paraID>
      <start>78</start>
      <end>80</end>
      <status>modified</status>
      <modifiedWord>基材</modifiedWord>
      <trackRevisions>false</trackRevisions>
    </reviewItem>
    <reviewItem>
      <errorID>c3474992-9786-4f01-b8aa-873515626945</errorID>
      <errorWord>平服</errorWord>
      <group>L1_Word</group>
      <groupName>字词问题</groupName>
      <ability>L2_Typo</ability>
      <abilityName>字词错误</abilityName>
      <candidateList>
        <item>平坦</item>
      </candidateList>
      <explain/>
      <paraID>4F271783</paraID>
      <start>87</start>
      <end>89</end>
      <status>modified</status>
      <modifiedWord>平坦</modifiedWord>
      <trackRevisions>false</trackRevisions>
    </reviewItem>
    <reviewItem>
      <errorID>4f3bf835-5542-4015-9964-204f9db9042f</errorID>
      <errorWord>使用</errorWord>
      <group>L1_Word</group>
      <groupName>字词问题</groupName>
      <ability>L2_Typo</ability>
      <abilityName>字词错误</abilityName>
      <candidateList>
        <item>适用</item>
      </candidateList>
      <explain>〈形〉适合使用：这套耕作方法，在我们这个地区也完全～。</explain>
      <paraID>31AAEF51</paraID>
      <start>10</start>
      <end>12</end>
      <status>modified</status>
      <modifiedWord>适用</modifiedWord>
      <trackRevisions>false</trackRevisions>
    </reviewItem>
    <reviewItem>
      <errorID>e8533480-3244-4ee4-8593-236dee67c8cc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4DE9FC06</paraID>
      <start>0</start>
      <end>2</end>
      <status>ignored</status>
      <modifiedWord/>
      <trackRevisions>false</trackRevisions>
    </reviewItem>
    <reviewItem>
      <errorID>6fbb1fcc-b42b-4f41-b1f5-c7c1176a0ac5</errorID>
      <errorWord>成形</errorWord>
      <group>L1_Word</group>
      <groupName>字词问题</groupName>
      <ability>L2_Typo</ability>
      <abilityName>字词错误</abilityName>
      <candidateList>
        <item>成型</item>
      </candidateList>
      <explain/>
      <paraID>4DE9FC06</paraID>
      <start>60</start>
      <end>62</end>
      <status>modified</status>
      <modifiedWord>成型</modifiedWord>
      <trackRevisions>false</trackRevisions>
    </reviewItem>
    <reviewItem>
      <errorID>014079e4-fe8a-445c-8c04-95f8ebd2b312</errorID>
      <errorWord>计分牌</errorWord>
      <group>L1_Word</group>
      <groupName>字词问题</groupName>
      <ability>L2_Typo</ability>
      <abilityName>字词错误</abilityName>
      <candidateList>
        <item>记分牌</item>
      </candidateList>
      <explain/>
      <paraID>5FFBCC63</paraID>
      <start>3</start>
      <end>6</end>
      <status>ignored</status>
      <modifiedWord/>
      <trackRevisions>false</trackRevisions>
    </reviewItem>
    <reviewItem>
      <errorID>cbf7efa5-0a5e-4879-8502-5f09a18712ee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3F7B9146</paraID>
      <start>0</start>
      <end>2</end>
      <status>ignored</status>
      <modifiedWord/>
      <trackRevisions>false</trackRevisions>
    </reviewItem>
    <reviewItem>
      <errorID>7355649d-9456-44a5-a982-a950cb44a3f0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7F5F7398</paraID>
      <start>0</start>
      <end>2</end>
      <status>ignored</status>
      <modifiedWord/>
      <trackRevisions>false</trackRevisions>
    </reviewItem>
    <reviewItem>
      <errorID>c1a57aa8-8193-4ed4-b5da-bbd44b6ac9a0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6A17FEC3</paraID>
      <start>0</start>
      <end>2</end>
      <status>ignored</status>
      <modifiedWord/>
      <trackRevisions>false</trackRevisions>
    </reviewItem>
    <reviewItem>
      <errorID>9d95297e-97f0-43e4-87bf-f7957c82ece7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779CAA35</paraID>
      <start>0</start>
      <end>2</end>
      <status>ignored</status>
      <modifiedWord/>
      <trackRevisions>false</trackRevisions>
    </reviewItem>
    <reviewItem>
      <errorID>8e859f54-2259-4e7f-b7a8-aa2bda7ee8bd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D9D09E6</paraID>
      <start>0</start>
      <end>2</end>
      <status>ignored</status>
      <modifiedWord/>
      <trackRevisions>false</trackRevisions>
    </reviewItem>
    <reviewItem>
      <errorID>65975120-92a9-463c-9a3a-dcaed7f10553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44DF33B7</paraID>
      <start>0</start>
      <end>2</end>
      <status>ignored</status>
      <modifiedWord/>
      <trackRevisions>false</trackRevisions>
    </reviewItem>
    <reviewItem>
      <errorID>54a67458-8e9f-4c64-9748-2fe5389c9fdd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469EAD10</paraID>
      <start>0</start>
      <end>2</end>
      <status>ignored</status>
      <modifiedWord/>
      <trackRevisions>false</trackRevisions>
    </reviewItem>
    <reviewItem>
      <errorID>ba3257eb-c749-4696-a7e6-a7d11c756802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16FA96B1</paraID>
      <start>0</start>
      <end>2</end>
      <status>ignored</status>
      <modifiedWord/>
      <trackRevisions>false</trackRevisions>
    </reviewItem>
    <reviewItem>
      <errorID>351dcf97-b47a-4f38-a3b8-6aadc883fc3b</errorID>
      <errorWord>上处</errorWord>
      <group>L1_Word</group>
      <groupName>字词问题</groupName>
      <ability>L2_Typo</ability>
      <abilityName>字词错误</abilityName>
      <candidateList>
        <item>上</item>
      </candidateList>
      <explain/>
      <paraID>1927E399</paraID>
      <start>124</start>
      <end>126</end>
      <status>ignored</status>
      <modifiedWord/>
      <trackRevisions>false</trackRevisions>
    </reviewItem>
    <reviewItem>
      <errorID>bffefdb0-859e-4bf9-99fc-31b9a4b85549</errorID>
      <errorWord>最底</errorWord>
      <group>L1_Word</group>
      <groupName>字词问题</groupName>
      <ability>L2_Typo</ability>
      <abilityName>字词错误</abilityName>
      <candidateList>
        <item>最低</item>
      </candidateList>
      <explain/>
      <paraID>1927E399</paraID>
      <start>157</start>
      <end>159</end>
      <status>ignored</status>
      <modifiedWord/>
      <trackRevisions>false</trackRevisions>
    </reviewItem>
    <reviewItem>
      <errorID>cc8526b5-8b97-4946-b7bb-6acffe74b849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1E744AFC</paraID>
      <start>69</start>
      <end>70</end>
      <status>modified</status>
      <modifiedWord>—</modifiedWord>
      <trackRevisions>false</trackRevisions>
    </reviewItem>
    <reviewItem>
      <errorID>4721c246-b4eb-44fa-90f5-d71422876bb5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FAEDFA0</paraID>
      <start>0</start>
      <end>2</end>
      <status>ignored</status>
      <modifiedWord/>
      <trackRevisions>false</trackRevisions>
    </reviewItem>
    <reviewItem>
      <errorID>e6178fd4-b888-46ca-b6de-459c71302e65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FAEDFA0</paraID>
      <start>308</start>
      <end>309</end>
      <status>modified</status>
      <modifiedWord>—</modifiedWord>
      <trackRevisions>false</trackRevisions>
    </reviewItem>
    <reviewItem>
      <errorID>ce0addbc-9369-4db0-85b1-ca9a8375d802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51423056</paraID>
      <start>0</start>
      <end>2</end>
      <status>ignored</status>
      <modifiedWord/>
      <trackRevisions>false</trackRevisions>
    </reviewItem>
    <reviewItem>
      <errorID>a701f9b8-8ecb-4bef-a9f5-8610ba400253</errorID>
      <errorWord>规格为</errorWord>
      <group>L1_Word</group>
      <groupName>字词问题</groupName>
      <ability>L2_Typo</ability>
      <abilityName>字词错误</abilityName>
      <candidateList>
        <item>规格</item>
      </candidateList>
      <explain/>
      <paraID>51423056</paraID>
      <start>16</start>
      <end>18</end>
      <status>modified</status>
      <modifiedWord>规格</modifiedWord>
      <trackRevisions>false</trackRevisions>
    </reviewItem>
    <reviewItem>
      <errorID>a01cda6f-8c68-42e9-afaa-4044746b916e</errorID>
      <errorWord>长</errorWord>
      <group>L1_Word</group>
      <groupName>字词问题</groupName>
      <ability>L2_Typo</ability>
      <abilityName>字词错误</abilityName>
      <candidateList>
        <item>长度</item>
      </candidateList>
      <explain/>
      <paraID>51423056</paraID>
      <start>91</start>
      <end>92</end>
      <status>ignored</status>
      <modifiedWord/>
      <trackRevisions>false</trackRevisions>
    </reviewItem>
    <reviewItem>
      <errorID>71ebf6a4-1aeb-42ea-8826-a431eb433dc7</errorID>
      <errorWord>(</errorWord>
      <group>L1_Format</group>
      <groupName>格式问题</groupName>
      <ability>L2_HalfPunc</ability>
      <abilityName>全半角检查</abilityName>
      <candidateList>
        <item>（</item>
      </candidateList>
      <explain>文本全半角错误。</explain>
      <paraID>28CE463F</paraID>
      <start>3</start>
      <end>4</end>
      <status>modified</status>
      <modifiedWord>（</modifiedWord>
      <trackRevisions>false</trackRevisions>
    </reviewItem>
    <reviewItem>
      <errorID>63d0689f-1988-4c84-afd0-d66bf28dae89</errorID>
      <errorWord>)</errorWord>
      <group>L1_Format</group>
      <groupName>格式问题</groupName>
      <ability>L2_HalfPunc</ability>
      <abilityName>全半角检查</abilityName>
      <candidateList>
        <item>）</item>
      </candidateList>
      <explain>文本全半角错误。</explain>
      <paraID>28CE463F</paraID>
      <start>7</start>
      <end>8</end>
      <status>modified</status>
      <modifiedWord>）</modifiedWord>
      <trackRevisions>false</trackRevisions>
    </reviewItem>
    <reviewItem>
      <errorID>e5bde741-6fd1-4698-a88e-c5b880e61db9</errorID>
      <errorWord>:</errorWord>
      <group>L1_Format</group>
      <groupName>格式问题</groupName>
      <ability>L2_HalfPunc</ability>
      <abilityName>全半角检查</abilityName>
      <candidateList>
        <item>：</item>
      </candidateList>
      <explain>文本全半角错误。</explain>
      <paraID>30227891</paraID>
      <start>7</start>
      <end>8</end>
      <status>modified</status>
      <modifiedWord>：</modifiedWord>
      <trackRevisions>false</trackRevisions>
    </reviewItem>
    <reviewItem>
      <errorID>80fe6ff3-fd53-454a-ab88-30b9dc8f674e</errorID>
      <errorWord>:</errorWord>
      <group>L1_Format</group>
      <groupName>格式问题</groupName>
      <ability>L2_HalfPunc</ability>
      <abilityName>全半角检查</abilityName>
      <candidateList>
        <item>：</item>
      </candidateList>
      <explain>文本全半角错误。</explain>
      <paraID>30227891</paraID>
      <start>28</start>
      <end>29</end>
      <status>modified</status>
      <modifiedWord>：</modifiedWord>
      <trackRevisions>false</trackRevisions>
    </reviewItem>
    <reviewItem>
      <errorID>2221f135-2f91-4b2a-96fe-fc6977ee0b6a</errorID>
      <errorWord>:</errorWord>
      <group>L1_Format</group>
      <groupName>格式问题</groupName>
      <ability>L2_HalfPunc</ability>
      <abilityName>全半角检查</abilityName>
      <candidateList>
        <item>：</item>
      </candidateList>
      <explain>文本全半角错误。</explain>
      <paraID>30227891</paraID>
      <start>36</start>
      <end>37</end>
      <status>modified</status>
      <modifiedWord>：</modifiedWord>
      <trackRevisions>false</trackRevisions>
    </reviewItem>
    <reviewItem>
      <errorID>1e427028-10cf-4829-9de0-8dda46b2eecd</errorID>
      <errorWord>:</errorWord>
      <group>L1_Format</group>
      <groupName>格式问题</groupName>
      <ability>L2_HalfPunc</ability>
      <abilityName>全半角检查</abilityName>
      <candidateList>
        <item>：</item>
      </candidateList>
      <explain>文本全半角错误。</explain>
      <paraID>30227891</paraID>
      <start>47</start>
      <end>48</end>
      <status>modified</status>
      <modifiedWord>：</modifiedWord>
      <trackRevisions>false</trackRevisions>
    </reviewItem>
    <reviewItem>
      <errorID>02817180-1fef-42bf-b5ed-dda4fc992ac3</errorID>
      <errorWord>:</errorWord>
      <group>L1_Format</group>
      <groupName>格式问题</groupName>
      <ability>L2_HalfPunc</ability>
      <abilityName>全半角检查</abilityName>
      <candidateList>
        <item>：</item>
      </candidateList>
      <explain>文本全半角错误。</explain>
      <paraID>30227891</paraID>
      <start>62</start>
      <end>63</end>
      <status>modified</status>
      <modifiedWord>：</modifiedWord>
      <trackRevisions>false</trackRevisions>
    </reviewItem>
    <reviewItem>
      <errorID>74cf7ce2-2a4c-48d0-9a94-2aca3c314aa6</errorID>
      <errorWord>:</errorWord>
      <group>L1_Format</group>
      <groupName>格式问题</groupName>
      <ability>L2_HalfPunc</ability>
      <abilityName>全半角检查</abilityName>
      <candidateList>
        <item>：</item>
      </candidateList>
      <explain>文本全半角错误。</explain>
      <paraID>30227891</paraID>
      <start>73</start>
      <end>74</end>
      <status>modified</status>
      <modifiedWord>：</modifiedWord>
      <trackRevisions>false</trackRevisions>
    </reviewItem>
    <reviewItem>
      <errorID>ec6052f6-1f87-442c-a23d-2aaae366402b</errorID>
      <errorWord>:</errorWord>
      <group>L1_Format</group>
      <groupName>格式问题</groupName>
      <ability>L2_HalfPunc</ability>
      <abilityName>全半角检查</abilityName>
      <candidateList>
        <item>：</item>
      </candidateList>
      <explain>文本全半角错误。</explain>
      <paraID>30227891</paraID>
      <start>86</start>
      <end>87</end>
      <status>modified</status>
      <modifiedWord>：</modifiedWord>
      <trackRevisions>false</trackRevisions>
    </reviewItem>
    <reviewItem>
      <errorID>491cb843-9815-4f1b-a233-8b00db0b171c</errorID>
      <errorWord>:</errorWord>
      <group>L1_Format</group>
      <groupName>格式问题</groupName>
      <ability>L2_HalfPunc</ability>
      <abilityName>全半角检查</abilityName>
      <candidateList>
        <item>：</item>
      </candidateList>
      <explain>文本全半角错误。</explain>
      <paraID>30227891</paraID>
      <start>95</start>
      <end>96</end>
      <status>modified</status>
      <modifiedWord>：</modifiedWord>
      <trackRevisions>false</trackRevisions>
    </reviewItem>
    <reviewItem>
      <errorID>c1132c75-c3f4-448a-a8ef-afc82ff7cc19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120EFB8A</paraID>
      <start>0</start>
      <end>2</end>
      <status>ignored</status>
      <modifiedWord/>
      <trackRevisions>false</trackRevisions>
    </reviewItem>
    <reviewItem>
      <errorID>2bf600c9-9e53-4d57-bb89-0b7549ff684d</errorID>
      <errorWord>(</errorWord>
      <group>L1_Format</group>
      <groupName>格式问题</groupName>
      <ability>L2_HalfPunc</ability>
      <abilityName>全半角检查</abilityName>
      <candidateList>
        <item>（</item>
      </candidateList>
      <explain>文本全半角错误。</explain>
      <paraID>5E2D73FC</paraID>
      <start>58</start>
      <end>59</end>
      <status>modified</status>
      <modifiedWord>（</modifiedWord>
      <trackRevisions>false</trackRevisions>
    </reviewItem>
    <reviewItem>
      <errorID>83eadbcf-08a6-46aa-a32f-0116c99f91a2</errorID>
      <errorWord>)</errorWord>
      <group>L1_Format</group>
      <groupName>格式问题</groupName>
      <ability>L2_HalfPunc</ability>
      <abilityName>全半角检查</abilityName>
      <candidateList>
        <item>）</item>
      </candidateList>
      <explain>文本全半角错误。</explain>
      <paraID>5E2D73FC</paraID>
      <start>61</start>
      <end>62</end>
      <status>modified</status>
      <modifiedWord>）</modifiedWord>
      <trackRevisions>false</trackRevisions>
    </reviewItem>
    <reviewItem>
      <errorID>64b74380-a830-43bf-b54a-84fc6549c940</errorID>
      <errorWord>;</errorWord>
      <group>L1_Format</group>
      <groupName>格式问题</groupName>
      <ability>L2_HalfPunc</ability>
      <abilityName>全半角检查</abilityName>
      <candidateList>
        <item>；</item>
      </candidateList>
      <explain>文本全半角错误。</explain>
      <paraID>26A5D238</paraID>
      <start>90</start>
      <end>91</end>
      <status>modified</status>
      <modifiedWord>；</modifiedWord>
      <trackRevisions>false</trackRevisions>
    </reviewItem>
    <reviewItem>
      <errorID>8a4d4dc5-ae6b-4b9d-9613-a852480a37cd</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26A5D238</paraID>
      <start>98</start>
      <end>99</end>
      <status>modified</status>
      <modifiedWord>为</modifiedWord>
      <trackRevisions>false</trackRevisions>
    </reviewItem>
    <reviewItem>
      <errorID>76d752ad-d675-4898-b963-9c13901273b9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26A5D238</paraID>
      <start>219</start>
      <end>220</end>
      <status>modified</status>
      <modifiedWord>地</modifiedWord>
      <trackRevisions>false</trackRevisions>
    </reviewItem>
    <reviewItem>
      <errorID>eecc8df1-d8e7-4953-8f04-3ab9552ca497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77355EE3</paraID>
      <start>0</start>
      <end>2</end>
      <status>ignored</status>
      <modifiedWord/>
      <trackRevisions>false</trackRevisions>
    </reviewItem>
    <reviewItem>
      <errorID>18db2ff8-a742-43fe-8086-e4bbd0274350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7BE7AB</paraID>
      <start>25</start>
      <end>26</end>
      <status>modified</status>
      <modifiedWord>—</modifiedWord>
      <trackRevisions>false</trackRevisions>
    </reviewItem>
    <reviewItem>
      <errorID>804d168b-6f10-4e15-b048-6160fe7420d6</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  7BE7AB</paraID>
      <start>49</start>
      <end>54</end>
      <status>modified</status>
      <modifiedWord>1%—3%</modifiedWord>
      <trackRevisions>false</trackRevisions>
    </reviewItem>
    <reviewItem>
      <errorID>c80e23c9-454f-4d6d-bb2b-a455bed45795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9914502</paraID>
      <start>0</start>
      <end>2</end>
      <status>ignored</status>
      <modifiedWord/>
      <trackRevisions>false</trackRevisions>
    </reviewItem>
    <reviewItem>
      <errorID>7805654f-13fd-41b2-806b-f90947f9b200</errorID>
      <errorWord>包敷</errorWord>
      <group>L1_Word</group>
      <groupName>字词问题</groupName>
      <ability>L2_Typo</ability>
      <abilityName>字词错误</abilityName>
      <candidateList>
        <item>包覆</item>
      </candidateList>
      <explain>存在发音相同字词的误用。</explain>
      <paraID> 9914502</paraID>
      <start>88</start>
      <end>90</end>
      <status>modified</status>
      <modifiedWord>包覆</modifiedWord>
      <trackRevisions>false</trackRevisions>
    </reviewItem>
    <reviewItem>
      <errorID>c0764182-ee43-4508-a956-b931b4545bc2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7044DD33</paraID>
      <start>0</start>
      <end>2</end>
      <status>ignored</status>
      <modifiedWord/>
      <trackRevisions>false</trackRevisions>
    </reviewItem>
    <reviewItem>
      <errorID>188070a5-ce9a-41e2-bd27-8d551791a0c9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614692</paraID>
      <start>0</start>
      <end>2</end>
      <status>ignored</status>
      <modifiedWord/>
      <trackRevisions>false</trackRevisions>
    </reviewItem>
    <reviewItem>
      <errorID>2e6e3e46-279a-4677-aa2e-4f85a5d12378</errorID>
      <errorWord>:</errorWord>
      <group>L1_Format</group>
      <groupName>格式问题</groupName>
      <ability>L2_HalfPunc</ability>
      <abilityName>全半角检查</abilityName>
      <candidateList>
        <item>：</item>
      </candidateList>
      <explain>文本全半角错误。</explain>
      <paraID>  614692</paraID>
      <start>67</start>
      <end>68</end>
      <status>modified</status>
      <modifiedWord>：</modifiedWord>
      <trackRevisions>false</trackRevisions>
    </reviewItem>
    <reviewItem>
      <errorID>f87aa7a6-5aa2-4e9c-b558-eabb1bdcf79e</errorID>
      <errorWord>:</errorWord>
      <group>L1_Format</group>
      <groupName>格式问题</groupName>
      <ability>L2_HalfPunc</ability>
      <abilityName>全半角检查</abilityName>
      <candidateList>
        <item>：</item>
      </candidateList>
      <explain>文本全半角错误。</explain>
      <paraID>  614692</paraID>
      <start>76</start>
      <end>77</end>
      <status>modified</status>
      <modifiedWord>：</modifiedWord>
      <trackRevisions>false</trackRevisions>
    </reviewItem>
    <reviewItem>
      <errorID>a576f290-d5e4-4220-83e2-aad63ee9a8cc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596CE849</paraID>
      <start>0</start>
      <end>2</end>
      <status>ignored</status>
      <modifiedWord/>
      <trackRevisions>false</trackRevisions>
    </reviewItem>
    <reviewItem>
      <errorID>5fcdbc5a-ff56-4c34-a1f8-1e6125c5d08e</errorID>
      <errorWord>、、</errorWord>
      <group>L1_Punc</group>
      <groupName>标点问题</groupName>
      <ability>L2_Punc</ability>
      <abilityName>标点符号检查</abilityName>
      <candidateList>
        <item>、</item>
      </candidateList>
      <explain/>
      <paraID>596CE849</paraID>
      <start>118</start>
      <end>119</end>
      <status>modified</status>
      <modifiedWord>、</modifiedWord>
      <trackRevisions>false</trackRevisions>
    </reviewItem>
    <reviewItem>
      <errorID>1b3ad7c0-e5d6-43af-ae2c-bf8699e56098</errorID>
      <errorWord>:</errorWord>
      <group>L1_Format</group>
      <groupName>格式问题</groupName>
      <ability>L2_HalfPunc</ability>
      <abilityName>全半角检查</abilityName>
      <candidateList>
        <item>：</item>
      </candidateList>
      <explain>文本全半角错误。</explain>
      <paraID>596CE849</paraID>
      <start>125</start>
      <end>126</end>
      <status>modified</status>
      <modifiedWord>：</modifiedWord>
      <trackRevisions>false</trackRevisions>
    </reviewItem>
    <reviewItem>
      <errorID>19c9a26d-2be3-4970-9264-bc69dc3cba2d</errorID>
      <errorWord>:</errorWord>
      <group>L1_Format</group>
      <groupName>格式问题</groupName>
      <ability>L2_HalfPunc</ability>
      <abilityName>全半角检查</abilityName>
      <candidateList>
        <item>：</item>
      </candidateList>
      <explain>文本全半角错误。</explain>
      <paraID>596CE849</paraID>
      <start>181</start>
      <end>182</end>
      <status>modified</status>
      <modifiedWord>：</modifiedWord>
      <trackRevisions>false</trackRevisions>
    </reviewItem>
    <reviewItem>
      <errorID>f93ff13f-0226-432f-b618-b58e645de24d</errorID>
      <errorWord>:</errorWord>
      <group>L1_Format</group>
      <groupName>格式问题</groupName>
      <ability>L2_HalfPunc</ability>
      <abilityName>全半角检查</abilityName>
      <candidateList>
        <item>：</item>
      </candidateList>
      <explain>文本全半角错误。</explain>
      <paraID>596CE849</paraID>
      <start>214</start>
      <end>215</end>
      <status>modified</status>
      <modifiedWord>：</modifiedWord>
      <trackRevisions>false</trackRevisions>
    </reviewItem>
    <reviewItem>
      <errorID>e235a138-ce2d-46d0-b996-12d0bc94ca0f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7B780BB2</paraID>
      <start>0</start>
      <end>2</end>
      <status>ignored</status>
      <modifiedWord/>
      <trackRevisions>false</trackRevisions>
    </reviewItem>
    <reviewItem>
      <errorID>1f71c2d2-3634-4040-9273-46e7a21ae5d2</errorID>
      <errorWord>:</errorWord>
      <group>L1_Format</group>
      <groupName>格式问题</groupName>
      <ability>L2_HalfPunc</ability>
      <abilityName>全半角检查</abilityName>
      <candidateList>
        <item>：</item>
      </candidateList>
      <explain>文本全半角错误。</explain>
      <paraID>7B780BB2</paraID>
      <start>64</start>
      <end>65</end>
      <status>modified</status>
      <modifiedWord>：</modifiedWord>
      <trackRevisions>false</trackRevisions>
    </reviewItem>
    <reviewItem>
      <errorID>9f524efe-8a7c-4d14-9559-e502b667aef2</errorID>
      <errorWord>、共5</errorWord>
      <group>L1_Punc</group>
      <groupName>标点问题</groupName>
      <ability>L2_Punc</ability>
      <abilityName>标点符号检查</abilityName>
      <candidateList>
        <item>共5</item>
      </candidateList>
      <explain/>
      <paraID>1087B2B6</paraID>
      <start>72</start>
      <end>75</end>
      <status>ignored</status>
      <modifiedWord/>
      <trackRevisions>false</trackRevisions>
    </reviewItem>
    <reviewItem>
      <errorID>41a2e9d5-7401-4b6d-8784-f86c23cf5d07</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1087B2B6</paraID>
      <start>87</start>
      <end>92</end>
      <status>modified</status>
      <modifiedWord>1%—2%</modifiedWord>
      <trackRevisions>false</trackRevisions>
    </reviewItem>
    <reviewItem>
      <errorID>a648ed06-61eb-413a-987d-ebb1e68ebdb7</errorID>
      <errorWord>,</errorWord>
      <group>L1_Format</group>
      <groupName>格式问题</groupName>
      <ability>L2_HalfPunc</ability>
      <abilityName>全半角检查</abilityName>
      <candidateList>
        <item>，</item>
      </candidateList>
      <explain>文本全半角错误。</explain>
      <paraID> 73512FE</paraID>
      <start>60</start>
      <end>61</end>
      <status>modified</status>
      <modifiedWord>，</modifiedWord>
      <trackRevisions>false</trackRevisions>
    </reviewItem>
    <reviewItem>
      <errorID>f00da702-667a-4c5f-a977-dbf91a49e634</errorID>
      <errorWord>:</errorWord>
      <group>L1_Format</group>
      <groupName>格式问题</groupName>
      <ability>L2_HalfPunc</ability>
      <abilityName>全半角检查</abilityName>
      <candidateList>
        <item>：</item>
      </candidateList>
      <explain>文本全半角错误。</explain>
      <paraID>36E9A853</paraID>
      <start>2</start>
      <end>3</end>
      <status>modified</status>
      <modifiedWord>：</modifiedWord>
      <trackRevisions>false</trackRevisions>
    </reviewItem>
    <reviewItem>
      <errorID>96dd12b7-760f-4527-b5d8-57ebe1ba5e2e</errorID>
      <errorWord>:</errorWord>
      <group>L1_Format</group>
      <groupName>格式问题</groupName>
      <ability>L2_HalfPunc</ability>
      <abilityName>全半角检查</abilityName>
      <candidateList>
        <item>：</item>
      </candidateList>
      <explain>文本全半角错误。</explain>
      <paraID>36E9A853</paraID>
      <start>9</start>
      <end>10</end>
      <status>modified</status>
      <modifiedWord>：</modifiedWord>
      <trackRevisions>false</trackRevisions>
    </reviewItem>
    <reviewItem>
      <errorID>ab952bb2-5b36-47e6-97a2-21a4dd799e6c</errorID>
      <errorWord>:</errorWord>
      <group>L1_Format</group>
      <groupName>格式问题</groupName>
      <ability>L2_HalfPunc</ability>
      <abilityName>全半角检查</abilityName>
      <candidateList>
        <item>：</item>
      </candidateList>
      <explain>文本全半角错误。</explain>
      <paraID>36E9A853</paraID>
      <start>44</start>
      <end>45</end>
      <status>modified</status>
      <modifiedWord>：</modifiedWord>
      <trackRevisions>false</trackRevisions>
    </reviewItem>
    <reviewItem>
      <errorID>ca4c6c6d-b08f-49ec-a40c-0714b02d36fe</errorID>
      <errorWord>:</errorWord>
      <group>L1_Format</group>
      <groupName>格式问题</groupName>
      <ability>L2_HalfPunc</ability>
      <abilityName>全半角检查</abilityName>
      <candidateList>
        <item>：</item>
      </candidateList>
      <explain>文本全半角错误。</explain>
      <paraID>63ED2953</paraID>
      <start>2</start>
      <end>3</end>
      <status>modified</status>
      <modifiedWord>：</modifiedWord>
      <trackRevisions>false</trackRevisions>
    </reviewItem>
    <reviewItem>
      <errorID>e277854a-4072-4069-b0a9-b760c10dc520</errorID>
      <errorWord>:</errorWord>
      <group>L1_Format</group>
      <groupName>格式问题</groupName>
      <ability>L2_HalfPunc</ability>
      <abilityName>全半角检查</abilityName>
      <candidateList>
        <item>：</item>
      </candidateList>
      <explain>文本全半角错误。</explain>
      <paraID>63ED2953</paraID>
      <start>9</start>
      <end>10</end>
      <status>modified</status>
      <modifiedWord>：</modifiedWord>
      <trackRevisions>false</trackRevisions>
    </reviewItem>
    <reviewItem>
      <errorID>a0fae177-f9b7-4ed3-b8e8-3d5c76e8bead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5D0EDF36</paraID>
      <start>0</start>
      <end>2</end>
      <status>ignored</status>
      <modifiedWord/>
      <trackRevisions>false</trackRevisions>
    </reviewItem>
    <reviewItem>
      <errorID>f71922de-ac0b-44c6-ba62-d7b20462a88b</errorID>
      <errorWord>)</errorWord>
      <group>L1_Format</group>
      <groupName>格式问题</groupName>
      <ability>L2_HalfPunc</ability>
      <abilityName>全半角检查</abilityName>
      <candidateList>
        <item>）</item>
      </candidateList>
      <explain>文本全半角错误。</explain>
      <paraID>5D0EDF36</paraID>
      <start>69</start>
      <end>70</end>
      <status>modified</status>
      <modifiedWord>）</modifiedWord>
      <trackRevisions>false</trackRevisions>
    </reviewItem>
    <reviewItem>
      <errorID>3bab6467-262b-4c2b-824d-ae75e87c317b</errorID>
      <errorWord>料料</errorWord>
      <group>L1_Word</group>
      <groupName>字词问题</groupName>
      <ability>L2_Typo</ability>
      <abilityName>字词错误</abilityName>
      <candidateList>
        <item>料</item>
      </candidateList>
      <explain/>
      <paraID>5D0EDF36</paraID>
      <start>221</start>
      <end>222</end>
      <status>modified</status>
      <modifiedWord>料</modifiedWord>
      <trackRevisions>false</trackRevisions>
    </reviewItem>
    <reviewItem>
      <errorID>1401b25b-ed7c-44ce-80f6-3b61f262b284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2CC23058</paraID>
      <start>0</start>
      <end>2</end>
      <status>ignored</status>
      <modifiedWord/>
      <trackRevisions>false</trackRevisions>
    </reviewItem>
    <reviewItem>
      <errorID>38b28d95-65df-454c-8a9a-41adf67d9f28</errorID>
      <errorWord>,</errorWord>
      <group>L1_Format</group>
      <groupName>格式问题</groupName>
      <ability>L2_HalfPunc</ability>
      <abilityName>全半角检查</abilityName>
      <candidateList>
        <item>，</item>
      </candidateList>
      <explain>文本全半角错误。</explain>
      <paraID>2CC23058</paraID>
      <start>74</start>
      <end>75</end>
      <status>modified</status>
      <modifiedWord>，</modifiedWord>
      <trackRevisions>false</trackRevisions>
    </reviewItem>
    <reviewItem>
      <errorID>d40c9efd-764c-46c5-9982-2c517b4464f9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5AA1C525</paraID>
      <start>0</start>
      <end>2</end>
      <status>ignored</status>
      <modifiedWord/>
      <trackRevisions>false</trackRevisions>
    </reviewItem>
    <reviewItem>
      <errorID>26ce0190-d4f0-432b-aef6-0ba4c720db41</errorID>
      <errorWord>重重</errorWord>
      <group>L1_Word</group>
      <groupName>字词问题</groupName>
      <ability>L2_Typo</ability>
      <abilityName>字词错误</abilityName>
      <candidateList>
        <item>重</item>
      </candidateList>
      <explain/>
      <paraID>5AA1C525</paraID>
      <start>56</start>
      <end>57</end>
      <status>modified</status>
      <modifiedWord>重</modifiedWord>
      <trackRevisions>false</trackRevisions>
    </reviewItem>
    <reviewItem>
      <errorID>aa39cb28-74a2-4852-b23a-45d603861152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7A98E3BC</paraID>
      <start>0</start>
      <end>2</end>
      <status>ignored</status>
      <modifiedWord/>
      <trackRevisions>false</trackRevisions>
    </reviewItem>
    <reviewItem>
      <errorID>3e5f3a68-e918-46d2-9fc4-bcf3abff5f50</errorID>
      <errorWord>:</errorWord>
      <group>L1_Format</group>
      <groupName>格式问题</groupName>
      <ability>L2_HalfPunc</ability>
      <abilityName>全半角检查</abilityName>
      <candidateList>
        <item>：</item>
      </candidateList>
      <explain>文本全半角错误。</explain>
      <paraID>7A98E3BC</paraID>
      <start>21</start>
      <end>22</end>
      <status>modified</status>
      <modifiedWord>：</modifiedWord>
      <trackRevisions>false</trackRevisions>
    </reviewItem>
    <reviewItem>
      <errorID>95b2c1a5-d9ef-4529-9fd3-beb65189883b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68982936</paraID>
      <start>0</start>
      <end>2</end>
      <status>ignored</status>
      <modifiedWord/>
      <trackRevisions>false</trackRevisions>
    </reviewItem>
    <reviewItem>
      <errorID>f2cb3851-65d7-42fc-9907-23e73c27bb05</errorID>
      <errorWord>联接</errorWord>
      <group>L1_Word</group>
      <groupName>字词问题</groupName>
      <ability>L2_Typo</ability>
      <abilityName>字词错误</abilityName>
      <candidateList>
        <item>连接</item>
      </candidateList>
      <explain>存在发音相同字词的误用。</explain>
      <paraID>6D523D6B</paraID>
      <start>971</start>
      <end>973</end>
      <status>modified</status>
      <modifiedWord>连接</modifiedWord>
      <trackRevisions>false</trackRevisions>
    </reviewItem>
    <reviewItem>
      <errorID>a4587d6e-510d-43a8-88a5-860e4fd63f1f</errorID>
      <errorWord>(</errorWord>
      <group>L1_Format</group>
      <groupName>格式问题</groupName>
      <ability>L2_HalfPunc</ability>
      <abilityName>全半角检查</abilityName>
      <candidateList>
        <item>（</item>
      </candidateList>
      <explain>文本全半角错误。</explain>
      <paraID>6D523D6B</paraID>
      <start>1131</start>
      <end>1132</end>
      <status>modified</status>
      <modifiedWord>（</modifiedWord>
      <trackRevisions>false</trackRevisions>
    </reviewItem>
    <reviewItem>
      <errorID>0b5e4eb0-e9eb-4f64-8299-388abc3c1851</errorID>
      <errorWord>),</errorWord>
      <group>L1_Format</group>
      <groupName>格式问题</groupName>
      <ability>L2_HalfPunc</ability>
      <abilityName>全半角检查</abilityName>
      <candidateList>
        <item>），</item>
      </candidateList>
      <explain>文本全半角错误。</explain>
      <paraID>6D523D6B</paraID>
      <start>1147</start>
      <end>1149</end>
      <status>modified</status>
      <modifiedWord>），</modifiedWord>
      <trackRevisions>false</trackRevisions>
    </reviewItem>
    <reviewItem>
      <errorID>1412b730-be8b-4c33-a029-b320bbb3824a</errorID>
      <errorWord>-</errorWord>
      <group>L1_Format</group>
      <groupName>格式问题</groupName>
      <ability>L2_HalfPunc</ability>
      <abilityName>全半角检查</abilityName>
      <candidateList>
        <item>－</item>
      </candidateList>
      <explain>文本全半角错误。</explain>
      <paraID>6D523D6B</paraID>
      <start>1811</start>
      <end>1812</end>
      <status>modified</status>
      <modifiedWord>－</modifiedWord>
      <trackRevisions>false</trackRevisions>
    </reviewItem>
    <reviewItem>
      <errorID>f7252114-6770-407c-b590-5baab93a185b</errorID>
      <errorWord>,</errorWord>
      <group>L1_Format</group>
      <groupName>格式问题</groupName>
      <ability>L2_HalfPunc</ability>
      <abilityName>全半角检查</abilityName>
      <candidateList>
        <item>，</item>
      </candidateList>
      <explain>文本全半角错误。</explain>
      <paraID>7648EB25</paraID>
      <start>14</start>
      <end>15</end>
      <status>modified</status>
      <modifiedWord>，</modifiedWord>
      <trackRevisions>false</trackRevisions>
    </reviewItem>
    <reviewItem>
      <errorID>1eef2c5e-53ca-4dad-b374-25aef0aed879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35B3E520</paraID>
      <start>0</start>
      <end>2</end>
      <status>ignored</status>
      <modifiedWord/>
      <trackRevisions>false</trackRevisions>
    </reviewItem>
    <reviewItem>
      <errorID>082f8a5f-0d03-4f14-81a4-f954becae7f1</errorID>
      <errorWord>,</errorWord>
      <group>L1_Format</group>
      <groupName>格式问题</groupName>
      <ability>L2_HalfPunc</ability>
      <abilityName>全半角检查</abilityName>
      <candidateList>
        <item>，</item>
      </candidateList>
      <explain>文本全半角错误。</explain>
      <paraID>35B3E520</paraID>
      <start>52</start>
      <end>53</end>
      <status>modified</status>
      <modifiedWord>，</modifiedWord>
      <trackRevisions>false</trackRevisions>
    </reviewItem>
    <reviewItem>
      <errorID>eed0510c-738f-43b0-a6b5-904173c02543</errorID>
      <errorWord>高</errorWord>
      <group>L1_Word</group>
      <groupName>字词问题</groupName>
      <ability>L2_Typo</ability>
      <abilityName>字词错误</abilityName>
      <candidateList>
        <item>高度</item>
      </candidateList>
      <explain>❶〈名〉高低的程度；从地面或基准面向上到某处的距离；从物体的底部到顶端的距离：飞行的～｜这座山的～是四千二百米。❷〈形〉属性词。程度很高的：～的劳动热情｜～评价他的业绩｜这个问题应该受到～重视。</explain>
      <paraID>35B3E520</paraID>
      <start>71</start>
      <end>72</end>
      <status>ignored</status>
      <modifiedWord/>
      <trackRevisions>false</trackRevisions>
    </reviewItem>
    <reviewItem>
      <errorID>9192531b-73b5-4f10-93d1-49eb019fb22a</errorID>
      <errorWord>编制</errorWord>
      <group>L1_Word</group>
      <groupName>字词问题</groupName>
      <ability>L2_Typo</ability>
      <abilityName>字词错误</abilityName>
      <candidateList>
        <item>编织</item>
      </candidateList>
      <explain>〈动〉把细长的东西互相交错或钩连而组织起来：～毛衣◇根据民间传说～成一篇美丽的童话。</explain>
      <paraID>35B3E520</paraID>
      <start>250</start>
      <end>252</end>
      <status>modified</status>
      <modifiedWord>编织</modifiedWord>
      <trackRevisions>false</trackRevisions>
    </reviewItem>
    <reviewItem>
      <errorID>ccc15713-c045-4ffa-b145-20de29358419</errorID>
      <errorWord>~</errorWord>
      <group>L1_Format</group>
      <groupName>格式问题</groupName>
      <ability>L2_HalfPunc</ability>
      <abilityName>全半角检查</abilityName>
      <candidateList>
        <item>～</item>
      </candidateList>
      <explain>文本全半角错误。</explain>
      <paraID>21A76926</paraID>
      <start>21</start>
      <end>22</end>
      <status>modified</status>
      <modifiedWord>～</modifiedWord>
      <trackRevisions>false</trackRevisions>
    </reviewItem>
    <reviewItem>
      <errorID>973310b4-1d1f-499d-bf87-9a3deb74d021</errorID>
      <errorWord>球型</errorWord>
      <group>L1_Word</group>
      <groupName>字词问题</groupName>
      <ability>L2_Typo</ability>
      <abilityName>字词错误</abilityName>
      <candidateList>
        <item>球形</item>
      </candidateList>
      <explain>存在发音相同字词的误用。</explain>
      <paraID> A583661</paraID>
      <start>11</start>
      <end>13</end>
      <status>modified</status>
      <modifiedWord>球形</modifiedWord>
      <trackRevisions>false</trackRevisions>
    </reviewItem>
    <reviewItem>
      <errorID>58c306cd-5e99-42e6-bdbd-71aea0cf9c16</errorID>
      <errorWord>《政府采购法》</errorWord>
      <group>L1_Word</group>
      <groupName>字词问题</groupName>
      <ability>L2_Typo</ability>
      <abilityName>字词错误</abilityName>
      <candidateList>
        <item>《中华人民共和国政府采购法》</item>
      </candidateList>
      <explain/>
      <paraID>343F98F3</paraID>
      <start>79</start>
      <end>93</end>
      <status>modified</status>
      <modifiedWord>《中华人民共和国政府采购法》</modifiedWord>
      <trackRevisions>false</trackRevisions>
    </reviewItem>
    <reviewItem>
      <errorID>99db9c9d-178d-41e9-bbd2-0523d4da609a</errorID>
      <errorWord>》</errorWord>
      <group>L1_Word</group>
      <groupName>字词问题</groupName>
      <ability>L2_Typo</ability>
      <abilityName>字词错误</abilityName>
      <candidateList>
        <item>》和</item>
      </candidateList>
      <explain/>
      <paraID>39240DEA</paraID>
      <start>129</start>
      <end>130</end>
      <status>ignored</status>
      <modifiedWord/>
      <trackRevisions>false</trackRevisions>
    </reviewItem>
    <reviewItem>
      <errorID>27e74a63-7632-4661-a02b-49ba7a5e5b47</errorID>
      <errorWord>》</errorWord>
      <group>L1_Word</group>
      <groupName>字词问题</groupName>
      <ability>L2_Typo</ability>
      <abilityName>字词错误</abilityName>
      <candidateList>
        <item>》等</item>
      </candidateList>
      <explain/>
      <paraID>39240DEA</paraID>
      <start>156</start>
      <end>157</end>
      <status>ignored</status>
      <modifiedWord/>
      <trackRevisions>false</trackRevisions>
    </reviewItem>
    <reviewItem>
      <errorID>c442bad1-ec8c-41ca-a10f-0468c923670f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10A80EBE</paraID>
      <start>80</start>
      <end>81</end>
      <status>modified</status>
      <modifiedWord>—</modifiedWord>
      <trackRevisions>false</trackRevisions>
    </reviewItem>
    <reviewItem>
      <errorID>a54843e0-ca3d-42ab-834c-bc241abb3817</errorID>
      <errorWord>KW</errorWord>
      <group>L1_Word</group>
      <groupName>字词问题</groupName>
      <ability>L2_Typo</ability>
      <abilityName>字词错误</abilityName>
      <candidateList>
        <item>kW</item>
      </candidateList>
      <explain/>
      <paraID>63695814</paraID>
      <start>431</start>
      <end>433</end>
      <status>modified</status>
      <modifiedWord>kW</modifiedWord>
      <trackRevisions>false</trackRevisions>
    </reviewItem>
    <reviewItem>
      <errorID>c6bbf502-ef82-4e3b-abc8-102d8d7795c4</errorID>
      <errorWord>如是</errorWord>
      <group>L1_Word</group>
      <groupName>字词问题</groupName>
      <ability>L2_Typo</ability>
      <abilityName>字词错误</abilityName>
      <candidateList>
        <item>如</item>
      </candidateList>
      <explain/>
      <paraID>4635CD2C</paraID>
      <start>36</start>
      <end>38</end>
      <status>ignored</status>
      <modifiedWord/>
      <trackRevisions>false</trackRevisions>
    </reviewItem>
    <reviewItem>
      <errorID>3d2e551e-a13c-4915-96b5-38f056ee6d41</errorID>
      <errorWord>并做</errorWord>
      <group>L1_Word</group>
      <groupName>字词问题</groupName>
      <ability>L2_Typo</ability>
      <abilityName>字词错误</abilityName>
      <candidateList>
        <item>并作</item>
      </candidateList>
      <explain/>
      <paraID> F7B4FF9</paraID>
      <start>49</start>
      <end>51</end>
      <status>modified</status>
      <modifiedWord>并作</modifiedWord>
      <trackRevisions>false</trackRevisions>
    </reviewItem>
    <reviewItem>
      <errorID>f2918d23-3b67-4c7c-a6ad-602f7de89e09</errorID>
      <errorWord>须</errorWord>
      <group>L1_Word</group>
      <groupName>字词问题</groupName>
      <ability>L2_Typo</ability>
      <abilityName>字词错误</abilityName>
      <candidateList>
        <item>需</item>
      </candidateList>
      <explain>存在发音相同字词的误用。</explain>
      <paraID>5F6D3E6B</paraID>
      <start>91</start>
      <end>92</end>
      <status>ignored</status>
      <modifiedWord/>
      <trackRevisions>false</trackRevisions>
    </reviewItem>
    <reviewItem>
      <errorID>0c56cdb9-82bb-453a-9da2-87d1fac4c72b</errorID>
      <errorWord>格</errorWord>
      <group>L1_Word</group>
      <groupName>字词问题</groupName>
      <ability>L2_Typo</ability>
      <abilityName>字词错误</abilityName>
      <candidateList>
        <item>格产</item>
      </candidateList>
      <explain/>
      <paraID>41DE79B9</paraID>
      <start>30</start>
      <end>31</end>
      <status>ignored</status>
      <modifiedWord/>
      <trackRevisions>false</trackRevisions>
    </reviewItem>
    <reviewItem>
      <errorID>1e9ad66d-9ecc-430a-8b41-3ea9602651b8</errorID>
      <errorWord>（</errorWord>
      <group>L1_Punc</group>
      <groupName>标点问题</groupName>
      <ability>L2_Punc</ability>
      <abilityName>标点符号检查</abilityName>
      <candidateList/>
      <explain>同一形式括号套用。</explain>
      <paraID>651242C9</paraID>
      <start>67</start>
      <end>68</end>
      <status>ignored</status>
      <modifiedWord/>
      <trackRevisions>false</trackRevisions>
    </reviewItem>
    <reviewItem>
      <errorID>ee91c937-8d83-4dd1-bf85-8019c853923c</errorID>
      <errorWord>）</errorWord>
      <group>L1_Punc</group>
      <groupName>标点问题</groupName>
      <ability>L2_Punc</ability>
      <abilityName>标点符号检查</abilityName>
      <candidateList/>
      <explain>同一形式括号套用。</explain>
      <paraID>651242C9</paraID>
      <start>70</start>
      <end>71</end>
      <status>ignored</status>
      <modifiedWord/>
      <trackRevisions>false</trackRevisions>
    </reviewItem>
    <reviewItem>
      <errorID>5d258275-bfa1-4202-9fe3-e38c9501e127</errorID>
      <errorWord>不须</errorWord>
      <group>L1_Word</group>
      <groupName>字词问题</groupName>
      <ability>L2_Typo</ability>
      <abilityName>字词错误</abilityName>
      <candidateList>
        <item>无需</item>
      </candidateList>
      <explain>同“无须”。</explain>
      <paraID>78923410</paraID>
      <start>42</start>
      <end>44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EC5E078-7390-4FC8-9331-0B3E511D12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陈霞</cp:lastModifiedBy>
  <cp:revision>3</cp:revision>
  <dcterms:created xsi:type="dcterms:W3CDTF">2026-06-11T05:52:00Z</dcterms:created>
  <dcterms:modified xsi:type="dcterms:W3CDTF">2026-07-03T07:18:37Z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CA5FDE8B3DA641B2B7068CD52774AAC7</vt:lpwstr>
  </property>
  <property fmtid="{D5CDD505-2E9C-101B-9397-08002B2CF9AE}" pid="4" name="KSOTemplateDocerSaveRecord">
    <vt:lpwstr>eyJoZGlkIjoiNzdmY2EyNGU5MmJlOGI3YjA1MmE1MGIyZTE3YTVjYzUiLCJ1c2VySWQiOiIyNDY5NTIzOTIifQ==</vt:lpwstr>
  </property>
</Properties>
</file>