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EB4F6">
      <w:pPr>
        <w:pStyle w:val="6"/>
        <w:keepNext w:val="0"/>
        <w:keepLines w:val="0"/>
        <w:pageBreakBefore w:val="0"/>
        <w:widowControl w:val="0"/>
        <w:spacing w:before="0" w:line="360" w:lineRule="auto"/>
        <w:ind w:left="0"/>
        <w:jc w:val="center"/>
        <w:rPr>
          <w:rFonts w:hint="eastAsia" w:ascii="仿宋" w:hAnsi="仿宋" w:eastAsia="仿宋" w:cs="仿宋"/>
          <w:b/>
          <w:bCs/>
          <w:color w:val="auto"/>
          <w:sz w:val="36"/>
          <w:szCs w:val="36"/>
          <w:highlight w:val="none"/>
          <w:lang w:val="en-US"/>
        </w:rPr>
      </w:pPr>
      <w:r>
        <w:rPr>
          <w:rFonts w:hint="eastAsia" w:ascii="仿宋" w:hAnsi="仿宋" w:eastAsia="仿宋" w:cs="仿宋"/>
          <w:b/>
          <w:bCs/>
          <w:color w:val="auto"/>
          <w:sz w:val="36"/>
          <w:szCs w:val="36"/>
          <w:highlight w:val="none"/>
          <w:lang w:val="en-US"/>
        </w:rPr>
        <w:t>采购需求</w:t>
      </w:r>
    </w:p>
    <w:p w14:paraId="5B3A28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一、工程概况：</w:t>
      </w:r>
    </w:p>
    <w:p w14:paraId="03690C0B">
      <w:pPr>
        <w:spacing w:line="360" w:lineRule="auto"/>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本项目主要对润州区直管公房进行修缮，云台房管处共修缮面积3</w:t>
      </w:r>
      <w:r>
        <w:rPr>
          <w:rFonts w:hint="eastAsia" w:ascii="仿宋" w:hAnsi="仿宋" w:eastAsia="仿宋" w:cs="仿宋"/>
          <w:color w:val="auto"/>
          <w:sz w:val="28"/>
          <w:szCs w:val="28"/>
          <w:highlight w:val="none"/>
          <w:lang w:val="en-US" w:eastAsia="zh-CN"/>
        </w:rPr>
        <w:t>070.12</w:t>
      </w:r>
      <w:r>
        <w:rPr>
          <w:rFonts w:hint="eastAsia" w:ascii="仿宋" w:hAnsi="仿宋" w:eastAsia="仿宋" w:cs="仿宋"/>
          <w:color w:val="auto"/>
          <w:sz w:val="28"/>
          <w:szCs w:val="28"/>
          <w:highlight w:val="none"/>
        </w:rPr>
        <w:t>平方米，涉及户数</w:t>
      </w:r>
      <w:r>
        <w:rPr>
          <w:rFonts w:hint="eastAsia" w:ascii="仿宋" w:hAnsi="仿宋" w:eastAsia="仿宋" w:cs="仿宋"/>
          <w:color w:val="auto"/>
          <w:sz w:val="28"/>
          <w:szCs w:val="28"/>
          <w:highlight w:val="none"/>
          <w:lang w:val="en-US" w:eastAsia="zh-CN"/>
        </w:rPr>
        <w:t>86</w:t>
      </w:r>
      <w:r>
        <w:rPr>
          <w:rFonts w:hint="eastAsia" w:ascii="仿宋" w:hAnsi="仿宋" w:eastAsia="仿宋" w:cs="仿宋"/>
          <w:color w:val="auto"/>
          <w:sz w:val="28"/>
          <w:szCs w:val="28"/>
          <w:highlight w:val="none"/>
        </w:rPr>
        <w:t>户。本项目主要实施内容包括渗水屋面翻修、地面维修、墙体维修、更换木楼梯、门窗更换及老化水管电线的更换，适当增加部分安全设施等。直管公房大多分布在老城区巷道内，施工地点零星分散、工程地点狭小，受周边居民和既有建筑的影响及限制较多。</w:t>
      </w:r>
    </w:p>
    <w:p w14:paraId="09238C2E">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二、工程招标范围：</w:t>
      </w:r>
    </w:p>
    <w:p w14:paraId="165C227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本次招标范围为工程量清单范围内的修缮土建工程及修缮水电安装工程等。</w:t>
      </w:r>
    </w:p>
    <w:p w14:paraId="703DBB93">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三、工程量清单编制依据：</w:t>
      </w:r>
    </w:p>
    <w:p w14:paraId="50C88CC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1、建设单位确认的工程量清单;</w:t>
      </w:r>
    </w:p>
    <w:p w14:paraId="113ACD2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工程采用工程量清单计价方式,执行《建设工程工程量清单计价规范》（GB50500-2013）、2009年《江苏修缮建筑定额》、2009年《江苏修缮安装定额》、2014年《江苏省建筑与装饰工程计价表》、2014年《江苏省安装工程计价表》2014年《江苏省建设工程费用定额》等。</w:t>
      </w:r>
    </w:p>
    <w:p w14:paraId="503AA02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3、执行截止202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日前省、市有关工程造价计价文件。</w:t>
      </w:r>
    </w:p>
    <w:p w14:paraId="3257274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4、苏建价[2016]154号省住房城乡建设厅关于建筑业实施营改增后江苏省建设工程计价依据调整的通知、江苏苏省建设厅公告[2018]第24号文、苏建函价〔20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号关于建筑业增值税计价政策调整的通知。</w:t>
      </w:r>
    </w:p>
    <w:p w14:paraId="2CC4756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5、其他相关文件。</w:t>
      </w:r>
    </w:p>
    <w:p w14:paraId="392F9984">
      <w:pPr>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四、工程质量：</w:t>
      </w:r>
      <w:r>
        <w:rPr>
          <w:rFonts w:hint="eastAsia" w:ascii="仿宋" w:hAnsi="仿宋" w:eastAsia="仿宋" w:cs="仿宋"/>
          <w:color w:val="auto"/>
          <w:sz w:val="28"/>
          <w:szCs w:val="28"/>
          <w:highlight w:val="none"/>
        </w:rPr>
        <w:t>详见招标文件。</w:t>
      </w:r>
    </w:p>
    <w:p w14:paraId="21B484F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五、工程类别及取费标准：</w:t>
      </w:r>
    </w:p>
    <w:p w14:paraId="2C85EC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1、土建工程按修缮土建工程取费，安装工程按修缮安装工程取费。现场安全文明施工措施费、各项规费、综合税金按镇江市规定费率计取，其余由各投标单位自主报价。各项费率（%）如下：</w:t>
      </w:r>
    </w:p>
    <w:tbl>
      <w:tblPr>
        <w:tblStyle w:val="4"/>
        <w:tblW w:w="9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54"/>
        <w:gridCol w:w="933"/>
        <w:gridCol w:w="1243"/>
        <w:gridCol w:w="1401"/>
        <w:gridCol w:w="932"/>
        <w:gridCol w:w="933"/>
        <w:gridCol w:w="776"/>
        <w:gridCol w:w="933"/>
        <w:gridCol w:w="932"/>
      </w:tblGrid>
      <w:tr w14:paraId="5C786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1854" w:type="dxa"/>
            <w:vMerge w:val="restart"/>
            <w:vAlign w:val="center"/>
          </w:tcPr>
          <w:p w14:paraId="03D9E54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名称</w:t>
            </w:r>
          </w:p>
        </w:tc>
        <w:tc>
          <w:tcPr>
            <w:tcW w:w="3577" w:type="dxa"/>
            <w:gridSpan w:val="3"/>
            <w:vAlign w:val="center"/>
          </w:tcPr>
          <w:p w14:paraId="46BE4CD5">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安全文明施工措施费</w:t>
            </w:r>
          </w:p>
        </w:tc>
        <w:tc>
          <w:tcPr>
            <w:tcW w:w="932" w:type="dxa"/>
            <w:vMerge w:val="restart"/>
            <w:vAlign w:val="center"/>
          </w:tcPr>
          <w:p w14:paraId="09BDC7C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按质论价费</w:t>
            </w:r>
          </w:p>
        </w:tc>
        <w:tc>
          <w:tcPr>
            <w:tcW w:w="933" w:type="dxa"/>
            <w:vMerge w:val="restart"/>
            <w:vAlign w:val="center"/>
          </w:tcPr>
          <w:p w14:paraId="2F72DB1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社会保障费</w:t>
            </w:r>
          </w:p>
        </w:tc>
        <w:tc>
          <w:tcPr>
            <w:tcW w:w="776" w:type="dxa"/>
            <w:vMerge w:val="restart"/>
            <w:vAlign w:val="center"/>
          </w:tcPr>
          <w:p w14:paraId="17F9673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公积金</w:t>
            </w:r>
          </w:p>
        </w:tc>
        <w:tc>
          <w:tcPr>
            <w:tcW w:w="933" w:type="dxa"/>
            <w:vMerge w:val="restart"/>
            <w:vAlign w:val="center"/>
          </w:tcPr>
          <w:p w14:paraId="1809761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环境保护税</w:t>
            </w:r>
          </w:p>
        </w:tc>
        <w:tc>
          <w:tcPr>
            <w:tcW w:w="932" w:type="dxa"/>
            <w:vMerge w:val="restart"/>
            <w:vAlign w:val="center"/>
          </w:tcPr>
          <w:p w14:paraId="756A377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税金</w:t>
            </w:r>
          </w:p>
        </w:tc>
      </w:tr>
      <w:tr w14:paraId="2C7D5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38" w:hRule="atLeast"/>
          <w:jc w:val="center"/>
        </w:trPr>
        <w:tc>
          <w:tcPr>
            <w:tcW w:w="1854" w:type="dxa"/>
            <w:vMerge w:val="continue"/>
            <w:vAlign w:val="center"/>
          </w:tcPr>
          <w:p w14:paraId="10D12C06">
            <w:pPr>
              <w:widowControl/>
              <w:spacing w:line="360" w:lineRule="auto"/>
              <w:jc w:val="center"/>
              <w:rPr>
                <w:rFonts w:hint="eastAsia" w:ascii="仿宋" w:hAnsi="仿宋" w:eastAsia="仿宋" w:cs="仿宋"/>
                <w:color w:val="auto"/>
                <w:kern w:val="0"/>
                <w:sz w:val="28"/>
                <w:szCs w:val="28"/>
                <w:highlight w:val="none"/>
              </w:rPr>
            </w:pPr>
          </w:p>
        </w:tc>
        <w:tc>
          <w:tcPr>
            <w:tcW w:w="933" w:type="dxa"/>
            <w:vAlign w:val="center"/>
          </w:tcPr>
          <w:p w14:paraId="20CEEF24">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基本费</w:t>
            </w:r>
          </w:p>
        </w:tc>
        <w:tc>
          <w:tcPr>
            <w:tcW w:w="1243" w:type="dxa"/>
            <w:vAlign w:val="center"/>
          </w:tcPr>
          <w:p w14:paraId="1F8245E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增加费</w:t>
            </w:r>
          </w:p>
        </w:tc>
        <w:tc>
          <w:tcPr>
            <w:tcW w:w="1401" w:type="dxa"/>
            <w:vAlign w:val="center"/>
          </w:tcPr>
          <w:p w14:paraId="7D0EF4F2">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扬尘污染防治增加费</w:t>
            </w:r>
          </w:p>
        </w:tc>
        <w:tc>
          <w:tcPr>
            <w:tcW w:w="932" w:type="dxa"/>
            <w:vMerge w:val="continue"/>
            <w:vAlign w:val="center"/>
          </w:tcPr>
          <w:p w14:paraId="247EE8EF">
            <w:pPr>
              <w:widowControl/>
              <w:spacing w:line="360" w:lineRule="auto"/>
              <w:jc w:val="center"/>
              <w:rPr>
                <w:rFonts w:hint="eastAsia" w:ascii="仿宋" w:hAnsi="仿宋" w:eastAsia="仿宋" w:cs="仿宋"/>
                <w:color w:val="auto"/>
                <w:kern w:val="0"/>
                <w:sz w:val="28"/>
                <w:szCs w:val="28"/>
                <w:highlight w:val="none"/>
              </w:rPr>
            </w:pPr>
          </w:p>
        </w:tc>
        <w:tc>
          <w:tcPr>
            <w:tcW w:w="933" w:type="dxa"/>
            <w:vMerge w:val="continue"/>
            <w:vAlign w:val="center"/>
          </w:tcPr>
          <w:p w14:paraId="67595DEB">
            <w:pPr>
              <w:widowControl/>
              <w:spacing w:line="360" w:lineRule="auto"/>
              <w:jc w:val="center"/>
              <w:rPr>
                <w:rFonts w:hint="eastAsia" w:ascii="仿宋" w:hAnsi="仿宋" w:eastAsia="仿宋" w:cs="仿宋"/>
                <w:color w:val="auto"/>
                <w:kern w:val="0"/>
                <w:sz w:val="28"/>
                <w:szCs w:val="28"/>
                <w:highlight w:val="none"/>
              </w:rPr>
            </w:pPr>
          </w:p>
        </w:tc>
        <w:tc>
          <w:tcPr>
            <w:tcW w:w="776" w:type="dxa"/>
            <w:vMerge w:val="continue"/>
            <w:vAlign w:val="center"/>
          </w:tcPr>
          <w:p w14:paraId="3484ABF3">
            <w:pPr>
              <w:widowControl/>
              <w:spacing w:line="360" w:lineRule="auto"/>
              <w:jc w:val="center"/>
              <w:rPr>
                <w:rFonts w:hint="eastAsia" w:ascii="仿宋" w:hAnsi="仿宋" w:eastAsia="仿宋" w:cs="仿宋"/>
                <w:color w:val="auto"/>
                <w:kern w:val="0"/>
                <w:sz w:val="28"/>
                <w:szCs w:val="28"/>
                <w:highlight w:val="none"/>
              </w:rPr>
            </w:pPr>
          </w:p>
        </w:tc>
        <w:tc>
          <w:tcPr>
            <w:tcW w:w="933" w:type="dxa"/>
            <w:vMerge w:val="continue"/>
            <w:vAlign w:val="center"/>
          </w:tcPr>
          <w:p w14:paraId="7FC8278D">
            <w:pPr>
              <w:widowControl/>
              <w:spacing w:line="360" w:lineRule="auto"/>
              <w:jc w:val="center"/>
              <w:rPr>
                <w:rFonts w:hint="eastAsia" w:ascii="仿宋" w:hAnsi="仿宋" w:eastAsia="仿宋" w:cs="仿宋"/>
                <w:color w:val="auto"/>
                <w:kern w:val="0"/>
                <w:sz w:val="28"/>
                <w:szCs w:val="28"/>
                <w:highlight w:val="none"/>
              </w:rPr>
            </w:pPr>
          </w:p>
        </w:tc>
        <w:tc>
          <w:tcPr>
            <w:tcW w:w="932" w:type="dxa"/>
            <w:vMerge w:val="continue"/>
            <w:vAlign w:val="center"/>
          </w:tcPr>
          <w:p w14:paraId="3080AA7E">
            <w:pPr>
              <w:widowControl/>
              <w:spacing w:line="360" w:lineRule="auto"/>
              <w:jc w:val="center"/>
              <w:rPr>
                <w:rFonts w:hint="eastAsia" w:ascii="仿宋" w:hAnsi="仿宋" w:eastAsia="仿宋" w:cs="仿宋"/>
                <w:color w:val="auto"/>
                <w:kern w:val="0"/>
                <w:sz w:val="28"/>
                <w:szCs w:val="28"/>
                <w:highlight w:val="none"/>
              </w:rPr>
            </w:pPr>
          </w:p>
        </w:tc>
      </w:tr>
      <w:tr w14:paraId="0A2F4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8" w:hRule="atLeast"/>
          <w:jc w:val="center"/>
        </w:trPr>
        <w:tc>
          <w:tcPr>
            <w:tcW w:w="1854" w:type="dxa"/>
            <w:vAlign w:val="center"/>
          </w:tcPr>
          <w:p w14:paraId="371E18F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修缮建筑工程</w:t>
            </w:r>
          </w:p>
        </w:tc>
        <w:tc>
          <w:tcPr>
            <w:tcW w:w="933" w:type="dxa"/>
            <w:vAlign w:val="center"/>
          </w:tcPr>
          <w:p w14:paraId="17226CC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c>
          <w:tcPr>
            <w:tcW w:w="1243" w:type="dxa"/>
            <w:vAlign w:val="center"/>
          </w:tcPr>
          <w:p w14:paraId="59FCC658">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1401" w:type="dxa"/>
            <w:vAlign w:val="center"/>
          </w:tcPr>
          <w:p w14:paraId="7988FA7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0.21</w:t>
            </w:r>
          </w:p>
        </w:tc>
        <w:tc>
          <w:tcPr>
            <w:tcW w:w="932" w:type="dxa"/>
            <w:vAlign w:val="center"/>
          </w:tcPr>
          <w:p w14:paraId="6A91B1C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933" w:type="dxa"/>
            <w:vAlign w:val="center"/>
          </w:tcPr>
          <w:p w14:paraId="2E2B283D">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3.8</w:t>
            </w:r>
          </w:p>
        </w:tc>
        <w:tc>
          <w:tcPr>
            <w:tcW w:w="776" w:type="dxa"/>
            <w:vAlign w:val="center"/>
          </w:tcPr>
          <w:p w14:paraId="6D955C87">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0.67</w:t>
            </w:r>
          </w:p>
        </w:tc>
        <w:tc>
          <w:tcPr>
            <w:tcW w:w="933" w:type="dxa"/>
            <w:vAlign w:val="center"/>
          </w:tcPr>
          <w:p w14:paraId="37F54B8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932" w:type="dxa"/>
            <w:vAlign w:val="center"/>
          </w:tcPr>
          <w:p w14:paraId="207458E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w:t>
            </w:r>
          </w:p>
        </w:tc>
      </w:tr>
      <w:tr w14:paraId="6DE36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8" w:hRule="atLeast"/>
          <w:jc w:val="center"/>
        </w:trPr>
        <w:tc>
          <w:tcPr>
            <w:tcW w:w="1854" w:type="dxa"/>
            <w:vAlign w:val="center"/>
          </w:tcPr>
          <w:p w14:paraId="20F2BF11">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修缮安装工程</w:t>
            </w:r>
          </w:p>
        </w:tc>
        <w:tc>
          <w:tcPr>
            <w:tcW w:w="933" w:type="dxa"/>
            <w:vAlign w:val="center"/>
          </w:tcPr>
          <w:p w14:paraId="0E852295">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w:t>
            </w:r>
          </w:p>
        </w:tc>
        <w:tc>
          <w:tcPr>
            <w:tcW w:w="1243" w:type="dxa"/>
            <w:vAlign w:val="center"/>
          </w:tcPr>
          <w:p w14:paraId="3A88B8B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1401" w:type="dxa"/>
            <w:vAlign w:val="center"/>
          </w:tcPr>
          <w:p w14:paraId="4D54E2C3">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0.21</w:t>
            </w:r>
          </w:p>
        </w:tc>
        <w:tc>
          <w:tcPr>
            <w:tcW w:w="932" w:type="dxa"/>
            <w:vAlign w:val="center"/>
          </w:tcPr>
          <w:p w14:paraId="2475CE90">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933" w:type="dxa"/>
            <w:vAlign w:val="center"/>
          </w:tcPr>
          <w:p w14:paraId="1DB054C8">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3.8</w:t>
            </w:r>
          </w:p>
        </w:tc>
        <w:tc>
          <w:tcPr>
            <w:tcW w:w="776" w:type="dxa"/>
            <w:vAlign w:val="center"/>
          </w:tcPr>
          <w:p w14:paraId="6FD852B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0.67</w:t>
            </w:r>
          </w:p>
        </w:tc>
        <w:tc>
          <w:tcPr>
            <w:tcW w:w="933" w:type="dxa"/>
            <w:vAlign w:val="center"/>
          </w:tcPr>
          <w:p w14:paraId="52342571">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932" w:type="dxa"/>
            <w:vAlign w:val="center"/>
          </w:tcPr>
          <w:p w14:paraId="72DE89B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w:t>
            </w:r>
          </w:p>
        </w:tc>
      </w:tr>
    </w:tbl>
    <w:p w14:paraId="7BC6C8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投标人应根据施工组织设计需要并自行前往踏勘现场，充分了解地形、现场状况，投标报价中应充分考虑各方面因素及施工过程中采取的必要措施，除措施项目清单中所立项目外，可自行调整、补充并自主报价。</w:t>
      </w:r>
    </w:p>
    <w:p w14:paraId="59C0568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3、二次搬运费控制价按城建[2020]第224号文进标，投标人须踏勘施工现场，综合考虑材料运输、余方弃置等发生的二次或多次搬运所发生的费用，自主报价。</w:t>
      </w:r>
    </w:p>
    <w:p w14:paraId="1302FEE8">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六、人工、材料、机械费：</w:t>
      </w:r>
    </w:p>
    <w:p w14:paraId="080B49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1、人工费按苏建函价[202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号文执行。</w:t>
      </w:r>
    </w:p>
    <w:p w14:paraId="6719423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2、材料、机械费：控制价中材料价格参考202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年镇江市造价管理部门发布的《镇江工程造价信息》第</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期价格并结合市场行情。</w:t>
      </w:r>
    </w:p>
    <w:p w14:paraId="0EEC276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3、垃圾外运由于巷道狭窄，每处施工工作量不大，无法直接倒入渣土场，运输工具为电动三轮车运到附近的</w:t>
      </w:r>
      <w:r>
        <w:rPr>
          <w:rFonts w:hint="eastAsia" w:ascii="仿宋" w:hAnsi="仿宋" w:eastAsia="仿宋" w:cs="仿宋"/>
          <w:color w:val="auto"/>
          <w:sz w:val="28"/>
          <w:szCs w:val="28"/>
          <w:highlight w:val="none"/>
          <w:lang w:val="en-US" w:eastAsia="zh-CN"/>
        </w:rPr>
        <w:t>收费</w:t>
      </w:r>
      <w:r>
        <w:rPr>
          <w:rFonts w:hint="eastAsia" w:ascii="仿宋" w:hAnsi="仿宋" w:eastAsia="仿宋" w:cs="仿宋"/>
          <w:color w:val="auto"/>
          <w:sz w:val="28"/>
          <w:szCs w:val="28"/>
          <w:highlight w:val="none"/>
        </w:rPr>
        <w:t>倒土点。</w:t>
      </w:r>
    </w:p>
    <w:p w14:paraId="295FB283">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七、其他项目费：</w:t>
      </w:r>
    </w:p>
    <w:p w14:paraId="1A7884CB">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1、暂列金额：</w:t>
      </w:r>
      <w:r>
        <w:rPr>
          <w:rFonts w:hint="eastAsia" w:ascii="仿宋" w:hAnsi="仿宋" w:eastAsia="仿宋" w:cs="仿宋"/>
          <w:color w:val="auto"/>
          <w:sz w:val="28"/>
          <w:szCs w:val="28"/>
          <w:highlight w:val="none"/>
          <w:lang w:val="en-US" w:eastAsia="zh-CN"/>
        </w:rPr>
        <w:t>无</w:t>
      </w:r>
    </w:p>
    <w:p w14:paraId="7F8D5BC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2、专业工程暂估价：无</w:t>
      </w:r>
    </w:p>
    <w:p w14:paraId="5A1E392E">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3、零星点工：60工日*</w:t>
      </w:r>
      <w:r>
        <w:rPr>
          <w:rFonts w:hint="eastAsia" w:ascii="仿宋" w:hAnsi="仿宋" w:eastAsia="仿宋" w:cs="仿宋"/>
          <w:color w:val="auto"/>
          <w:sz w:val="28"/>
          <w:szCs w:val="28"/>
          <w:highlight w:val="none"/>
          <w:lang w:val="en-US" w:eastAsia="zh-CN"/>
        </w:rPr>
        <w:t>135</w:t>
      </w:r>
      <w:r>
        <w:rPr>
          <w:rFonts w:hint="eastAsia" w:ascii="仿宋" w:hAnsi="仿宋" w:eastAsia="仿宋" w:cs="仿宋"/>
          <w:color w:val="auto"/>
          <w:sz w:val="28"/>
          <w:szCs w:val="28"/>
          <w:highlight w:val="none"/>
        </w:rPr>
        <w:t>元/工日=</w:t>
      </w:r>
      <w:r>
        <w:rPr>
          <w:rFonts w:hint="eastAsia" w:ascii="仿宋" w:hAnsi="仿宋" w:eastAsia="仿宋" w:cs="仿宋"/>
          <w:color w:val="auto"/>
          <w:sz w:val="28"/>
          <w:szCs w:val="28"/>
          <w:highlight w:val="none"/>
          <w:lang w:val="en-US" w:eastAsia="zh-CN"/>
        </w:rPr>
        <w:t>810</w:t>
      </w:r>
      <w:r>
        <w:rPr>
          <w:rFonts w:hint="eastAsia" w:ascii="仿宋" w:hAnsi="仿宋" w:eastAsia="仿宋" w:cs="仿宋"/>
          <w:color w:val="auto"/>
          <w:sz w:val="28"/>
          <w:szCs w:val="28"/>
          <w:highlight w:val="none"/>
        </w:rPr>
        <w:t>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列入其他项目费中</w:t>
      </w:r>
    </w:p>
    <w:p w14:paraId="77465C1E">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八、其他说明：</w:t>
      </w:r>
    </w:p>
    <w:p w14:paraId="40DF63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1、本清单工作量为暂估工作量，在实际施工时承包人与发包人应对每一处施工现场已完内容进行界定并书面确认。施工范围按发包人要求进行，工程量结算时按实调整。</w:t>
      </w:r>
    </w:p>
    <w:p w14:paraId="1DF14A8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2、除以下确定品牌材料外，其他材料施工单位在进场前应与建设单位、监理单位确定材料的品牌、色彩后方可采购，否则造成的后果由施工单位承担。</w:t>
      </w:r>
    </w:p>
    <w:p w14:paraId="5174BB0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4、对于有关造价方面文件和相关规定，请各投标单位向造价管理部门咨询。</w:t>
      </w:r>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2731"/>
        <w:gridCol w:w="3967"/>
        <w:gridCol w:w="1215"/>
      </w:tblGrid>
      <w:tr w14:paraId="62AA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40" w:type="dxa"/>
            <w:gridSpan w:val="4"/>
            <w:shd w:val="clear" w:color="auto" w:fill="auto"/>
            <w:vAlign w:val="center"/>
          </w:tcPr>
          <w:p w14:paraId="504AFE19">
            <w:pPr>
              <w:widowControl/>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202</w:t>
            </w:r>
            <w:r>
              <w:rPr>
                <w:rFonts w:hint="eastAsia" w:ascii="仿宋" w:hAnsi="仿宋" w:eastAsia="仿宋" w:cs="仿宋"/>
                <w:b/>
                <w:bCs/>
                <w:color w:val="auto"/>
                <w:kern w:val="0"/>
                <w:sz w:val="28"/>
                <w:szCs w:val="28"/>
                <w:highlight w:val="none"/>
                <w:lang w:val="en-US" w:eastAsia="zh-CN"/>
              </w:rPr>
              <w:t>6</w:t>
            </w:r>
            <w:r>
              <w:rPr>
                <w:rFonts w:hint="eastAsia" w:ascii="仿宋" w:hAnsi="仿宋" w:eastAsia="仿宋" w:cs="仿宋"/>
                <w:b/>
                <w:bCs/>
                <w:color w:val="auto"/>
                <w:kern w:val="0"/>
                <w:sz w:val="28"/>
                <w:szCs w:val="28"/>
                <w:highlight w:val="none"/>
              </w:rPr>
              <w:t>年云台</w:t>
            </w:r>
            <w:r>
              <w:rPr>
                <w:rFonts w:hint="eastAsia" w:ascii="仿宋" w:hAnsi="仿宋" w:eastAsia="仿宋" w:cs="仿宋"/>
                <w:b/>
                <w:bCs/>
                <w:color w:val="auto"/>
                <w:kern w:val="0"/>
                <w:sz w:val="28"/>
                <w:szCs w:val="28"/>
                <w:highlight w:val="none"/>
                <w:lang w:val="en-US" w:eastAsia="zh-CN"/>
              </w:rPr>
              <w:t>直管</w:t>
            </w:r>
            <w:r>
              <w:rPr>
                <w:rFonts w:hint="eastAsia" w:ascii="仿宋" w:hAnsi="仿宋" w:eastAsia="仿宋" w:cs="仿宋"/>
                <w:b/>
                <w:bCs/>
                <w:color w:val="auto"/>
                <w:kern w:val="0"/>
                <w:sz w:val="28"/>
                <w:szCs w:val="28"/>
                <w:highlight w:val="none"/>
              </w:rPr>
              <w:t>公房修缮工程材料品牌表</w:t>
            </w:r>
          </w:p>
        </w:tc>
      </w:tr>
      <w:tr w14:paraId="242D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shd w:val="clear" w:color="FFFFFF" w:fill="FFFFFF"/>
            <w:vAlign w:val="center"/>
          </w:tcPr>
          <w:p w14:paraId="25B6B47C">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序号</w:t>
            </w:r>
          </w:p>
        </w:tc>
        <w:tc>
          <w:tcPr>
            <w:tcW w:w="2731" w:type="dxa"/>
            <w:shd w:val="clear" w:color="FFFFFF" w:fill="FFFFFF"/>
            <w:vAlign w:val="center"/>
          </w:tcPr>
          <w:p w14:paraId="6B455C63">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材料名称规格 </w:t>
            </w:r>
          </w:p>
        </w:tc>
        <w:tc>
          <w:tcPr>
            <w:tcW w:w="3967" w:type="dxa"/>
            <w:shd w:val="clear" w:color="FFFFFF" w:fill="FFFFFF"/>
            <w:vAlign w:val="center"/>
          </w:tcPr>
          <w:p w14:paraId="24CC879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品牌</w:t>
            </w:r>
          </w:p>
        </w:tc>
        <w:tc>
          <w:tcPr>
            <w:tcW w:w="1215" w:type="dxa"/>
            <w:shd w:val="clear" w:color="FFFFFF" w:fill="FFFFFF"/>
            <w:vAlign w:val="center"/>
          </w:tcPr>
          <w:p w14:paraId="6889C7A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047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34D57417">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731" w:type="dxa"/>
            <w:shd w:val="clear" w:color="auto" w:fill="auto"/>
            <w:vAlign w:val="center"/>
          </w:tcPr>
          <w:p w14:paraId="24C73A18">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普通硅酸盐水泥</w:t>
            </w:r>
          </w:p>
        </w:tc>
        <w:tc>
          <w:tcPr>
            <w:tcW w:w="3967" w:type="dxa"/>
            <w:shd w:val="clear" w:color="auto" w:fill="auto"/>
            <w:noWrap/>
            <w:vAlign w:val="center"/>
          </w:tcPr>
          <w:p w14:paraId="0244188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鹤林</w:t>
            </w:r>
          </w:p>
        </w:tc>
        <w:tc>
          <w:tcPr>
            <w:tcW w:w="1215" w:type="dxa"/>
            <w:shd w:val="clear" w:color="auto" w:fill="auto"/>
            <w:vAlign w:val="center"/>
          </w:tcPr>
          <w:p w14:paraId="4924FE2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1A2F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7" w:type="dxa"/>
            <w:shd w:val="clear" w:color="auto" w:fill="auto"/>
            <w:vAlign w:val="center"/>
          </w:tcPr>
          <w:p w14:paraId="4D008D34">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2731" w:type="dxa"/>
            <w:shd w:val="clear" w:color="auto" w:fill="auto"/>
            <w:vAlign w:val="center"/>
          </w:tcPr>
          <w:p w14:paraId="64B2A1B0">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9.5mm厚纸面石膏板</w:t>
            </w:r>
          </w:p>
        </w:tc>
        <w:tc>
          <w:tcPr>
            <w:tcW w:w="3967" w:type="dxa"/>
            <w:shd w:val="clear" w:color="auto" w:fill="auto"/>
            <w:vAlign w:val="center"/>
          </w:tcPr>
          <w:p w14:paraId="4F17DBD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北新龙牌、可耐福、大王椰</w:t>
            </w:r>
          </w:p>
        </w:tc>
        <w:tc>
          <w:tcPr>
            <w:tcW w:w="1215" w:type="dxa"/>
            <w:shd w:val="clear" w:color="auto" w:fill="auto"/>
            <w:vAlign w:val="center"/>
          </w:tcPr>
          <w:p w14:paraId="72864278">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7EDF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55D0676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2731" w:type="dxa"/>
            <w:shd w:val="clear" w:color="auto" w:fill="auto"/>
            <w:vAlign w:val="center"/>
          </w:tcPr>
          <w:p w14:paraId="4C48D77A">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mmSBS卷材</w:t>
            </w:r>
          </w:p>
        </w:tc>
        <w:tc>
          <w:tcPr>
            <w:tcW w:w="3967" w:type="dxa"/>
            <w:shd w:val="clear" w:color="auto" w:fill="auto"/>
            <w:noWrap/>
            <w:vAlign w:val="center"/>
          </w:tcPr>
          <w:p w14:paraId="281AC4C1">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东方</w:t>
            </w:r>
            <w:r>
              <w:rPr>
                <w:rFonts w:hint="eastAsia" w:ascii="仿宋" w:hAnsi="仿宋" w:eastAsia="仿宋" w:cs="仿宋"/>
                <w:color w:val="auto"/>
                <w:kern w:val="0"/>
                <w:sz w:val="28"/>
                <w:szCs w:val="28"/>
                <w:highlight w:val="none"/>
              </w:rPr>
              <w:t>雨虹、卓宝</w:t>
            </w:r>
          </w:p>
        </w:tc>
        <w:tc>
          <w:tcPr>
            <w:tcW w:w="1215" w:type="dxa"/>
            <w:shd w:val="clear" w:color="auto" w:fill="auto"/>
            <w:vAlign w:val="center"/>
          </w:tcPr>
          <w:p w14:paraId="165EFFB4">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平屋面</w:t>
            </w:r>
            <w:r>
              <w:rPr>
                <w:rFonts w:hint="eastAsia" w:ascii="仿宋" w:hAnsi="仿宋" w:eastAsia="仿宋" w:cs="仿宋"/>
                <w:color w:val="auto"/>
                <w:kern w:val="0"/>
                <w:sz w:val="28"/>
                <w:szCs w:val="28"/>
                <w:highlight w:val="none"/>
              </w:rPr>
              <w:t>　</w:t>
            </w:r>
          </w:p>
        </w:tc>
      </w:tr>
      <w:tr w14:paraId="2A6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15C550E3">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2731" w:type="dxa"/>
            <w:shd w:val="clear" w:color="auto" w:fill="auto"/>
            <w:noWrap/>
            <w:vAlign w:val="center"/>
          </w:tcPr>
          <w:p w14:paraId="11CB28E8">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铜芯线</w:t>
            </w:r>
          </w:p>
        </w:tc>
        <w:tc>
          <w:tcPr>
            <w:tcW w:w="3967" w:type="dxa"/>
            <w:shd w:val="clear" w:color="auto" w:fill="auto"/>
            <w:noWrap/>
            <w:vAlign w:val="center"/>
          </w:tcPr>
          <w:p w14:paraId="1C0DCFC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菊花牌、上上、远东</w:t>
            </w:r>
          </w:p>
        </w:tc>
        <w:tc>
          <w:tcPr>
            <w:tcW w:w="1215" w:type="dxa"/>
            <w:shd w:val="clear" w:color="auto" w:fill="auto"/>
            <w:vAlign w:val="center"/>
          </w:tcPr>
          <w:p w14:paraId="14AD7D6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78E1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22458A42">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w:t>
            </w:r>
          </w:p>
        </w:tc>
        <w:tc>
          <w:tcPr>
            <w:tcW w:w="2731" w:type="dxa"/>
            <w:shd w:val="clear" w:color="auto" w:fill="auto"/>
            <w:noWrap/>
            <w:vAlign w:val="center"/>
          </w:tcPr>
          <w:p w14:paraId="29B7851D">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单管日光灯</w:t>
            </w:r>
          </w:p>
        </w:tc>
        <w:tc>
          <w:tcPr>
            <w:tcW w:w="3967" w:type="dxa"/>
            <w:shd w:val="clear" w:color="auto" w:fill="auto"/>
            <w:noWrap/>
            <w:vAlign w:val="center"/>
          </w:tcPr>
          <w:p w14:paraId="3D24BCB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飞利浦、西门子、施耐德</w:t>
            </w:r>
          </w:p>
        </w:tc>
        <w:tc>
          <w:tcPr>
            <w:tcW w:w="1215" w:type="dxa"/>
            <w:shd w:val="clear" w:color="auto" w:fill="auto"/>
            <w:vAlign w:val="center"/>
          </w:tcPr>
          <w:p w14:paraId="272A5D2C">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4F79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7AA740D6">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c>
          <w:tcPr>
            <w:tcW w:w="2731" w:type="dxa"/>
            <w:shd w:val="clear" w:color="auto" w:fill="auto"/>
            <w:noWrap/>
            <w:vAlign w:val="center"/>
          </w:tcPr>
          <w:p w14:paraId="3819D1E6">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PVC钙塑排水管</w:t>
            </w:r>
          </w:p>
        </w:tc>
        <w:tc>
          <w:tcPr>
            <w:tcW w:w="3967" w:type="dxa"/>
            <w:shd w:val="clear" w:color="auto" w:fill="auto"/>
            <w:noWrap/>
            <w:vAlign w:val="center"/>
          </w:tcPr>
          <w:p w14:paraId="668421E8">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公元牌、鸿雁、联塑</w:t>
            </w:r>
          </w:p>
        </w:tc>
        <w:tc>
          <w:tcPr>
            <w:tcW w:w="1215" w:type="dxa"/>
            <w:shd w:val="clear" w:color="auto" w:fill="auto"/>
            <w:vAlign w:val="center"/>
          </w:tcPr>
          <w:p w14:paraId="53301185">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5302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515EEE4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w:t>
            </w:r>
          </w:p>
        </w:tc>
        <w:tc>
          <w:tcPr>
            <w:tcW w:w="2731" w:type="dxa"/>
            <w:shd w:val="clear" w:color="auto" w:fill="auto"/>
            <w:noWrap/>
            <w:vAlign w:val="center"/>
          </w:tcPr>
          <w:p w14:paraId="77C45EE9">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PP-R热水管水管</w:t>
            </w:r>
          </w:p>
        </w:tc>
        <w:tc>
          <w:tcPr>
            <w:tcW w:w="3967" w:type="dxa"/>
            <w:shd w:val="clear" w:color="auto" w:fill="auto"/>
            <w:noWrap/>
            <w:vAlign w:val="center"/>
          </w:tcPr>
          <w:p w14:paraId="0B513867">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公元牌、联塑、中财</w:t>
            </w:r>
          </w:p>
        </w:tc>
        <w:tc>
          <w:tcPr>
            <w:tcW w:w="1215" w:type="dxa"/>
            <w:shd w:val="clear" w:color="auto" w:fill="auto"/>
            <w:vAlign w:val="center"/>
          </w:tcPr>
          <w:p w14:paraId="5CA359AA">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374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755B103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w:t>
            </w:r>
          </w:p>
        </w:tc>
        <w:tc>
          <w:tcPr>
            <w:tcW w:w="2731" w:type="dxa"/>
            <w:shd w:val="clear" w:color="auto" w:fill="auto"/>
            <w:noWrap/>
            <w:vAlign w:val="center"/>
          </w:tcPr>
          <w:p w14:paraId="3F509C89">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PVC阻燃管</w:t>
            </w:r>
          </w:p>
        </w:tc>
        <w:tc>
          <w:tcPr>
            <w:tcW w:w="3967" w:type="dxa"/>
            <w:shd w:val="clear" w:color="auto" w:fill="auto"/>
            <w:noWrap/>
            <w:vAlign w:val="center"/>
          </w:tcPr>
          <w:p w14:paraId="3C0A4B54">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公元牌、联塑、中财</w:t>
            </w:r>
          </w:p>
        </w:tc>
        <w:tc>
          <w:tcPr>
            <w:tcW w:w="1215" w:type="dxa"/>
            <w:shd w:val="clear" w:color="auto" w:fill="auto"/>
            <w:vAlign w:val="center"/>
          </w:tcPr>
          <w:p w14:paraId="0C0C27F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7E43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27" w:type="dxa"/>
            <w:shd w:val="clear" w:color="auto" w:fill="auto"/>
            <w:vAlign w:val="center"/>
          </w:tcPr>
          <w:p w14:paraId="4215669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9</w:t>
            </w:r>
          </w:p>
        </w:tc>
        <w:tc>
          <w:tcPr>
            <w:tcW w:w="2731" w:type="dxa"/>
            <w:shd w:val="clear" w:color="auto" w:fill="auto"/>
            <w:noWrap/>
            <w:vAlign w:val="center"/>
          </w:tcPr>
          <w:p w14:paraId="27126FA8">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铝合金推拉窗型材</w:t>
            </w:r>
          </w:p>
        </w:tc>
        <w:tc>
          <w:tcPr>
            <w:tcW w:w="3967" w:type="dxa"/>
            <w:shd w:val="clear" w:color="auto" w:fill="auto"/>
            <w:noWrap/>
            <w:vAlign w:val="center"/>
          </w:tcPr>
          <w:p w14:paraId="7CBD8A1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凤铝、伟昌</w:t>
            </w:r>
          </w:p>
        </w:tc>
        <w:tc>
          <w:tcPr>
            <w:tcW w:w="1215" w:type="dxa"/>
            <w:shd w:val="clear" w:color="auto" w:fill="auto"/>
            <w:vAlign w:val="center"/>
          </w:tcPr>
          <w:p w14:paraId="0507C23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4A9A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27" w:type="dxa"/>
            <w:shd w:val="clear" w:color="auto" w:fill="auto"/>
            <w:vAlign w:val="center"/>
          </w:tcPr>
          <w:p w14:paraId="53B6A903">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w:t>
            </w:r>
          </w:p>
        </w:tc>
        <w:tc>
          <w:tcPr>
            <w:tcW w:w="2731" w:type="dxa"/>
            <w:shd w:val="clear" w:color="auto" w:fill="auto"/>
            <w:noWrap/>
            <w:vAlign w:val="center"/>
          </w:tcPr>
          <w:p w14:paraId="7D7C9065">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开关插座</w:t>
            </w:r>
          </w:p>
        </w:tc>
        <w:tc>
          <w:tcPr>
            <w:tcW w:w="3967" w:type="dxa"/>
            <w:shd w:val="clear" w:color="auto" w:fill="auto"/>
            <w:noWrap/>
            <w:vAlign w:val="center"/>
          </w:tcPr>
          <w:p w14:paraId="6DD74AE5">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正泰、西门子、施耐德</w:t>
            </w:r>
          </w:p>
        </w:tc>
        <w:tc>
          <w:tcPr>
            <w:tcW w:w="1215" w:type="dxa"/>
            <w:shd w:val="clear" w:color="auto" w:fill="auto"/>
            <w:vAlign w:val="center"/>
          </w:tcPr>
          <w:p w14:paraId="4E31070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r w14:paraId="42B1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7" w:type="dxa"/>
            <w:shd w:val="clear" w:color="auto" w:fill="auto"/>
            <w:vAlign w:val="center"/>
          </w:tcPr>
          <w:p w14:paraId="4442A787">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p>
        </w:tc>
        <w:tc>
          <w:tcPr>
            <w:tcW w:w="2731" w:type="dxa"/>
            <w:shd w:val="clear" w:color="auto" w:fill="auto"/>
            <w:noWrap/>
            <w:vAlign w:val="center"/>
          </w:tcPr>
          <w:p w14:paraId="1BA5DFBC">
            <w:pPr>
              <w:widowControl/>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配电箱及内配置</w:t>
            </w:r>
          </w:p>
        </w:tc>
        <w:tc>
          <w:tcPr>
            <w:tcW w:w="3967" w:type="dxa"/>
            <w:shd w:val="clear" w:color="auto" w:fill="auto"/>
            <w:noWrap/>
            <w:vAlign w:val="center"/>
          </w:tcPr>
          <w:p w14:paraId="594AC33F">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正泰、西门子、施耐德</w:t>
            </w:r>
          </w:p>
        </w:tc>
        <w:tc>
          <w:tcPr>
            <w:tcW w:w="1215" w:type="dxa"/>
            <w:shd w:val="clear" w:color="auto" w:fill="auto"/>
            <w:vAlign w:val="center"/>
          </w:tcPr>
          <w:p w14:paraId="0DB53D72">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w:t>
            </w:r>
          </w:p>
        </w:tc>
      </w:tr>
    </w:tbl>
    <w:p w14:paraId="49C49CDD">
      <w:pPr>
        <w:keepNext w:val="0"/>
        <w:keepLines w:val="0"/>
        <w:pageBreakBefore w:val="0"/>
        <w:widowControl w:val="0"/>
        <w:spacing w:line="360" w:lineRule="auto"/>
        <w:ind w:left="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注：上述技术要求中如出现具体产品的品牌、型号、参数等，仅供投标人更好地理解采购人对设备的需求，不能理解为唯一指定，只要优于或符合其技术参数及功能要求的，均可视为响应。</w:t>
      </w:r>
    </w:p>
    <w:p w14:paraId="34333F89">
      <w:pPr>
        <w:keepNext w:val="0"/>
        <w:keepLines w:val="0"/>
        <w:pageBreakBefore w:val="0"/>
        <w:widowControl w:val="0"/>
        <w:spacing w:line="360" w:lineRule="auto"/>
        <w:ind w:left="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九、技术要求</w:t>
      </w:r>
    </w:p>
    <w:p w14:paraId="5E2CD520">
      <w:pPr>
        <w:keepNext w:val="0"/>
        <w:keepLines w:val="0"/>
        <w:pageBreakBefore w:val="0"/>
        <w:widowControl w:val="0"/>
        <w:spacing w:line="360" w:lineRule="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1、工程量清单详见附件</w:t>
      </w:r>
    </w:p>
    <w:p w14:paraId="284D7C2F">
      <w:pPr>
        <w:keepNext w:val="0"/>
        <w:keepLines w:val="0"/>
        <w:pageBreakBefore w:val="0"/>
        <w:widowControl w:val="0"/>
        <w:spacing w:line="360" w:lineRule="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所投产品材料规格、型号必须响应工程量清单及设计图纸中相关采购要求。磋商响应文件须根据工程量清单及设计图纸中所提到的材料详列出材料分析表，即本工程中拟使用材料的具体品牌、型号、规格，如取得成交资格后未经采购人同意不得随意变更调整。</w:t>
      </w:r>
    </w:p>
    <w:p w14:paraId="573805D2">
      <w:pPr>
        <w:keepNext w:val="0"/>
        <w:keepLines w:val="0"/>
        <w:pageBreakBefore w:val="0"/>
        <w:widowControl w:val="0"/>
        <w:spacing w:line="360" w:lineRule="auto"/>
        <w:ind w:lef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b/>
          <w:bCs/>
          <w:color w:val="auto"/>
          <w:sz w:val="28"/>
          <w:szCs w:val="28"/>
          <w:highlight w:val="none"/>
        </w:rPr>
        <w:t>、工期</w:t>
      </w:r>
      <w:r>
        <w:rPr>
          <w:rFonts w:hint="eastAsia" w:ascii="仿宋" w:hAnsi="仿宋" w:eastAsia="仿宋" w:cs="仿宋"/>
          <w:b/>
          <w:bCs/>
          <w:color w:val="auto"/>
          <w:sz w:val="28"/>
          <w:szCs w:val="28"/>
          <w:highlight w:val="none"/>
          <w:lang w:val="en-US" w:eastAsia="zh-CN"/>
        </w:rPr>
        <w:t>要求</w:t>
      </w:r>
      <w:r>
        <w:rPr>
          <w:rFonts w:hint="eastAsia" w:ascii="仿宋" w:hAnsi="仿宋" w:eastAsia="仿宋" w:cs="仿宋"/>
          <w:b/>
          <w:bCs/>
          <w:color w:val="auto"/>
          <w:sz w:val="28"/>
          <w:szCs w:val="28"/>
          <w:highlight w:val="none"/>
        </w:rPr>
        <w:t>及服务地点</w:t>
      </w:r>
    </w:p>
    <w:p w14:paraId="31D2EEB7">
      <w:pPr>
        <w:keepNext w:val="0"/>
        <w:keepLines w:val="0"/>
        <w:pageBreakBefore w:val="0"/>
        <w:widowControl w:val="0"/>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工期：</w:t>
      </w:r>
      <w:r>
        <w:rPr>
          <w:rFonts w:hint="eastAsia" w:ascii="仿宋" w:hAnsi="仿宋" w:eastAsia="仿宋" w:cs="仿宋"/>
          <w:b w:val="0"/>
          <w:bCs w:val="0"/>
          <w:color w:val="auto"/>
          <w:sz w:val="28"/>
          <w:szCs w:val="28"/>
          <w:highlight w:val="none"/>
          <w:lang w:val="en-US" w:eastAsia="zh-CN"/>
        </w:rPr>
        <w:t>合同签订之日起150天</w:t>
      </w:r>
      <w:r>
        <w:rPr>
          <w:rFonts w:hint="eastAsia" w:ascii="仿宋" w:hAnsi="仿宋" w:eastAsia="仿宋" w:cs="仿宋"/>
          <w:b w:val="0"/>
          <w:bCs w:val="0"/>
          <w:color w:val="auto"/>
          <w:sz w:val="28"/>
          <w:szCs w:val="28"/>
          <w:highlight w:val="none"/>
          <w:lang w:eastAsia="zh-CN"/>
        </w:rPr>
        <w:t>。</w:t>
      </w:r>
    </w:p>
    <w:p w14:paraId="63BB53D3">
      <w:pPr>
        <w:keepNext w:val="0"/>
        <w:keepLines w:val="0"/>
        <w:pageBreakBefore w:val="0"/>
        <w:widowControl w:val="0"/>
        <w:spacing w:line="360"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服务地点：采购人指定地点。</w:t>
      </w:r>
    </w:p>
    <w:p w14:paraId="459FBA8D">
      <w:pPr>
        <w:pStyle w:val="7"/>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十一、施工要求</w:t>
      </w:r>
    </w:p>
    <w:p w14:paraId="0DFC7C1D">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★1、在施工过程中，主要材料的技术参数及性能等不得低于编标依据，供货前主要材料设备须经采购人认可并书面确认，否则，采购人有权拒收且保留甲供材的权利。</w:t>
      </w:r>
    </w:p>
    <w:p w14:paraId="06D43BDB">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2、依据相关规定，需供应商办理的有关施工场地交通、环卫和施工噪音管理等手续由成交供应商办理。</w:t>
      </w:r>
    </w:p>
    <w:p w14:paraId="11E7F228">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★3、在工程交付前，成品保护由成交供应商负责，发生成品损坏，成交供应商负责予以修复，费用自理。</w:t>
      </w:r>
    </w:p>
    <w:p w14:paraId="4E969EE6">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安全文明施工与环境保护：成交供应商应遵守工程建设安全生产有关管理规定，严格按安全标准组织施工，并随时接受行业安全检查人员依法实施的监督检查，采取必要的安全防护措施，消除事故隐患；由于成交供应商安全措施不力造成事故的责任和因此发生的费用，由成交供应商承担。</w:t>
      </w:r>
    </w:p>
    <w:p w14:paraId="6E0E6B43">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★5、保修</w:t>
      </w:r>
    </w:p>
    <w:p w14:paraId="32746612">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 保修：供应商对该工程所使用的全部材料及工程质量负责，屋面、卫生间等防水工程按五年计算，其他水电、装饰装潢等按贰年计算。在保修期内的缺陷由供应商全部承担。</w:t>
      </w:r>
    </w:p>
    <w:p w14:paraId="263D41AD">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 保修期的开始日期：为住户入住验收合格房屋三个月后开始计算（三个月期间无渗水、墙皮剥落等任何施工质量问题；如有质量问题，保修期开始日期顺延至返修完毕且二次验收合格后开始）。</w:t>
      </w:r>
    </w:p>
    <w:p w14:paraId="6D12A5F7">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5.3保修通知：承包人收到通知并到达工程现场的合理时间：</w:t>
      </w:r>
    </w:p>
    <w:p w14:paraId="1AF8EF51">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★5.3.1水电维修：接报修立即赶往现场处理。</w:t>
      </w:r>
    </w:p>
    <w:p w14:paraId="3A0A9D2E">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★5.3.2其它维修：接报修12小时内赶往现场处理。</w:t>
      </w:r>
    </w:p>
    <w:p w14:paraId="5BF6ED1D">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★6.在免费质保期内，供应商须对由于工程本身质量原因造成的任何缺损进行免费修补或更换。</w:t>
      </w:r>
    </w:p>
    <w:p w14:paraId="67660A63">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注：供应商需针对上述“施工要求”在磋商响应文件中逐条响应，如★项不能满足磋商文件要求则视同为未实质性响应，做无效响应处理。</w:t>
      </w:r>
    </w:p>
    <w:p w14:paraId="56C6141A">
      <w:pPr>
        <w:pStyle w:val="7"/>
        <w:keepNext w:val="0"/>
        <w:keepLines w:val="0"/>
        <w:pageBreakBefore w:val="0"/>
        <w:spacing w:line="360" w:lineRule="auto"/>
        <w:ind w:firstLine="0"/>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lang w:val="en-US"/>
        </w:rPr>
        <w:t>服务要求</w:t>
      </w:r>
    </w:p>
    <w:p w14:paraId="24C599B3">
      <w:pPr>
        <w:keepNext w:val="0"/>
        <w:keepLines w:val="0"/>
        <w:pageBreakBefore w:val="0"/>
        <w:widowControl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1、供应商须在响应磋商文件前进行现场踏勘。</w:t>
      </w:r>
    </w:p>
    <w:p w14:paraId="4BFE0004">
      <w:pPr>
        <w:keepNext w:val="0"/>
        <w:keepLines w:val="0"/>
        <w:pageBreakBefore w:val="0"/>
        <w:widowControl w:val="0"/>
        <w:spacing w:line="360" w:lineRule="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、本工程质量应达到最新国家质量评定合格标准。</w:t>
      </w:r>
      <w:r>
        <w:rPr>
          <w:rFonts w:hint="eastAsia" w:ascii="仿宋" w:hAnsi="仿宋" w:eastAsia="仿宋" w:cs="仿宋"/>
          <w:bCs/>
          <w:color w:val="auto"/>
          <w:sz w:val="28"/>
          <w:szCs w:val="28"/>
          <w:highlight w:val="none"/>
        </w:rPr>
        <w:t>所供的项目服务必须遵守国家颁布标准和有关规定。</w:t>
      </w:r>
    </w:p>
    <w:p w14:paraId="634B28C2">
      <w:pPr>
        <w:keepNext w:val="0"/>
        <w:keepLines w:val="0"/>
        <w:pageBreakBefore w:val="0"/>
        <w:widowControl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的项目经理必须每天要在现场全面负责本项目的施工。</w:t>
      </w:r>
    </w:p>
    <w:p w14:paraId="32D1E29B">
      <w:pPr>
        <w:keepNext w:val="0"/>
        <w:keepLines w:val="0"/>
        <w:pageBreakBefore w:val="0"/>
        <w:widowControl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、双方应及时办理隐蔽工程和中间工程的检查与验收手续。</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不按时参加隐蔽工程和中间工程验收，</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可自行验收，</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应予承认。若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要求复验，</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应按要求办理复验。若复验合格，</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应承担复验费用由此造成停工，工期顺延；若复验不合格，其复验及返工费用由</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承担，但工期也予顺延。</w:t>
      </w:r>
      <w:r>
        <w:rPr>
          <w:rFonts w:hint="eastAsia" w:ascii="仿宋" w:hAnsi="仿宋" w:eastAsia="仿宋" w:cs="仿宋"/>
          <w:bCs/>
          <w:color w:val="auto"/>
          <w:sz w:val="28"/>
          <w:szCs w:val="28"/>
          <w:highlight w:val="none"/>
        </w:rPr>
        <w:t>须按采购人要求项目的所有工作内容在规定的时间内实施完毕。</w:t>
      </w:r>
    </w:p>
    <w:p w14:paraId="5929ADC8">
      <w:pPr>
        <w:keepNext w:val="0"/>
        <w:keepLines w:val="0"/>
        <w:pageBreakBefore w:val="0"/>
        <w:widowControl w:val="0"/>
        <w:tabs>
          <w:tab w:val="left" w:pos="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、由于</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原因造成质量事故，其返工费用由</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承担，工期不顺延。</w:t>
      </w:r>
    </w:p>
    <w:p w14:paraId="05B4C224">
      <w:pPr>
        <w:keepNext w:val="0"/>
        <w:keepLines w:val="0"/>
        <w:pageBreakBefore w:val="0"/>
        <w:widowControl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、工程竣工后，</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应通知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验收，</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自接到验收通知</w:t>
      </w:r>
      <w:r>
        <w:rPr>
          <w:rFonts w:hint="eastAsia" w:ascii="仿宋" w:hAnsi="仿宋" w:eastAsia="仿宋" w:cs="仿宋"/>
          <w:color w:val="auto"/>
          <w:sz w:val="28"/>
          <w:szCs w:val="28"/>
          <w:highlight w:val="none"/>
          <w:u w:val="single"/>
        </w:rPr>
        <w:t xml:space="preserve"> 15 </w:t>
      </w:r>
      <w:r>
        <w:rPr>
          <w:rFonts w:hint="eastAsia" w:ascii="仿宋" w:hAnsi="仿宋" w:eastAsia="仿宋" w:cs="仿宋"/>
          <w:color w:val="auto"/>
          <w:sz w:val="28"/>
          <w:szCs w:val="28"/>
          <w:highlight w:val="none"/>
        </w:rPr>
        <w:t>日内组织验收，并办理验收、移交手续。如</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在规定时间内未能组织验收，需及时通知</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，另定验收日期。但</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应承认</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竣工日期。</w:t>
      </w:r>
      <w:r>
        <w:rPr>
          <w:rFonts w:hint="eastAsia" w:ascii="仿宋" w:hAnsi="仿宋" w:eastAsia="仿宋" w:cs="仿宋"/>
          <w:bCs/>
          <w:color w:val="auto"/>
          <w:sz w:val="28"/>
          <w:szCs w:val="28"/>
          <w:highlight w:val="none"/>
        </w:rPr>
        <w:t>提交项目验收的所需的全部技术资料。</w:t>
      </w:r>
    </w:p>
    <w:p w14:paraId="0D10B30E">
      <w:pPr>
        <w:keepNext w:val="0"/>
        <w:keepLines w:val="0"/>
        <w:pageBreakBefore w:val="0"/>
        <w:widowControl w:val="0"/>
        <w:tabs>
          <w:tab w:val="left" w:pos="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、本工程应符合国家环保质量要求,否则应承担违约责任并赔偿</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损失。</w:t>
      </w:r>
    </w:p>
    <w:p w14:paraId="56177BD0">
      <w:pPr>
        <w:keepNext w:val="0"/>
        <w:keepLines w:val="0"/>
        <w:pageBreakBefore w:val="0"/>
        <w:widowControl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对</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发现的问题及时补充修改。</w:t>
      </w:r>
      <w:r>
        <w:rPr>
          <w:rFonts w:hint="eastAsia" w:ascii="仿宋" w:hAnsi="仿宋" w:eastAsia="仿宋" w:cs="仿宋"/>
          <w:color w:val="auto"/>
          <w:sz w:val="28"/>
          <w:szCs w:val="28"/>
          <w:highlight w:val="none"/>
        </w:rPr>
        <w:t>工程交付尚未使用期间凡属工程遗留问题，</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在接到</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书面通知后三天内组织整改。逾期</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将组织整改，一切费用由</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承担。</w:t>
      </w:r>
    </w:p>
    <w:p w14:paraId="14E3BCC7">
      <w:pPr>
        <w:keepNext w:val="0"/>
        <w:keepLines w:val="0"/>
        <w:pageBreakBefore w:val="0"/>
        <w:widowControl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成交供应商</w:t>
      </w:r>
      <w:r>
        <w:rPr>
          <w:rFonts w:hint="eastAsia" w:ascii="仿宋" w:hAnsi="仿宋" w:eastAsia="仿宋" w:cs="仿宋"/>
          <w:bCs/>
          <w:color w:val="auto"/>
          <w:sz w:val="28"/>
          <w:szCs w:val="28"/>
          <w:highlight w:val="none"/>
        </w:rPr>
        <w:t>在履行合同过程中，一切事故的责任由</w:t>
      </w:r>
      <w:r>
        <w:rPr>
          <w:rFonts w:hint="eastAsia" w:ascii="仿宋" w:hAnsi="仿宋" w:eastAsia="仿宋" w:cs="仿宋"/>
          <w:bCs/>
          <w:color w:val="auto"/>
          <w:sz w:val="28"/>
          <w:szCs w:val="28"/>
          <w:highlight w:val="none"/>
          <w:lang w:val="en-US" w:eastAsia="zh-CN"/>
        </w:rPr>
        <w:t>成交供应商</w:t>
      </w:r>
      <w:r>
        <w:rPr>
          <w:rFonts w:hint="eastAsia" w:ascii="仿宋" w:hAnsi="仿宋" w:eastAsia="仿宋" w:cs="仿宋"/>
          <w:bCs/>
          <w:color w:val="auto"/>
          <w:sz w:val="28"/>
          <w:szCs w:val="28"/>
          <w:highlight w:val="none"/>
        </w:rPr>
        <w:t>自行承担。</w:t>
      </w:r>
    </w:p>
    <w:p w14:paraId="6EDCB296">
      <w:pPr>
        <w:keepNext w:val="0"/>
        <w:keepLines w:val="0"/>
        <w:pageBreakBefore w:val="0"/>
        <w:widowControl w:val="0"/>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供应商对该工程所使用的全部材料、配件及工程质量负责，提供的全免费质保期与主合同保持一致，从工程验收合格之日起计算，免费质保期间除人为损坏，其他质量问题 24 小时内到位维修。</w:t>
      </w:r>
    </w:p>
    <w:p w14:paraId="13B69523">
      <w:pPr>
        <w:keepNext w:val="0"/>
        <w:keepLines w:val="0"/>
        <w:pageBreakBefore w:val="0"/>
        <w:widowControl w:val="0"/>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、通过验收后5个工作日内</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必须将施工队伍、施工机具、周转材料等全部撤清，所有建筑垃圾等必须清运，保持施工现场平整、整洁，塔吊、井架基础等清理完成，如不清运，</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委托清运，费用由</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承担在决算中扣除；</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提供的现场设施应完好，损坏需赔偿。</w:t>
      </w:r>
    </w:p>
    <w:p w14:paraId="40D80FC6">
      <w:pPr>
        <w:pageBreakBefore w:val="0"/>
        <w:spacing w:line="360" w:lineRule="auto"/>
        <w:ind w:lef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十三</w:t>
      </w:r>
      <w:r>
        <w:rPr>
          <w:rFonts w:hint="eastAsia" w:ascii="仿宋" w:hAnsi="仿宋" w:eastAsia="仿宋" w:cs="仿宋"/>
          <w:b/>
          <w:bCs/>
          <w:color w:val="auto"/>
          <w:sz w:val="28"/>
          <w:szCs w:val="28"/>
          <w:highlight w:val="none"/>
        </w:rPr>
        <w:t>、付款</w:t>
      </w:r>
      <w:r>
        <w:rPr>
          <w:rFonts w:hint="eastAsia" w:ascii="仿宋" w:hAnsi="仿宋" w:eastAsia="仿宋" w:cs="仿宋"/>
          <w:b/>
          <w:bCs/>
          <w:color w:val="auto"/>
          <w:sz w:val="28"/>
          <w:szCs w:val="28"/>
          <w:highlight w:val="none"/>
          <w:lang w:val="en-US" w:eastAsia="zh-CN"/>
        </w:rPr>
        <w:t>方式</w:t>
      </w:r>
    </w:p>
    <w:p w14:paraId="6CB12A09">
      <w:pPr>
        <w:pStyle w:val="6"/>
        <w:keepNext w:val="0"/>
        <w:keepLines w:val="0"/>
        <w:pageBreakBefore w:val="0"/>
        <w:widowControl w:val="0"/>
        <w:spacing w:before="0" w:line="360" w:lineRule="auto"/>
        <w:ind w:lef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1、合同签订后采购人收到发票后十个工作日内付至合同总款的 30%（如成交供应商不需支付此项费用的，采购人可不支付，本项费用连同后期一并支付）。</w:t>
      </w:r>
    </w:p>
    <w:p w14:paraId="381C18BE">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2、项目完成并通过结算审计后，由采购人按财政资金拨付进度支付至结算总价的 98%；剩余 2% 作为质量保证金，待质保期满且无质量问题后 30 日内无息付清。</w:t>
      </w:r>
    </w:p>
    <w:p w14:paraId="4A0BD84A">
      <w:pPr>
        <w:pageBreakBefore w:val="0"/>
        <w:spacing w:line="360" w:lineRule="auto"/>
        <w:ind w:left="0" w:right="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十四</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其他要求</w:t>
      </w:r>
    </w:p>
    <w:p w14:paraId="04B3C34A">
      <w:pPr>
        <w:pageBreakBefore w:val="0"/>
        <w:spacing w:line="360" w:lineRule="auto"/>
        <w:ind w:left="0" w:right="0" w:firstLine="56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本项目实施过程中，成交供应商需严格遵守和执行《中华人民共和国劳动法》、镇江市劳动用工和社会保险管理规定、镇江市最低工资标准等相关法律法规，并就安全生产和职业道德加强对所有工作人员的教育，合同期中发生的一切事故、纠纷由成交供应商承担，采购人不承担任何责任。</w:t>
      </w:r>
    </w:p>
    <w:p w14:paraId="2B214B66">
      <w:pPr>
        <w:pStyle w:val="8"/>
        <w:pageBreakBefore w:val="0"/>
        <w:numPr>
          <w:ilvl w:val="0"/>
          <w:numId w:val="0"/>
        </w:numPr>
        <w:spacing w:after="0"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十五、工程量清单</w:t>
      </w:r>
    </w:p>
    <w:p w14:paraId="2D03FC19">
      <w:pPr>
        <w:pStyle w:val="2"/>
      </w:pPr>
      <w:r>
        <w:rPr>
          <w:rFonts w:hint="eastAsia" w:ascii="仿宋" w:hAnsi="仿宋" w:eastAsia="仿宋" w:cs="仿宋"/>
          <w:b/>
          <w:bCs/>
          <w:color w:val="auto"/>
          <w:sz w:val="32"/>
          <w:szCs w:val="32"/>
          <w:highlight w:val="none"/>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14849"/>
    <w:rsid w:val="224C1D51"/>
    <w:rsid w:val="30D14849"/>
    <w:rsid w:val="470A4433"/>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宋体" w:eastAsia="宋体" w:cs="宋体"/>
      <w:sz w:val="22"/>
      <w:szCs w:val="22"/>
      <w:lang w:val="zh-CN" w:eastAsia="zh-CN" w:bidi="ar-SA"/>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spacing w:line="360" w:lineRule="auto"/>
      <w:ind w:firstLine="420"/>
    </w:pPr>
    <w:rPr>
      <w:rFonts w:hint="default" w:ascii="Times New Roman" w:hAnsi="Times New Roman" w:eastAsia="宋体" w:cs="Times New Roman"/>
      <w:sz w:val="20"/>
      <w:szCs w:val="20"/>
      <w:lang w:val="en-US" w:eastAsia="zh-CN" w:bidi="ar-SA"/>
    </w:rPr>
  </w:style>
  <w:style w:type="paragraph" w:customStyle="1" w:styleId="6">
    <w:name w:val="正文文本11"/>
    <w:basedOn w:val="1"/>
    <w:qFormat/>
    <w:uiPriority w:val="99"/>
    <w:pPr>
      <w:spacing w:before="129"/>
      <w:ind w:left="100"/>
    </w:pPr>
    <w:rPr>
      <w:sz w:val="18"/>
      <w:szCs w:val="18"/>
    </w:rPr>
  </w:style>
  <w:style w:type="paragraph" w:customStyle="1" w:styleId="7">
    <w:name w:val="正文缩进111"/>
    <w:basedOn w:val="1"/>
    <w:qFormat/>
    <w:uiPriority w:val="99"/>
    <w:pPr>
      <w:ind w:firstLine="420"/>
    </w:pPr>
    <w:rPr>
      <w:rFonts w:ascii="Times New Roman" w:hAnsi="Times New Roman" w:cs="Times New Roman"/>
      <w:sz w:val="20"/>
      <w:szCs w:val="20"/>
    </w:rPr>
  </w:style>
  <w:style w:type="paragraph" w:customStyle="1" w:styleId="8">
    <w:name w:val="正文首行缩进 211"/>
    <w:basedOn w:val="9"/>
    <w:qFormat/>
    <w:uiPriority w:val="0"/>
    <w:pPr>
      <w:spacing w:after="120"/>
      <w:ind w:left="420" w:firstLine="420"/>
    </w:pPr>
    <w:rPr>
      <w:sz w:val="21"/>
    </w:rPr>
  </w:style>
  <w:style w:type="paragraph" w:customStyle="1" w:styleId="9">
    <w:name w:val="正文文本缩进1"/>
    <w:basedOn w:val="1"/>
    <w:next w:val="1"/>
    <w:qFormat/>
    <w:uiPriority w:val="99"/>
    <w:pPr>
      <w:spacing w:after="120"/>
      <w:ind w:left="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3249</Words>
  <Characters>3400</Characters>
  <Lines>0</Lines>
  <Paragraphs>0</Paragraphs>
  <TotalTime>0</TotalTime>
  <ScaleCrop>false</ScaleCrop>
  <LinksUpToDate>false</LinksUpToDate>
  <CharactersWithSpaces>3424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2026-07-01T02:30:00Z</dcterms:created>
  <dc:creator>▕&amp;讀</dc:creator>
  <cp:lastModifiedBy>▕&amp;讀</cp:lastModifiedBy>
  <dcterms:modified xsi:type="dcterms:W3CDTF">2026-07-03T07:42:06Z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C57DE39BB89D49DA8E60ED69AE8E75BE_11</vt:lpwstr>
  </property>
  <property fmtid="{D5CDD505-2E9C-101B-9397-08002B2CF9AE}" pid="4" name="KSOTemplateDocerSaveRecord">
    <vt:lpwstr>eyJoZGlkIjoiNWY0NjEyNGUzZTk2YjBkNjE3NmFjODZlOWRkNjMxMGMiLCJ1c2VySWQiOiIxMzI5MDY0NzI5In0=</vt:lpwstr>
  </property>
</Properties>
</file>