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ascii="宋体" w:hAnsi="宋体"/>
          <w:b/>
          <w:color w:val="000000" w:themeColor="text1"/>
          <w:spacing w:val="40"/>
          <w:sz w:val="96"/>
          <w:szCs w:val="96"/>
          <w:highlight w:val="none"/>
          <w14:textFill>
            <w14:solidFill>
              <w14:schemeClr w14:val="tx1"/>
            </w14:solidFill>
          </w14:textFill>
        </w:rPr>
      </w:pPr>
      <w:r>
        <w:rPr>
          <w:rFonts w:hint="eastAsia" w:ascii="宋体" w:hAnsi="宋体"/>
          <w:b/>
          <w:color w:val="000000" w:themeColor="text1"/>
          <w:spacing w:val="40"/>
          <w:sz w:val="96"/>
          <w:szCs w:val="96"/>
          <w:highlight w:val="none"/>
          <w14:textFill>
            <w14:solidFill>
              <w14:schemeClr w14:val="tx1"/>
            </w14:solidFill>
          </w14:textFill>
        </w:rPr>
        <w:t xml:space="preserve"> 政府采购竞争性</w:t>
      </w:r>
      <w:r/>
    </w:p>
    <w:p>
      <w:pPr>
        <w:jc w:val="center"/>
        <w:spacing w:line="240" w:lineRule="auto"/>
        <w:rPr>
          <w:color w:val="000000" w:themeColor="text1"/>
          <w:highlight w:val="none"/>
          <w14:textFill>
            <w14:solidFill>
              <w14:schemeClr w14:val="tx1"/>
            </w14:solidFill>
          </w14:textFill>
        </w:rPr>
      </w:pPr>
      <w:r>
        <w:rPr>
          <w:rFonts w:hint="eastAsia" w:ascii="宋体" w:hAnsi="宋体"/>
          <w:b/>
          <w:color w:val="000000" w:themeColor="text1"/>
          <w:spacing w:val="40"/>
          <w:sz w:val="96"/>
          <w:szCs w:val="96"/>
          <w:highlight w:val="none"/>
          <w14:textFill>
            <w14:solidFill>
              <w14:schemeClr w14:val="tx1"/>
            </w14:solidFill>
          </w14:textFill>
        </w:rPr>
        <w:t xml:space="preserve">磋 商 </w:t>
      </w:r>
      <w:r>
        <w:rPr>
          <w:rFonts w:hint="eastAsia" w:ascii="宋体" w:hAnsi="宋体"/>
          <w:b/>
          <w:color w:val="000000" w:themeColor="text1"/>
          <w:spacing w:val="20"/>
          <w:sz w:val="96"/>
          <w:szCs w:val="96"/>
          <w:highlight w:val="none"/>
          <w14:textFill>
            <w14:solidFill>
              <w14:schemeClr w14:val="tx1"/>
            </w14:solidFill>
          </w14:textFill>
        </w:rPr>
        <w:t xml:space="preserve">文 件</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6"/>
        <w:spacing w:line="360" w:lineRule="auto"/>
        <w:rPr>
          <w:rFonts w:hint="eastAsia" w:eastAsia="宋体"/>
          <w:b/>
          <w:color w:val="000000" w:themeColor="text1"/>
          <w:sz w:val="32"/>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采购编号：</w:t>
      </w:r>
      <w:r>
        <w:rPr>
          <w:rFonts w:hint="eastAsia"/>
          <w:color w:val="000000" w:themeColor="text1"/>
          <w:sz w:val="30"/>
          <w:highlight w:val="none"/>
          <w:lang w:eastAsia="zh-CN"/>
          <w14:textFill>
            <w14:solidFill>
              <w14:schemeClr w14:val="tx1"/>
            </w14:solidFill>
          </w14:textFill>
        </w:rPr>
        <w:t xml:space="preserve">JSZC-320500-CCCC-C2026-0022</w:t>
      </w:r>
      <w:r/>
    </w:p>
    <w:p>
      <w:pPr>
        <w:ind w:firstLine="1606"/>
        <w:spacing w:line="360" w:lineRule="auto"/>
        <w:rPr>
          <w:rFonts w:hint="eastAsia" w:eastAsia="宋体"/>
          <w:color w:val="000000" w:themeColor="text1"/>
          <w:sz w:val="30"/>
          <w:szCs w:val="30"/>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采购人：</w:t>
      </w:r>
      <w:r>
        <w:rPr>
          <w:rFonts w:hint="eastAsia"/>
          <w:color w:val="000000" w:themeColor="text1"/>
          <w:sz w:val="30"/>
          <w:szCs w:val="30"/>
          <w:highlight w:val="none"/>
          <w:lang w:eastAsia="zh-CN"/>
          <w14:textFill>
            <w14:solidFill>
              <w14:schemeClr w14:val="tx1"/>
            </w14:solidFill>
          </w14:textFill>
        </w:rPr>
        <w:t xml:space="preserve">苏州市拙政园管理处（苏州市园林博物馆）</w:t>
      </w:r>
      <w:r/>
    </w:p>
    <w:p>
      <w:pPr>
        <w:ind w:left="1260" w:firstLine="305"/>
        <w:spacing w:line="360" w:lineRule="auto"/>
        <w:rPr>
          <w:rFonts w:hint="eastAsia" w:eastAsia="宋体"/>
          <w:color w:val="000000" w:themeColor="text1"/>
          <w:sz w:val="30"/>
          <w:szCs w:val="30"/>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采购内容</w:t>
      </w:r>
      <w:r>
        <w:rPr>
          <w:rFonts w:hint="eastAsia"/>
          <w:color w:val="000000" w:themeColor="text1"/>
          <w:sz w:val="30"/>
          <w:szCs w:val="30"/>
          <w:highlight w:val="none"/>
          <w14:textFill>
            <w14:solidFill>
              <w14:schemeClr w14:val="tx1"/>
            </w14:solidFill>
          </w14:textFill>
        </w:rPr>
        <w:t xml:space="preserve">：</w:t>
      </w:r>
      <w:r>
        <w:rPr>
          <w:rFonts w:hint="eastAsia"/>
          <w:color w:val="000000" w:themeColor="text1"/>
          <w:sz w:val="30"/>
          <w:szCs w:val="30"/>
          <w:highlight w:val="none"/>
          <w:lang w:eastAsia="zh-CN"/>
          <w14:textFill>
            <w14:solidFill>
              <w14:schemeClr w14:val="tx1"/>
            </w14:solidFill>
          </w14:textFill>
        </w:rPr>
        <w:t xml:space="preserve">东园城墙遗址基础设施提升工程</w:t>
      </w:r>
      <w:r/>
    </w:p>
    <w:p>
      <w:pPr>
        <w:ind w:firstLine="1606"/>
        <w:spacing w:line="360" w:lineRule="auto"/>
        <w:rPr>
          <w:rFonts w:hint="eastAsia" w:eastAsia="宋体"/>
          <w:b/>
          <w:color w:val="000000" w:themeColor="text1"/>
          <w:sz w:val="32"/>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采购类别：</w:t>
      </w:r>
      <w:r>
        <w:rPr>
          <w:rFonts w:hint="eastAsia"/>
          <w:color w:val="000000" w:themeColor="text1"/>
          <w:sz w:val="30"/>
          <w:highlight w:val="none"/>
          <w:lang w:eastAsia="zh-CN"/>
          <w14:textFill>
            <w14:solidFill>
              <w14:schemeClr w14:val="tx1"/>
            </w14:solidFill>
          </w14:textFill>
        </w:rPr>
        <w:t xml:space="preserve">工程类</w:t>
      </w:r>
      <w:r/>
    </w:p>
    <w:p>
      <w:pPr>
        <w:spacing w:line="360" w:lineRule="auto"/>
        <w:rPr>
          <w:b/>
          <w:color w:val="000000" w:themeColor="text1"/>
          <w:spacing w:val="-26"/>
          <w:highlight w:val="none"/>
          <w14:textFill>
            <w14:solidFill>
              <w14:schemeClr w14:val="tx1"/>
            </w14:solidFill>
          </w14:textFill>
        </w:rPr>
      </w:pPr>
      <w:r>
        <w:rPr>
          <w:b/>
          <w:color w:val="000000" w:themeColor="text1"/>
          <w:spacing w:val="-26"/>
          <w:highlight w:val="none"/>
          <w14:textFill>
            <w14:solidFill>
              <w14:schemeClr w14:val="tx1"/>
            </w14:solidFill>
          </w14:textFill>
        </w:rPr>
      </w:r>
      <w:r/>
    </w:p>
    <w:p>
      <w:pPr>
        <w:spacing w:line="360" w:lineRule="auto"/>
        <w:rPr>
          <w:b/>
          <w:color w:val="000000" w:themeColor="text1"/>
          <w:spacing w:val="-26"/>
          <w:highlight w:val="none"/>
          <w14:textFill>
            <w14:solidFill>
              <w14:schemeClr w14:val="tx1"/>
            </w14:solidFill>
          </w14:textFill>
        </w:rPr>
      </w:pPr>
      <w:r>
        <w:rPr>
          <w:b/>
          <w:color w:val="000000" w:themeColor="text1"/>
          <w:spacing w:val="-26"/>
          <w:highlight w:val="none"/>
          <w14:textFill>
            <w14:solidFill>
              <w14:schemeClr w14:val="tx1"/>
            </w14:solidFill>
          </w14:textFill>
        </w:rPr>
      </w:r>
      <w:r/>
    </w:p>
    <w:p>
      <w:pPr>
        <w:spacing w:line="360" w:lineRule="auto"/>
        <w:rPr>
          <w:b/>
          <w:color w:val="000000" w:themeColor="text1"/>
          <w:spacing w:val="-26"/>
          <w:highlight w:val="none"/>
          <w14:textFill>
            <w14:solidFill>
              <w14:schemeClr w14:val="tx1"/>
            </w14:solidFill>
          </w14:textFill>
        </w:rPr>
      </w:pPr>
      <w:r>
        <w:rPr>
          <w:b/>
          <w:color w:val="000000" w:themeColor="text1"/>
          <w:spacing w:val="-26"/>
          <w:highlight w:val="none"/>
          <w14:textFill>
            <w14:solidFill>
              <w14:schemeClr w14:val="tx1"/>
            </w14:solidFill>
          </w14:textFill>
        </w:rPr>
      </w:r>
      <w:r/>
    </w:p>
    <w:p>
      <w:pPr>
        <w:spacing w:line="360" w:lineRule="auto"/>
        <w:rPr>
          <w:b/>
          <w:color w:val="000000" w:themeColor="text1"/>
          <w:spacing w:val="-26"/>
          <w:highlight w:val="none"/>
          <w14:textFill>
            <w14:solidFill>
              <w14:schemeClr w14:val="tx1"/>
            </w14:solidFill>
          </w14:textFill>
        </w:rPr>
      </w:pPr>
      <w:r>
        <w:rPr>
          <w:b/>
          <w:color w:val="000000" w:themeColor="text1"/>
          <w:spacing w:val="-26"/>
          <w:highlight w:val="none"/>
          <w14:textFill>
            <w14:solidFill>
              <w14:schemeClr w14:val="tx1"/>
            </w14:solidFill>
          </w14:textFill>
        </w:rPr>
      </w:r>
      <w:r/>
    </w:p>
    <w:p>
      <w:pPr>
        <w:spacing w:line="360" w:lineRule="auto"/>
        <w:rPr>
          <w:b/>
          <w:color w:val="000000" w:themeColor="text1"/>
          <w:spacing w:val="-26"/>
          <w:highlight w:val="none"/>
          <w14:textFill>
            <w14:solidFill>
              <w14:schemeClr w14:val="tx1"/>
            </w14:solidFill>
          </w14:textFill>
        </w:rPr>
      </w:pPr>
      <w:r>
        <w:rPr>
          <w:b/>
          <w:color w:val="000000" w:themeColor="text1"/>
          <w:spacing w:val="-26"/>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1637665" cy="17138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638262" cy="1714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134.9pt;mso-wrap-distance-left:0.0pt;mso-wrap-distance-top:0.0pt;mso-wrap-distance-right:0.0pt;mso-wrap-distance-bottom:0.0pt;" stroked="f">
                <v:path textboxrect="0,0,0,0"/>
                <v:imagedata r:id="rId11" o:title=""/>
              </v:shape>
            </w:pict>
          </mc:Fallback>
        </mc:AlternateContent>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bookmarkStart w:id="12" w:name="_GoBack"/>
      <w:r/>
      <w:bookmarkEnd w:id="12"/>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              </w:t>
      </w:r>
      <w:r>
        <w:rPr>
          <w:rFonts w:hint="eastAsia" w:ascii="宋体" w:hAnsi="宋体"/>
          <w:b/>
          <w:color w:val="000000" w:themeColor="text1"/>
          <w:sz w:val="32"/>
          <w:highlight w:val="none"/>
          <w:lang w:val="en-US" w:eastAsia="zh-CN"/>
          <w14:textFill>
            <w14:solidFill>
              <w14:schemeClr w14:val="tx1"/>
            </w14:solidFill>
          </w14:textFill>
        </w:rPr>
        <w:t xml:space="preserve">  </w:t>
      </w:r>
      <w:r>
        <w:rPr>
          <w:rFonts w:hint="eastAsia" w:ascii="宋体" w:hAnsi="宋体"/>
          <w:b/>
          <w:color w:val="000000" w:themeColor="text1"/>
          <w:sz w:val="32"/>
          <w:highlight w:val="none"/>
          <w14:textFill>
            <w14:solidFill>
              <w14:schemeClr w14:val="tx1"/>
            </w14:solidFill>
          </w14:textFill>
        </w:rPr>
        <w:t xml:space="preserve">苏州市永诚建设咨询有限公司</w:t>
      </w:r>
      <w:r/>
    </w:p>
    <w:p>
      <w:pPr>
        <w:rPr>
          <w:rFonts w:ascii="黑体" w:hAnsi="宋体" w:eastAsia="黑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                    </w:t>
      </w:r>
      <w:r>
        <w:rPr>
          <w:rFonts w:hint="eastAsia" w:ascii="宋体" w:hAnsi="宋体"/>
          <w:b/>
          <w:color w:val="000000" w:themeColor="text1"/>
          <w:sz w:val="32"/>
          <w:highlight w:val="none"/>
          <w:lang w:val="en-US" w:eastAsia="zh-CN"/>
          <w14:textFill>
            <w14:solidFill>
              <w14:schemeClr w14:val="tx1"/>
            </w14:solidFill>
          </w14:textFill>
        </w:rPr>
        <w:t xml:space="preserve">  </w:t>
      </w:r>
      <w:r>
        <w:rPr>
          <w:rFonts w:hint="eastAsia" w:ascii="宋体" w:hAnsi="宋体"/>
          <w:b/>
          <w:color w:val="000000" w:themeColor="text1"/>
          <w:sz w:val="32"/>
          <w:highlight w:val="none"/>
          <w14:textFill>
            <w14:solidFill>
              <w14:schemeClr w14:val="tx1"/>
            </w14:solidFill>
          </w14:textFill>
        </w:rPr>
        <w:t xml:space="preserve">二○二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七</w:t>
      </w:r>
      <w:r>
        <w:rPr>
          <w:rFonts w:hint="eastAsia" w:ascii="宋体" w:hAnsi="宋体"/>
          <w:b/>
          <w:color w:val="000000" w:themeColor="text1"/>
          <w:sz w:val="32"/>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一、磋商采购公告</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二、</w:t>
      </w:r>
      <w:r>
        <w:rPr>
          <w:color w:val="000000" w:themeColor="text1"/>
          <w:sz w:val="28"/>
          <w:szCs w:val="28"/>
          <w:highlight w:val="none"/>
          <w14:textFill>
            <w14:solidFill>
              <w14:schemeClr w14:val="tx1"/>
            </w14:solidFill>
          </w14:textFill>
        </w:rPr>
        <w:t xml:space="preserve">磋商须知</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三、采购内容</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四、评审方法及评分标准</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五、合同主要条款及格式</w:t>
      </w:r>
      <w:r/>
    </w:p>
    <w:p>
      <w:pPr>
        <w:jc w:val="lef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六、磋商响应文件格式</w:t>
      </w:r>
      <w:r/>
    </w:p>
    <w:p>
      <w:pPr>
        <w:tabs>
          <w:tab w:val="left" w:pos="315" w:leader="none"/>
          <w:tab w:val="center" w:pos="4153" w:leader="none"/>
        </w:tabs>
        <w:rPr>
          <w:rFonts w:ascii="黑体" w:eastAsia="黑体"/>
          <w:b/>
          <w:color w:val="000000" w:themeColor="text1"/>
          <w:sz w:val="28"/>
          <w:szCs w:val="28"/>
          <w:highlight w:val="none"/>
          <w14:textFill>
            <w14:solidFill>
              <w14:schemeClr w14:val="tx1"/>
            </w14:solidFill>
          </w14:textFill>
        </w:rPr>
      </w:pPr>
      <w:r>
        <w:rPr>
          <w:rFonts w:ascii="黑体" w:eastAsia="黑体"/>
          <w:b/>
          <w:color w:val="000000" w:themeColor="text1"/>
          <w:sz w:val="28"/>
          <w:szCs w:val="28"/>
          <w:highlight w:val="none"/>
          <w14:textFill>
            <w14:solidFill>
              <w14:schemeClr w14:val="tx1"/>
            </w14:solidFill>
          </w14:textFill>
        </w:rPr>
      </w:r>
      <w:r/>
    </w:p>
    <w:p>
      <w:pPr>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rFonts w:hint="eastAsia"/>
          <w:color w:val="000000" w:themeColor="text1"/>
          <w:sz w:val="32"/>
          <w:szCs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br w:type="page" w:clear="all"/>
      </w:r>
      <w:bookmarkStart w:id="0" w:name="_Hlk121775257"/>
      <w:r>
        <w:rPr>
          <w:rFonts w:hint="eastAsia"/>
          <w:color w:val="000000" w:themeColor="text1"/>
          <w:sz w:val="32"/>
          <w:szCs w:val="32"/>
          <w:highlight w:val="none"/>
          <w14:textFill>
            <w14:solidFill>
              <w14:schemeClr w14:val="tx1"/>
            </w14:solidFill>
          </w14:textFill>
        </w:rPr>
        <w:t xml:space="preserve">一、磋商采购公告</w:t>
      </w:r>
      <w:bookmarkEnd w:id="0"/>
      <w:r/>
      <w:r/>
    </w:p>
    <w:p>
      <w:pPr>
        <w:spacing w:line="360" w:lineRule="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东园城墙遗址基础设施提升工程JSZC-320500-CCCC-C2026-0022</w:t>
      </w:r>
      <w:r>
        <w:rPr>
          <w:rFonts w:hint="eastAsia"/>
          <w:color w:val="000000" w:themeColor="text1"/>
          <w:highlight w:val="none"/>
          <w14:textFill>
            <w14:solidFill>
              <w14:schemeClr w14:val="tx1"/>
            </w14:solidFill>
          </w14:textFill>
        </w:rPr>
        <w:t xml:space="preserve"> 采购项目的潜在供应商应在苏采云系统 获取采购文件，并于</w:t>
      </w:r>
      <w:r>
        <w:rPr>
          <w:rFonts w:hint="eastAsia"/>
          <w:color w:val="000000" w:themeColor="text1"/>
          <w:highlight w:val="none"/>
          <w:lang w:eastAsia="zh-CN"/>
          <w14:textFill>
            <w14:solidFill>
              <w14:schemeClr w14:val="tx1"/>
            </w14:solidFill>
          </w14:textFill>
        </w:rPr>
        <w:t xml:space="preserve">2026-</w:t>
      </w:r>
      <w:r>
        <w:rPr>
          <w:rFonts w:hint="eastAsia"/>
          <w:color w:val="000000" w:themeColor="text1"/>
          <w:highlight w:val="none"/>
          <w:lang w:val="en-US" w:eastAsia="zh-CN"/>
          <w14:textFill>
            <w14:solidFill>
              <w14:schemeClr w14:val="tx1"/>
            </w14:solidFill>
          </w14:textFill>
        </w:rPr>
        <w:t xml:space="preserve">07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13:30 （北京时间）前提交响应文件。</w:t>
      </w:r>
      <w:r/>
    </w:p>
    <w:p>
      <w:pPr>
        <w:numPr>
          <w:ilvl w:val="0"/>
          <w:numId w:val="1"/>
        </w:numPr>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项目基本情况</w:t>
      </w:r>
      <w:r/>
    </w:p>
    <w:p>
      <w:pPr>
        <w:numPr>
          <w:ilvl w:val="0"/>
          <w:numId w:val="0"/>
        </w:numPr>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（一）项目编号：</w:t>
      </w:r>
      <w:r>
        <w:rPr>
          <w:rFonts w:hint="eastAsia"/>
          <w:color w:val="000000" w:themeColor="text1"/>
          <w:highlight w:val="none"/>
          <w:lang w:eastAsia="zh-CN"/>
          <w14:textFill>
            <w14:solidFill>
              <w14:schemeClr w14:val="tx1"/>
            </w14:solidFill>
          </w14:textFill>
        </w:rPr>
        <w:t xml:space="preserve">JSZC-320500-CCCC-C2026-0022</w:t>
      </w:r>
      <w:r/>
    </w:p>
    <w:p>
      <w:pPr>
        <w:spacing w:line="240" w:lineRule="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东园城墙遗址基础设施提升工程</w:t>
      </w:r>
      <w:r/>
    </w:p>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采购方式：竞争性磋商</w:t>
      </w:r>
      <w:r/>
    </w:p>
    <w:p>
      <w:pP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cs="宋体"/>
          <w:color w:val="000000" w:themeColor="text1"/>
          <w:sz w:val="21"/>
          <w:szCs w:val="21"/>
          <w:highlight w:val="none"/>
          <w:lang w:eastAsia="zh-CN"/>
          <w14:textFill>
            <w14:solidFill>
              <w14:schemeClr w14:val="tx1"/>
            </w14:solidFill>
          </w14:textFill>
        </w:rPr>
        <w:t xml:space="preserve">人民币贰佰玖拾壹万零肆佰叁拾陆元贰角叁分（￥2910436.23元）</w:t>
      </w:r>
      <w:r/>
    </w:p>
    <w:p>
      <w:pP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cs="宋体"/>
          <w:color w:val="000000" w:themeColor="text1"/>
          <w:sz w:val="21"/>
          <w:szCs w:val="21"/>
          <w:highlight w:val="none"/>
          <w:lang w:eastAsia="zh-CN"/>
          <w14:textFill>
            <w14:solidFill>
              <w14:schemeClr w14:val="tx1"/>
            </w14:solidFill>
          </w14:textFill>
        </w:rPr>
        <w:t xml:space="preserve">人民币贰佰玖拾壹万零肆佰叁拾陆元贰角叁分（￥2910436.23元）</w:t>
      </w:r>
      <w:r/>
    </w:p>
    <w:p>
      <w:pP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p>
    <w:p>
      <w:pPr>
        <w:spacing w:line="360" w:lineRule="auto"/>
        <w:rPr>
          <w:rFonts w:hint="eastAsia" w:ascii="宋体" w:hAnsi="宋体" w:eastAsia="宋体" w:cs="宋体"/>
          <w:color w:val="000000" w:themeColor="text1"/>
          <w:highlight w:val="none"/>
          <w:lang w:val="en-US" w:eastAsia="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en-US"/>
          <w14:textFill>
            <w14:solidFill>
              <w14:schemeClr w14:val="tx1"/>
            </w14:solidFill>
          </w14:textFill>
        </w:rPr>
        <w:t xml:space="preserve">工程概况：</w:t>
      </w:r>
      <w:r>
        <w:rPr>
          <w:rFonts w:hint="eastAsia" w:ascii="宋体" w:hAnsi="宋体" w:cs="宋体"/>
          <w:color w:val="000000" w:themeColor="text1"/>
          <w:highlight w:val="none"/>
          <w:lang w:val="en-US" w:eastAsia="zh-CN"/>
          <w14:textFill>
            <w14:solidFill>
              <w14:schemeClr w14:val="tx1"/>
            </w14:solidFill>
          </w14:textFill>
        </w:rPr>
        <w:t xml:space="preserve">对东园内娄门至相门区域存在原土城墙遗址，遗址区域游步道沿线基础沉降、铺地风化破损、石栏杆倾斜、护坡破损、绿化杂乱黄土裸露等情况整体改造，整修铺地提升绿化</w:t>
      </w:r>
      <w:r>
        <w:rPr>
          <w:rFonts w:hint="eastAsia" w:ascii="宋体" w:hAnsi="宋体" w:eastAsia="宋体" w:cs="宋体"/>
          <w:color w:val="000000" w:themeColor="text1"/>
          <w:highlight w:val="none"/>
          <w:lang w:val="en-US" w:eastAsia="en-US"/>
          <w14:textFill>
            <w14:solidFill>
              <w14:schemeClr w14:val="tx1"/>
            </w14:solidFill>
          </w14:textFill>
        </w:rPr>
        <w:t xml:space="preserve">。</w:t>
      </w:r>
      <w:r/>
    </w:p>
    <w:p>
      <w:pPr>
        <w:spacing w:line="360" w:lineRule="auto"/>
        <w:rPr>
          <w:rFonts w:hint="eastAsia" w:ascii="宋体" w:hAnsi="宋体" w:eastAsia="宋体" w:cs="宋体"/>
          <w:color w:val="000000" w:themeColor="text1"/>
          <w:highlight w:val="none"/>
          <w:lang w:val="en-US" w:eastAsia="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en-US"/>
          <w14:textFill>
            <w14:solidFill>
              <w14:schemeClr w14:val="tx1"/>
            </w14:solidFill>
          </w14:textFill>
        </w:rPr>
        <w:t xml:space="preserve">工程地点：本工程位于苏州市</w:t>
      </w:r>
      <w:r>
        <w:rPr>
          <w:rFonts w:hint="eastAsia" w:ascii="宋体" w:hAnsi="宋体" w:cs="宋体"/>
          <w:color w:val="000000" w:themeColor="text1"/>
          <w:highlight w:val="none"/>
          <w:lang w:val="en-US" w:eastAsia="zh-CN"/>
          <w14:textFill>
            <w14:solidFill>
              <w14:schemeClr w14:val="tx1"/>
            </w14:solidFill>
          </w14:textFill>
        </w:rPr>
        <w:t xml:space="preserve">东</w:t>
      </w:r>
      <w:r>
        <w:rPr>
          <w:rFonts w:hint="eastAsia" w:ascii="宋体" w:hAnsi="宋体" w:eastAsia="宋体" w:cs="宋体"/>
          <w:color w:val="000000" w:themeColor="text1"/>
          <w:highlight w:val="none"/>
          <w:lang w:val="en-US" w:eastAsia="en-US"/>
          <w14:textFill>
            <w14:solidFill>
              <w14:schemeClr w14:val="tx1"/>
            </w14:solidFill>
          </w14:textFill>
        </w:rPr>
        <w:t xml:space="preserve">园区域内。</w:t>
      </w:r>
      <w:r/>
    </w:p>
    <w:p>
      <w:pPr>
        <w:spacing w:line="360" w:lineRule="auto"/>
        <w:rPr>
          <w:rFonts w:hint="eastAsia" w:ascii="宋体" w:hAnsi="宋体" w:eastAsia="宋体" w:cs="宋体"/>
          <w:color w:val="000000" w:themeColor="text1"/>
          <w:highlight w:val="none"/>
          <w:lang w:val="en-US" w:eastAsia="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en-US"/>
          <w14:textFill>
            <w14:solidFill>
              <w14:schemeClr w14:val="tx1"/>
            </w14:solidFill>
          </w14:textFill>
        </w:rPr>
        <w:t xml:space="preserve">施工工期：</w:t>
      </w:r>
      <w:r>
        <w:rPr>
          <w:rFonts w:hint="eastAsia" w:ascii="宋体" w:hAnsi="宋体" w:cs="宋体"/>
          <w:color w:val="000000" w:themeColor="text1"/>
          <w:highlight w:val="none"/>
          <w:lang w:val="en-US" w:eastAsia="zh-CN"/>
          <w14:textFill>
            <w14:solidFill>
              <w14:schemeClr w14:val="tx1"/>
            </w14:solidFill>
          </w14:textFill>
        </w:rPr>
        <w:t xml:space="preserve">90日历天</w:t>
      </w:r>
      <w:r>
        <w:rPr>
          <w:rFonts w:hint="eastAsia" w:ascii="宋体" w:hAnsi="宋体" w:eastAsia="宋体" w:cs="宋体"/>
          <w:color w:val="000000" w:themeColor="text1"/>
          <w:highlight w:val="none"/>
          <w:lang w:val="en-US" w:eastAsia="en-US"/>
          <w14:textFill>
            <w14:solidFill>
              <w14:schemeClr w14:val="tx1"/>
            </w14:solidFill>
          </w14:textFill>
        </w:rPr>
        <w:t xml:space="preserve">， 以实际开工时间为准。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资金来源：财政资金。</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项目质量要求：合格。</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项目承包方式：包工包料。</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工程报价方式：固定综合单价。</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验收标准：根据现行国家、行业相关技术、施工及验收标准、规范规程及采购需求进行验收。 </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9、质保期：1年</w:t>
      </w:r>
      <w:r/>
    </w:p>
    <w:p>
      <w:pPr>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本项目（是/否）接受联合体：否</w:t>
      </w:r>
      <w:r>
        <w:rPr>
          <w:color w:val="000000" w:themeColor="text1"/>
          <w:highlight w:val="none"/>
          <w14:textFill>
            <w14:solidFill>
              <w14:schemeClr w14:val="tx1"/>
            </w14:solidFill>
          </w14:textFill>
        </w:rPr>
        <w:t xml:space="preserve"> </w:t>
      </w:r>
      <w:r/>
    </w:p>
    <w:p>
      <w:pPr>
        <w:pStyle w:val="838"/>
        <w:spacing w:line="360" w:lineRule="auto"/>
        <w:shd w:val="clear" w:color="auto" w:fill="ffffff"/>
        <w:rPr>
          <w:rFonts w:ascii="Times New Roman" w:eastAsia="宋体"/>
          <w:b/>
          <w:color w:val="000000" w:themeColor="text1"/>
          <w:sz w:val="21"/>
          <w:highlight w:val="none"/>
          <w14:textFill>
            <w14:solidFill>
              <w14:schemeClr w14:val="tx1"/>
            </w14:solidFill>
          </w14:textFill>
        </w:rPr>
      </w:pPr>
      <w:r>
        <w:rPr>
          <w:rFonts w:hint="eastAsia" w:ascii="Times New Roman" w:eastAsia="宋体"/>
          <w:b/>
          <w:color w:val="000000" w:themeColor="text1"/>
          <w:sz w:val="21"/>
          <w:highlight w:val="none"/>
          <w14:textFill>
            <w14:solidFill>
              <w14:schemeClr w14:val="tx1"/>
            </w14:solidFill>
          </w14:textFill>
        </w:rPr>
        <w:t xml:space="preserve">二、申请人的资格要求：</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（一）满足《中华人民共和国政府采购法》第二十二条规定；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具有独立承担民事责任的能力;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具有良好的商业信誉和健全的财务会计制度;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具有履行合同所必备的设备和专业技术能力;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有依法缴纳税收和社会保障基金的良好记录;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参加政府采购活动前三年内，在经营活动中没有重大违法记录；</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法律、行政法规规定的其他条件。</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本项目专门面向中小企业采购。所属行业为</w:t>
      </w:r>
      <w:r>
        <w:rPr>
          <w:color w:val="000000" w:themeColor="text1"/>
          <w:spacing w:val="7"/>
          <w:highlight w:val="non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w:t>
      </w:r>
      <w:r/>
    </w:p>
    <w:p>
      <w:pPr>
        <w:numPr>
          <w:ilvl w:val="0"/>
          <w:numId w:val="2"/>
        </w:num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本项目的特定资格要求：</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具有</w:t>
      </w:r>
      <w:r>
        <w:rPr>
          <w:rFonts w:hint="default" w:ascii="宋体" w:hAnsi="宋体" w:cs="宋体"/>
          <w:color w:val="000000" w:themeColor="text1"/>
          <w:highlight w:val="none"/>
          <w:lang w:val="en-US" w:eastAsia="zh-CN"/>
          <w14:textFill>
            <w14:solidFill>
              <w14:schemeClr w14:val="tx1"/>
            </w14:solidFill>
          </w14:textFill>
        </w:rPr>
        <w:t xml:space="preserve">古建筑工程专业承包资质</w:t>
      </w:r>
      <w:r>
        <w:rPr>
          <w:rFonts w:hint="eastAsia" w:ascii="宋体" w:hAnsi="宋体" w:cs="宋体"/>
          <w:color w:val="000000" w:themeColor="text1"/>
          <w:highlight w:val="none"/>
          <w:lang w:val="en-US" w:eastAsia="zh-CN"/>
          <w14:textFill>
            <w14:solidFill>
              <w14:schemeClr w14:val="tx1"/>
            </w14:solidFill>
          </w14:textFill>
        </w:rPr>
        <w:t xml:space="preserve">二</w:t>
      </w:r>
      <w:r>
        <w:rPr>
          <w:rFonts w:hint="default" w:ascii="宋体" w:hAnsi="宋体" w:cs="宋体"/>
          <w:color w:val="000000" w:themeColor="text1"/>
          <w:highlight w:val="none"/>
          <w:lang w:val="en-US" w:eastAsia="zh-CN"/>
          <w14:textFill>
            <w14:solidFill>
              <w14:schemeClr w14:val="tx1"/>
            </w14:solidFill>
          </w14:textFill>
        </w:rPr>
        <w:t xml:space="preserve">级及以上且同时具备文物保护施工二级及以上资质</w:t>
      </w:r>
      <w:r>
        <w:rPr>
          <w:rFonts w:hint="eastAsia" w:ascii="宋体" w:hAnsi="宋体" w:eastAsia="宋体" w:cs="宋体"/>
          <w:color w:val="000000" w:themeColor="text1"/>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具有有效期内的安全生产许可证。</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拟选派项目经理具备</w:t>
      </w:r>
      <w:r>
        <w:rPr>
          <w:rFonts w:hint="default" w:ascii="宋体" w:hAnsi="宋体" w:cs="宋体"/>
          <w:color w:val="000000" w:themeColor="text1"/>
          <w:highlight w:val="none"/>
          <w:lang w:val="en-US" w:eastAsia="zh-CN"/>
          <w14:textFill>
            <w14:solidFill>
              <w14:schemeClr w14:val="tx1"/>
            </w14:solidFill>
          </w14:textFill>
        </w:rPr>
        <w:t xml:space="preserve">建筑工程专业二级及以上建造师</w:t>
      </w:r>
      <w:r>
        <w:rPr>
          <w:rFonts w:hint="eastAsia" w:ascii="宋体" w:hAnsi="宋体" w:eastAsia="宋体" w:cs="宋体"/>
          <w:color w:val="000000" w:themeColor="text1"/>
          <w:highlight w:val="none"/>
          <w:lang w:val="en-US" w:eastAsia="zh-CN"/>
          <w14:textFill>
            <w14:solidFill>
              <w14:schemeClr w14:val="tx1"/>
            </w14:solidFill>
          </w14:textFill>
        </w:rPr>
        <w:t xml:space="preserve">注册证书并具备项目经理安全生产考核合格证（B 类）证书，且项目负责人除满足资格条件外还必须满足以下条件：①项目负责人不得同时在两个或者两个以上单位受聘或者执业。②项目负责人是非变更后无在建工程，或项目负责人是变更后无在建工程（必须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 6 个月），或因非承包方原因致使工程项目停工或因故不能按期开工、 且已办理了项目负责人相关手续。</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注：本项目不允许转包、分包，且响应单位不得为：①为采购人不具有独立法人资格的附属机构（单位）； ②为本采购项目的监理人、代建人、项目管理人， 以及为本采购项目提供招标代理、设计服务的；③与本采购项目的监理人、代建人、招标代理机构同为一个法定代表人的，或者相互控股、参股的；④与采购人存在 利害关系可能影响</w:t>
      </w:r>
      <w:r>
        <w:rPr>
          <w:rFonts w:hint="eastAsia" w:ascii="宋体" w:hAnsi="宋体" w:cs="宋体"/>
          <w:color w:val="000000" w:themeColor="text1"/>
          <w:highlight w:val="none"/>
          <w:lang w:val="en-US" w:eastAsia="zh-CN"/>
          <w14:textFill>
            <w14:solidFill>
              <w14:schemeClr w14:val="tx1"/>
            </w14:solidFill>
          </w14:textFill>
        </w:rPr>
        <w:t xml:space="preserve">招标（采购）公正性</w:t>
      </w:r>
      <w:r>
        <w:rPr>
          <w:rFonts w:hint="eastAsia" w:ascii="宋体" w:hAnsi="宋体" w:eastAsia="宋体" w:cs="宋体"/>
          <w:color w:val="000000" w:themeColor="text1"/>
          <w:highlight w:val="none"/>
          <w:lang w:val="en-US" w:eastAsia="zh-CN"/>
          <w14:textFill>
            <w14:solidFill>
              <w14:schemeClr w14:val="tx1"/>
            </w14:solidFill>
          </w14:textFill>
        </w:rPr>
        <w:t xml:space="preserve">的。</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val="en-US" w:eastAsia="zh-CN"/>
          <w14:textFill>
            <w14:solidFill>
              <w14:schemeClr w14:val="tx1"/>
            </w14:solidFill>
          </w14:textFill>
        </w:rPr>
        <w:t xml:space="preserve">为本项目提供整体设计、规范编制或者项目管理、监理、监测等服务的供应商，不得再参加该采购项目的其他采购活动。</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未被列入失信被执行人、重大税收违法案件当事人名单、政府采购严重失信行为记录名单；</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38"/>
        <w:spacing w:line="360" w:lineRule="auto"/>
        <w:shd w:val="clear" w:color="auto" w:fill="ffffff"/>
        <w:rPr>
          <w:rFonts w:ascii="Times New Roman" w:eastAsia="宋体"/>
          <w:b/>
          <w:color w:val="000000" w:themeColor="text1"/>
          <w:sz w:val="21"/>
          <w:highlight w:val="none"/>
          <w14:textFill>
            <w14:solidFill>
              <w14:schemeClr w14:val="tx1"/>
            </w14:solidFill>
          </w14:textFill>
        </w:rPr>
      </w:pPr>
      <w:r>
        <w:rPr>
          <w:rFonts w:hint="eastAsia" w:ascii="Times New Roman" w:eastAsia="宋体"/>
          <w:b/>
          <w:color w:val="000000" w:themeColor="text1"/>
          <w:sz w:val="21"/>
          <w:highlight w:val="none"/>
          <w14:textFill>
            <w14:solidFill>
              <w14:schemeClr w14:val="tx1"/>
            </w14:solidFill>
          </w14:textFill>
        </w:rPr>
        <w:t xml:space="preserve">三、获取采购文件:</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时间：自磋商文件公告发布之日起5个工作日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地点：苏采云系统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方式：插入CA证书登陆“苏采云”系统后选择具体项目，点击“我要参与”并签章提交《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供应商确认函》日期视同为依法获取</w:t>
      </w:r>
      <w:r>
        <w:rPr>
          <w:rFonts w:hint="eastAsia"/>
          <w:color w:val="000000" w:themeColor="text1"/>
          <w:highlight w:val="none"/>
          <w:lang w:eastAsia="zh-CN"/>
          <w14:textFill>
            <w14:solidFill>
              <w14:schemeClr w14:val="tx1"/>
            </w14:solidFill>
          </w14:textFill>
        </w:rPr>
        <w:t xml:space="preserve">招标（采购）文件</w:t>
      </w:r>
      <w:r>
        <w:rPr>
          <w:rFonts w:hint="eastAsia"/>
          <w:color w:val="000000" w:themeColor="text1"/>
          <w:highlight w:val="none"/>
          <w14:textFill>
            <w14:solidFill>
              <w14:schemeClr w14:val="tx1"/>
            </w14:solidFill>
          </w14:textFill>
        </w:rPr>
        <w:t xml:space="preserve">日期。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售价：免费</w:t>
      </w:r>
      <w:r/>
    </w:p>
    <w:p>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四、响应文件提交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截止时间：</w:t>
      </w:r>
      <w:r>
        <w:rPr>
          <w:rFonts w:hint="eastAsia"/>
          <w:color w:val="000000" w:themeColor="text1"/>
          <w:highlight w:val="none"/>
          <w:lang w:eastAsia="zh-CN"/>
          <w14:textFill>
            <w14:solidFill>
              <w14:schemeClr w14:val="tx1"/>
            </w14:solidFill>
          </w14:textFill>
        </w:rPr>
        <w:t xml:space="preserve">2026-</w:t>
      </w:r>
      <w:r>
        <w:rPr>
          <w:rFonts w:hint="eastAsia"/>
          <w:color w:val="000000" w:themeColor="text1"/>
          <w:highlight w:val="none"/>
          <w:lang w:val="en-US" w:eastAsia="zh-CN"/>
          <w14:textFill>
            <w14:solidFill>
              <w14:schemeClr w14:val="tx1"/>
            </w14:solidFill>
          </w14:textFill>
        </w:rPr>
        <w:t xml:space="preserve">07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:30 （北京时间）</w:t>
      </w:r>
      <w:r/>
    </w:p>
    <w:p>
      <w:pPr>
        <w:spacing w:line="360" w:lineRule="auto"/>
        <w:rPr>
          <w:rFonts w:hint="eastAsia" w:ascii="宋体" w:hAnsi="宋体" w:cs="宋体"/>
          <w:color w:val="auto"/>
          <w:szCs w:val="21"/>
          <w:highlight w:val="none"/>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auto"/>
          <w:szCs w:val="21"/>
          <w:highlight w:val="none"/>
        </w:rPr>
        <w:t xml:space="preserve">苏采云</w:t>
      </w:r>
      <w:r>
        <w:rPr>
          <w:rFonts w:hint="eastAsia"/>
          <w:color w:val="000000" w:themeColor="text1"/>
          <w:highlight w:val="none"/>
          <w14:textFill>
            <w14:solidFill>
              <w14:schemeClr w14:val="tx1"/>
            </w14:solidFill>
          </w14:textFill>
        </w:rPr>
        <w:t xml:space="preserve">系统</w:t>
      </w:r>
      <w:r/>
    </w:p>
    <w:p>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五、开启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lang w:eastAsia="zh-CN"/>
          <w14:textFill>
            <w14:solidFill>
              <w14:schemeClr w14:val="tx1"/>
            </w14:solidFill>
          </w14:textFill>
        </w:rPr>
        <w:t xml:space="preserve">2026-</w:t>
      </w:r>
      <w:r>
        <w:rPr>
          <w:rFonts w:hint="eastAsia"/>
          <w:color w:val="000000" w:themeColor="text1"/>
          <w:highlight w:val="none"/>
          <w:lang w:val="en-US" w:eastAsia="zh-CN"/>
          <w14:textFill>
            <w14:solidFill>
              <w14:schemeClr w14:val="tx1"/>
            </w14:solidFill>
          </w14:textFill>
        </w:rPr>
        <w:t xml:space="preserve">07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13</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30（北京时间）</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地点：苏采云政府采购一体化平台开标大厅（网上不见面开标）</w:t>
      </w:r>
      <w:r/>
    </w:p>
    <w:p>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六、公告期限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 </w:t>
      </w:r>
      <w:r/>
    </w:p>
    <w:p>
      <w:pPr>
        <w:spacing w:line="360" w:lineRule="auto"/>
        <w:tabs>
          <w:tab w:val="left" w:pos="720"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七、其他补充事宜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1、本项目采用不见面开标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开启）</w:t>
      </w:r>
      <w:r>
        <w:rPr>
          <w:rFonts w:hint="eastAsia"/>
          <w:color w:val="000000" w:themeColor="text1"/>
          <w:highlight w:val="none"/>
          <w14:textFill>
            <w14:solidFill>
              <w14:schemeClr w14:val="tx1"/>
            </w14:solidFill>
          </w14:textFill>
        </w:rPr>
        <w:t xml:space="preserve">方式，</w:t>
      </w:r>
      <w:r>
        <w:rPr>
          <w:rFonts w:hint="eastAsia"/>
          <w:color w:val="000000" w:themeColor="text1"/>
          <w:highlight w:val="none"/>
          <w:lang w:eastAsia="zh-CN"/>
          <w14:textFill>
            <w14:solidFill>
              <w14:schemeClr w14:val="tx1"/>
            </w14:solidFill>
          </w14:textFill>
        </w:rPr>
        <w:t xml:space="preserve">响应人</w:t>
      </w:r>
      <w:r>
        <w:rPr>
          <w:rFonts w:hint="eastAsia"/>
          <w:color w:val="000000" w:themeColor="text1"/>
          <w:highlight w:val="none"/>
          <w14:textFill>
            <w14:solidFill>
              <w14:schemeClr w14:val="tx1"/>
            </w14:solidFill>
          </w14:textFill>
        </w:rPr>
        <w:t xml:space="preserve">无须到达开标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开启）</w:t>
      </w:r>
      <w:r>
        <w:rPr>
          <w:rFonts w:hint="eastAsia"/>
          <w:color w:val="000000" w:themeColor="text1"/>
          <w:highlight w:val="none"/>
          <w14:textFill>
            <w14:solidFill>
              <w14:schemeClr w14:val="tx1"/>
            </w14:solidFill>
          </w14:textFill>
        </w:rPr>
        <w:t xml:space="preserve">现场。</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2、各</w:t>
      </w:r>
      <w:r>
        <w:rPr>
          <w:rFonts w:hint="eastAsia"/>
          <w:color w:val="000000" w:themeColor="text1"/>
          <w:highlight w:val="none"/>
          <w:lang w:eastAsia="zh-CN"/>
          <w14:textFill>
            <w14:solidFill>
              <w14:schemeClr w14:val="tx1"/>
            </w14:solidFill>
          </w14:textFill>
        </w:rPr>
        <w:t xml:space="preserve">响应人</w:t>
      </w:r>
      <w:r>
        <w:rPr>
          <w:rFonts w:hint="eastAsia"/>
          <w:color w:val="000000" w:themeColor="text1"/>
          <w:highlight w:val="none"/>
          <w14:textFill>
            <w14:solidFill>
              <w14:schemeClr w14:val="tx1"/>
            </w14:solidFill>
          </w14:textFill>
        </w:rPr>
        <w:t xml:space="preserve">（供应商）应及时办理相关业务，为熟悉电子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流程预留必要准备时间。</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具体操作方法详见苏采云系统中的客户端使用说明和供应商《操作手册》。</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4、本次采购的有关信息将在以下网站上发布：</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4.1、中国政府采购网</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4.2、江苏政府采购网</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4.3、苏州市政府采购网</w:t>
      </w:r>
      <w:r/>
    </w:p>
    <w:p>
      <w:pPr>
        <w:ind w:left="0" w:right="0" w:firstLine="0"/>
        <w:jc w:val="both"/>
        <w:spacing w:before="0" w:after="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苏州市财政局政府采购监督电话：</w:t>
      </w:r>
      <w:r>
        <w:rPr>
          <w:rFonts w:ascii="Times New Roman" w:hAnsi="Times New Roman" w:eastAsia="Times New Roman" w:cs="Times New Roman"/>
          <w:color w:val="000000" w:themeColor="text1"/>
          <w:sz w:val="21"/>
          <w:highlight w:val="none"/>
          <w14:textFill>
            <w14:solidFill>
              <w14:schemeClr w14:val="tx1"/>
            </w14:solidFill>
          </w14:textFill>
        </w:rPr>
        <w:t xml:space="preserve">0512-68616651</w:t>
      </w:r>
      <w:r>
        <w:rPr>
          <w:rFonts w:ascii="宋体" w:hAnsi="宋体" w:eastAsia="宋体" w:cs="宋体"/>
          <w:color w:val="000000" w:themeColor="text1"/>
          <w:sz w:val="21"/>
          <w:highlight w:val="none"/>
          <w14:textFill>
            <w14:solidFill>
              <w14:schemeClr w14:val="tx1"/>
            </w14:solidFill>
          </w14:textFill>
        </w:rPr>
        <w:t xml:space="preserve">。</w:t>
      </w:r>
      <w:r/>
    </w:p>
    <w:p>
      <w:pPr>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八、凡对本次采购提出询问，请按以下方式联系。 </w:t>
      </w:r>
      <w:r/>
    </w:p>
    <w:p>
      <w:pPr>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1、采购人</w:t>
      </w:r>
      <w:r/>
    </w:p>
    <w:p>
      <w:pPr>
        <w:spacing w:line="360" w:lineRule="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单位名称：</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苏州市拙政园管理处（苏州市园林博物馆）</w:t>
      </w:r>
      <w:r/>
    </w:p>
    <w:p>
      <w:pPr>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地址：苏州市东北街 178 号</w:t>
      </w:r>
      <w:r/>
    </w:p>
    <w:p>
      <w:pPr>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邹强</w:t>
      </w:r>
      <w:r>
        <w:rPr>
          <w:rFonts w:hint="eastAsia"/>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联系电话：</w:t>
      </w:r>
      <w:r>
        <w:rPr>
          <w:color w:val="000000" w:themeColor="text1"/>
          <w:highlight w:val="none"/>
          <w14:textFill>
            <w14:solidFill>
              <w14:schemeClr w14:val="tx1"/>
            </w14:solidFill>
          </w14:textFill>
        </w:rPr>
        <w:t xml:space="preserve">0512-6</w:t>
      </w:r>
      <w:r>
        <w:rPr>
          <w:rFonts w:hint="eastAsia"/>
          <w:color w:val="000000" w:themeColor="text1"/>
          <w:highlight w:val="none"/>
          <w:lang w:val="en-US" w:eastAsia="zh-CN"/>
          <w14:textFill>
            <w14:solidFill>
              <w14:schemeClr w14:val="tx1"/>
            </w14:solidFill>
          </w14:textFill>
        </w:rPr>
        <w:t xml:space="preserve">7573590</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单位名称：苏州市永诚建设咨询有限公司</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地址：苏州市东吴北路221号7楼          邮编：215007</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联系电话：0512-69157588</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项目联系人：程能之、焦秀丽</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联系电话：0512-69157588-8</w:t>
      </w:r>
      <w:r>
        <w:rPr>
          <w:rFonts w:hint="eastAsia"/>
          <w:color w:val="000000" w:themeColor="text1"/>
          <w:highlight w:val="none"/>
          <w:lang w:val="en-US" w:eastAsia="zh-CN"/>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传真：0512-65268668</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苏州市永诚建设咨询有限公司</w:t>
      </w:r>
      <w:r/>
    </w:p>
    <w:p>
      <w:pPr>
        <w:spacing w:line="360" w:lineRule="auto"/>
        <w:rPr>
          <w:rFonts w:ascii="宋体" w:hAnsi="宋体"/>
          <w:b/>
          <w:color w:val="000000" w:themeColor="text1"/>
          <w:sz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 w:name="_Hlk121775411"/>
      <w:r/>
      <w:r/>
    </w:p>
    <w:p>
      <w:pPr>
        <w:jc w:val="center"/>
        <w:spacing w:line="400" w:lineRule="exact"/>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t xml:space="preserve">二、</w:t>
      </w:r>
      <w:r>
        <w:rPr>
          <w:rFonts w:hint="eastAsia" w:ascii="宋体" w:hAnsi="宋体"/>
          <w:b/>
          <w:color w:val="000000" w:themeColor="text1"/>
          <w:sz w:val="32"/>
          <w:highlight w:val="none"/>
          <w14:textFill>
            <w14:solidFill>
              <w14:schemeClr w14:val="tx1"/>
            </w14:solidFill>
          </w14:textFill>
        </w:rPr>
        <w:t xml:space="preserve">磋商须知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1总则</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1.1响应单位资格要求</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1.1.1详见采购公告中。</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1.1.2响应单位不得存在下列情形之一：</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（3）单位负责人为同一人或者存在直接控股、管理关系的不同供应商，不得参加同一合同项下的政府采购活动。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：第一章竞争性磋商公告规定接受联合体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的，联合体除应符合上述资格要求外，还应遵守以下规定：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（1）联合体各方应当向采购人提交联合体协议书，载明联合体各方承担的工作和义务，否则</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（2）联合体中有同类资质的供应商按照联合体分工承担相同工作的，应当按照资质等级较低的供应商确定资质等级。</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（3）联合体各方不得再单独参加或者与其他供应商另外组成联合体参加同一合同项下的政府采购活动，否则各相关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均无效。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（4）联合体各方应当共同与采购人签订采购合同，就采购合同约定的事项对采购人承担连带责任。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1.2分包</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w:t>
      </w:r>
      <w:r>
        <w:rPr>
          <w:rFonts w:ascii="Segoe UI Symbol" w:hAnsi="Segoe UI Symbol" w:cs="Segoe UI Symbol"/>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不允许分包 </w:t>
      </w:r>
      <w:r>
        <w:rPr>
          <w:color w:val="000000" w:themeColor="text1"/>
          <w:highlight w:val="none"/>
          <w14:textFill>
            <w14:solidFill>
              <w14:schemeClr w14:val="tx1"/>
            </w14:solidFill>
          </w14:textFill>
        </w:rPr>
        <w:t xml:space="preserve">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□允许分包，分包要求：/</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1.3磋商费用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1.3.2本次磋商项目由苏州市永诚建设咨询有限公司代理，不收取磋商文件费用。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1.3.3代理服务费：</w:t>
      </w:r>
      <w:r>
        <w:rPr>
          <w:rFonts w:hint="eastAsia"/>
          <w:color w:val="000000" w:themeColor="text1"/>
          <w:highlight w:val="none"/>
          <w:lang w:val="en-US" w:eastAsia="zh-CN"/>
          <w14:textFill>
            <w14:solidFill>
              <w14:schemeClr w14:val="tx1"/>
            </w14:solidFill>
          </w14:textFill>
        </w:rPr>
        <w:t xml:space="preserve">由采购人支付</w:t>
      </w:r>
      <w:r>
        <w:rPr>
          <w:rFonts w:hint="eastAsia"/>
          <w:color w:val="000000" w:themeColor="text1"/>
          <w:highlight w:val="none"/>
          <w14:textFill>
            <w14:solidFill>
              <w14:schemeClr w14:val="tx1"/>
            </w14:solidFill>
          </w14:textFill>
        </w:rPr>
        <w:t xml:space="preserve">，金额按以下计算方式*96.8 %：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用</w:t>
      </w:r>
      <w:r>
        <w:rPr>
          <w:rFonts w:hint="eastAsia"/>
          <w:color w:val="000000" w:themeColor="text1"/>
          <w:highlight w:val="none"/>
          <w14:textFill>
            <w14:solidFill>
              <w14:schemeClr w14:val="tx1"/>
            </w14:solidFill>
          </w14:textFill>
        </w:rPr>
        <w:t xml:space="preserve">差额定率累进法</w:t>
      </w:r>
      <w:r>
        <w:rPr>
          <w:rFonts w:hint="eastAsia"/>
          <w:color w:val="000000" w:themeColor="text1"/>
          <w:highlight w:val="none"/>
          <w:lang w:val="en-US" w:eastAsia="zh-CN"/>
          <w14:textFill>
            <w14:solidFill>
              <w14:schemeClr w14:val="tx1"/>
            </w14:solidFill>
          </w14:textFill>
        </w:rPr>
        <w:t xml:space="preserve">累加</w:t>
      </w:r>
      <w:r>
        <w:rPr>
          <w:rFonts w:hint="eastAsia"/>
          <w:color w:val="000000" w:themeColor="text1"/>
          <w:highlight w:val="none"/>
          <w14:textFill>
            <w14:solidFill>
              <w14:schemeClr w14:val="tx1"/>
            </w14:solidFill>
          </w14:textFill>
        </w:rPr>
        <w:t xml:space="preserve">计算。</w:t>
      </w: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本项目代理费</w:t>
      </w:r>
      <w:r>
        <w:rPr>
          <w:rFonts w:hint="eastAsia"/>
          <w:color w:val="000000" w:themeColor="text1"/>
          <w:highlight w:val="none"/>
          <w:u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 34862.32 </w:t>
      </w:r>
      <w:r>
        <w:rPr>
          <w:rFonts w:hint="eastAsia"/>
          <w:b/>
          <w:color w:val="000000" w:themeColor="text1"/>
          <w:highlight w:val="none"/>
          <w:u w:val="single"/>
          <w14:textFill>
            <w14:solidFill>
              <w14:schemeClr w14:val="tx1"/>
            </w14:solidFill>
          </w14:textFill>
        </w:rPr>
        <w:t xml:space="preserve">元</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1.4保密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参与采购活动的各方应对采购文件和响应文件中的商业和技术等秘密保密，否则应承担相应的法律责任。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1.5语言文字</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1.6计量单位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除磋商文件有特殊要求外，所有计量均采用中华人民共和国法定计量单位。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1.7扫描件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扫描件是指原件的各种彩色复制件，包括扫描、照片等。</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1.8知识产权</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甲方为此而产生的损失和损害、费用和支出（包括律师费）由供应商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1.9现场踏勘</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本项目按以下第 ① 种方式组织集中现场考察：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①采购人不组织集中现场考察；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②采购人组织集中现场考察，请供应商持在“苏采云”系统中下载本项目采购文件的《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供应商确认函》，按以下时间地点参加集中现场考察：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集合时间：/年/月/日/时/分（北京时间）；</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集合地点：/。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联系人：/；联系电话：/。</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请供应商安排好行程，不得迟到。未提供《</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供应商确认函》或迟到者，恕不接待。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（1）根据自身</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需要，供应商可对项目相关情况进行考察，以获取编制响应文件和签署合同所需的信息。考察现场所发生的费用由供应商自己承担。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（4）供应商应在现场考察时，熟悉现场及本项目的背景概况等情况，以获得一切可能影响其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（5）由于未进行现场考察造成的任何问题由供应商自行承担。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1.11法律适用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本次采购活动及因本次采购产生的合同受中华人民共和国有关的法律法规制约和保护。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2磋商文件的说明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2.1磋商文件的获取</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见第一章竞争性磋商公告</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2.2磋商文件的询问</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2.3磋商文件的澄清或修改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2.3.2为保证供应商有足够时间修正响应文件，或出于其他合理原因，采购代理机构可依法顺延提交首次响应文件截止之日。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2.3.3供应商应及时关注政府采购信息发布媒体上发布的更正（补充）公告，同时在“苏采云”系统中下载更正（补充）资料，如有遗漏（包括但不限于文件未下载或下载不完整），可能无法解密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文件，由此所造成的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失败或损失由供应商自行负责。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2.4磋商文件的约束力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2.4.1供应商一旦参加本项目采购活动，即被认为接受了本采购文件的规定和约束。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3响应文件说明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3.1磋商保证金：无</w:t>
      </w:r>
      <w:r/>
    </w:p>
    <w:p>
      <w:pPr>
        <w:ind w:firstLine="422"/>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3.2响应文件的组成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3.2.1资格性审查文件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3.2.1.1</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具有独立承担民事责任的能力</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包括法人或者其他组织的营业执照等证明文件，自然人的身份证明；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3.2.1.2</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具有良好的商业信誉和健全的财务会计制度</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最近一期</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2024或2025年度）</w:t>
      </w:r>
      <w:r>
        <w:rPr>
          <w:rFonts w:hint="eastAsia"/>
          <w:color w:val="000000" w:themeColor="text1"/>
          <w:highlight w:val="none"/>
          <w14:textFill>
            <w14:solidFill>
              <w14:schemeClr w14:val="tx1"/>
            </w14:solidFill>
          </w14:textFill>
        </w:rPr>
        <w:t xml:space="preserve">经审计的财务报告，或银行出具的资信证明，或财政部门认可的政府采购专业担保机构出具的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担保函；</w:t>
      </w:r>
      <w:r/>
    </w:p>
    <w:p>
      <w:pPr>
        <w:ind w:firstLine="420"/>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3.2.1.3</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具有履行合同所必需的设备和专业技术能力</w:t>
      </w:r>
      <w:r>
        <w:rPr>
          <w:rFonts w:hint="eastAsia" w:ascii="宋体" w:hAnsi="宋体" w:cs="宋体"/>
          <w:color w:val="000000" w:themeColor="text1"/>
          <w:szCs w:val="21"/>
          <w:highlight w:val="none"/>
          <w:shd w:val="clear" w:color="auto" w:fill="ffffff"/>
          <w:lang w:eastAsia="zh-CN" w:bidi="ar"/>
          <w14:textFill>
            <w14:solidFill>
              <w14:schemeClr w14:val="tx1"/>
            </w14:solidFill>
          </w14:textFill>
        </w:rPr>
        <w:t xml:space="preserve">：提供具备履行合同所必需设备和专业技术能力证明材料声明函（见格式）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3.2.1.4有依法缴纳税收和社会保障资金的良好记录：供应商参加本次政府采购活动前半年（至少一个月）依法缴纳税收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3.2.1.5</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参加政府采购活动前三年内，在经营活动中没有重大违法记录</w:t>
      </w:r>
      <w:r>
        <w:rPr>
          <w:rFonts w:hint="eastAsia" w:ascii="宋体" w:hAnsi="宋体" w:cs="宋体"/>
          <w:color w:val="000000" w:themeColor="text1"/>
          <w:szCs w:val="21"/>
          <w:highlight w:val="none"/>
          <w:shd w:val="clear" w:color="auto" w:fill="ffffff"/>
          <w:lang w:eastAsia="zh-CN" w:bidi="ar"/>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参加政府采购活动前三年内，在经营活动中没有出现重大违法记录的书面声明函（见格式）；</w:t>
      </w:r>
      <w:r/>
    </w:p>
    <w:p>
      <w:pPr>
        <w:ind w:firstLine="420"/>
        <w:spacing w:line="480" w:lineRule="exact"/>
        <w:rPr>
          <w:rFonts w:ascii="宋体" w:hAnsi="宋体" w:cs="宋体"/>
          <w:color w:val="000000" w:themeColor="text1"/>
          <w:szCs w:val="21"/>
          <w:highlight w:val="none"/>
          <w:u w:val="single"/>
          <w:shd w:val="clear" w:color="auto" w:fill="ffffff"/>
          <w:lang w:bidi="ar"/>
          <w14:textFill>
            <w14:solidFill>
              <w14:schemeClr w14:val="tx1"/>
            </w14:solidFill>
          </w14:textFill>
        </w:rPr>
      </w:pPr>
      <w:r>
        <w:rPr>
          <w:rFonts w:hint="eastAsia"/>
          <w:color w:val="000000" w:themeColor="text1"/>
          <w:highlight w:val="none"/>
          <w14:textFill>
            <w14:solidFill>
              <w14:schemeClr w14:val="tx1"/>
            </w14:solidFill>
          </w14:textFill>
        </w:rPr>
        <w:t xml:space="preserve">3.2.1.6</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法律、行政法规规定的其他条件</w:t>
      </w:r>
      <w:r>
        <w:rPr>
          <w:rFonts w:hint="eastAsia" w:ascii="宋体" w:hAnsi="宋体" w:cs="宋体"/>
          <w:color w:val="000000" w:themeColor="text1"/>
          <w:szCs w:val="21"/>
          <w:highlight w:val="none"/>
          <w:shd w:val="clear" w:color="auto" w:fill="ffffff"/>
          <w:lang w:val="en-US" w:eastAsia="zh-CN" w:bidi="ar"/>
          <w14:textFill>
            <w14:solidFill>
              <w14:schemeClr w14:val="tx1"/>
            </w14:solidFill>
          </w14:textFill>
        </w:rPr>
        <w:t xml:space="preserve">:</w:t>
      </w:r>
      <w:r>
        <w:rPr>
          <w:rFonts w:hint="eastAsia" w:ascii="宋体" w:hAnsi="宋体" w:cs="宋体"/>
          <w:color w:val="000000" w:themeColor="text1"/>
          <w:szCs w:val="21"/>
          <w:highlight w:val="none"/>
          <w:u w:val="single"/>
          <w:shd w:val="clear" w:color="auto" w:fill="ffffff"/>
          <w:lang w:bidi="ar"/>
          <w14:textFill>
            <w14:solidFill>
              <w14:schemeClr w14:val="tx1"/>
            </w14:solidFill>
          </w14:textFill>
        </w:rPr>
        <w:t xml:space="preserve">/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11"/>
        <w:spacing w:line="480" w:lineRule="exact"/>
        <w:rPr>
          <w:rFonts w:hint="eastAsia" w:ascii="Times New Roman" w:hAnsi="Times New Roman" w:cs="宋体"/>
          <w:b/>
          <w:bCs/>
          <w:color w:val="000000" w:themeColor="text1"/>
          <w:highlight w:val="none"/>
          <w:lang w:bidi="ar"/>
          <w14:textFill>
            <w14:solidFill>
              <w14:schemeClr w14:val="tx1"/>
            </w14:solidFill>
          </w14:textFill>
        </w:rPr>
      </w:pPr>
      <w:r>
        <w:rPr>
          <w:rFonts w:hint="eastAsia" w:ascii="Times New Roman" w:hAnsi="Times New Roman" w:cs="宋体"/>
          <w:b/>
          <w:bCs/>
          <w:color w:val="000000" w:themeColor="text1"/>
          <w:highlight w:val="none"/>
          <w:lang w:val="en-US" w:eastAsia="zh-CN" w:bidi="ar"/>
          <w14:textFill>
            <w14:solidFill>
              <w14:schemeClr w14:val="tx1"/>
            </w14:solidFill>
          </w14:textFill>
        </w:rPr>
        <w:t xml:space="preserve">3.2.1.7</w:t>
      </w:r>
      <w:r>
        <w:rPr>
          <w:rFonts w:hint="eastAsia" w:ascii="Times New Roman" w:hAnsi="Times New Roman" w:cs="宋体"/>
          <w:b/>
          <w:bCs/>
          <w:color w:val="000000" w:themeColor="text1"/>
          <w:highlight w:val="none"/>
          <w:lang w:bidi="ar"/>
          <w14:textFill>
            <w14:solidFill>
              <w14:schemeClr w14:val="tx1"/>
            </w14:solidFill>
          </w14:textFill>
        </w:rPr>
        <w:t xml:space="preserve">落实政府采购政策需满足的资格要求：</w:t>
      </w:r>
      <w:r/>
    </w:p>
    <w:p>
      <w:pPr>
        <w:ind w:firstLine="210"/>
        <w:spacing w:line="480" w:lineRule="exact"/>
        <w:rPr>
          <w:rFonts w:hint="eastAsia" w:ascii="Times New Roman" w:hAnsi="Times New Roman" w:cs="宋体"/>
          <w:b/>
          <w:bCs/>
          <w:color w:val="000000" w:themeColor="text1"/>
          <w:highlight w:val="none"/>
          <w:lang w:bidi="ar"/>
          <w14:textFill>
            <w14:solidFill>
              <w14:schemeClr w14:val="tx1"/>
            </w14:solidFill>
          </w14:textFill>
        </w:rPr>
      </w:pP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根据《政府采购促进中小企业发展管理办法》的相关规定，本项目专门面向中小企业采购。本项目所属行业为</w:t>
      </w:r>
      <w:r>
        <w:rPr>
          <w:rFonts w:hint="eastAsia" w:ascii="宋体" w:hAnsi="宋体" w:cs="宋体"/>
          <w:color w:val="000000" w:themeColor="text1"/>
          <w:szCs w:val="21"/>
          <w:highlight w:val="none"/>
          <w:shd w:val="clear" w:color="auto" w:fill="ffffff"/>
          <w:lang w:eastAsia="zh-CN" w:bidi="ar"/>
          <w14:textFill>
            <w14:solidFill>
              <w14:schemeClr w14:val="tx1"/>
            </w14:solidFill>
          </w14:textFill>
        </w:rPr>
        <w:t xml:space="preserve">建筑业行业</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w:t>
      </w:r>
      <w:r/>
    </w:p>
    <w:p>
      <w:pPr>
        <w:ind w:firstLine="210"/>
        <w:spacing w:line="480" w:lineRule="exact"/>
        <w:rPr>
          <w:rFonts w:hint="eastAsia" w:ascii="Times New Roman" w:hAnsi="Times New Roman" w:cs="宋体"/>
          <w:color w:val="000000" w:themeColor="text1"/>
          <w:highlight w:val="none"/>
          <w:u w:val="single"/>
          <w:lang w:bidi="ar"/>
          <w14:textFill>
            <w14:solidFill>
              <w14:schemeClr w14:val="tx1"/>
            </w14:solidFill>
          </w14:textFill>
        </w:rPr>
      </w:pPr>
      <w:r>
        <w:rPr>
          <w:rFonts w:hint="eastAsia" w:ascii="Times New Roman" w:hAnsi="Times New Roman" w:cs="宋体"/>
          <w:color w:val="000000" w:themeColor="text1"/>
          <w:highlight w:val="none"/>
          <w:u w:val="single"/>
          <w:lang w:bidi="ar"/>
          <w14:textFill>
            <w14:solidFill>
              <w14:schemeClr w14:val="tx1"/>
            </w14:solidFill>
          </w14:textFill>
        </w:rPr>
        <w:t xml:space="preserve">提供《中小企业声明函》（见格式）或提供《残疾人福利性单位声明函》（见格式）或提供由省级以上监狱管理局、戒毒管理局（含新疆生产建设兵团）出具的属于监狱企业的证明文件。</w:t>
      </w:r>
      <w:r/>
    </w:p>
    <w:p>
      <w:pPr>
        <w:ind w:firstLine="210"/>
        <w:spacing w:line="480" w:lineRule="exact"/>
        <w:rPr>
          <w:rFonts w:hint="eastAsia" w:ascii="Times New Roman" w:hAnsi="Times New Roman" w:cs="宋体"/>
          <w:color w:val="000000" w:themeColor="text1"/>
          <w:highlight w:val="none"/>
          <w:u w:val="single"/>
          <w:lang w:bidi="ar"/>
          <w14:textFill>
            <w14:solidFill>
              <w14:schemeClr w14:val="tx1"/>
            </w14:solidFill>
          </w14:textFill>
        </w:rPr>
      </w:pPr>
      <w:r>
        <w:rPr>
          <w:rFonts w:hint="eastAsia" w:ascii="Times New Roman" w:hAnsi="Times New Roman" w:cs="宋体"/>
          <w:color w:val="000000" w:themeColor="text1"/>
          <w:highlight w:val="none"/>
          <w:u w:val="single"/>
          <w:lang w:bidi="ar"/>
          <w14:textFill>
            <w14:solidFill>
              <w14:schemeClr w14:val="tx1"/>
            </w14:solidFill>
          </w14:textFill>
        </w:rPr>
      </w:r>
      <w:r/>
    </w:p>
    <w:p>
      <w:pPr>
        <w:spacing w:line="240" w:lineRule="auto"/>
        <w:rPr>
          <w:rFonts w:hint="eastAsia" w:cs="宋体"/>
          <w:b/>
          <w:bCs/>
          <w:color w:val="000000" w:themeColor="text1"/>
          <w:highlight w:val="none"/>
          <w:lang w:eastAsia="zh-CN" w:bidi="ar"/>
          <w14:textFill>
            <w14:solidFill>
              <w14:schemeClr w14:val="tx1"/>
            </w14:solidFill>
          </w14:textFill>
        </w:rPr>
      </w:pPr>
      <w:r>
        <w:rPr>
          <w:rFonts w:hint="eastAsia" w:cs="宋体"/>
          <w:b/>
          <w:bCs/>
          <w:color w:val="000000" w:themeColor="text1"/>
          <w:highlight w:val="none"/>
          <w:lang w:val="en-US" w:eastAsia="zh-CN" w:bidi="ar"/>
          <w14:textFill>
            <w14:solidFill>
              <w14:schemeClr w14:val="tx1"/>
            </w14:solidFill>
          </w14:textFill>
        </w:rPr>
        <w:t xml:space="preserve">3.2.1.8</w:t>
      </w:r>
      <w:r>
        <w:rPr>
          <w:rFonts w:hint="eastAsia" w:cs="宋体"/>
          <w:b/>
          <w:bCs/>
          <w:color w:val="000000" w:themeColor="text1"/>
          <w:highlight w:val="none"/>
          <w:lang w:bidi="ar"/>
          <w14:textFill>
            <w14:solidFill>
              <w14:schemeClr w14:val="tx1"/>
            </w14:solidFill>
          </w14:textFill>
        </w:rPr>
        <w:t xml:space="preserve">特定资格条件</w:t>
      </w:r>
      <w:r>
        <w:rPr>
          <w:rFonts w:hint="eastAsia" w:cs="宋体"/>
          <w:b/>
          <w:bCs/>
          <w:color w:val="000000" w:themeColor="text1"/>
          <w:highlight w:val="none"/>
          <w:lang w:eastAsia="zh-CN" w:bidi="ar"/>
          <w14:textFill>
            <w14:solidFill>
              <w14:schemeClr w14:val="tx1"/>
            </w14:solidFill>
          </w14:textFill>
        </w:rPr>
        <w:t xml:space="preserve">：</w:t>
      </w:r>
      <w:r/>
    </w:p>
    <w:p>
      <w:pPr>
        <w:pStyle w:val="668"/>
        <w:spacing w:before="155" w:line="228" w:lineRule="auto"/>
        <w:rPr>
          <w:color w:val="000000" w:themeColor="text1"/>
          <w:sz w:val="21"/>
          <w:szCs w:val="21"/>
          <w:highlight w:val="none"/>
          <w14:textFill>
            <w14:solidFill>
              <w14:schemeClr w14:val="tx1"/>
            </w14:solidFill>
          </w14:textFill>
        </w:rPr>
      </w:pPr>
      <w:r>
        <w:rPr>
          <w:rFonts w:hint="eastAsia"/>
          <w:color w:val="000000" w:themeColor="text1"/>
          <w:spacing w:val="7"/>
          <w:sz w:val="21"/>
          <w:szCs w:val="21"/>
          <w:highlight w:val="none"/>
          <w:lang w:val="en-US" w:eastAsia="zh-CN"/>
          <w14:textFill>
            <w14:solidFill>
              <w14:schemeClr w14:val="tx1"/>
            </w14:solidFill>
          </w14:textFill>
        </w:rPr>
        <w:t xml:space="preserve">3.2.1.8.1单位资质证书扫描</w:t>
      </w:r>
      <w:r>
        <w:rPr>
          <w:color w:val="000000" w:themeColor="text1"/>
          <w:spacing w:val="7"/>
          <w:sz w:val="21"/>
          <w:szCs w:val="21"/>
          <w:highlight w:val="none"/>
          <w14:textFill>
            <w14:solidFill>
              <w14:schemeClr w14:val="tx1"/>
            </w14:solidFill>
          </w14:textFill>
        </w:rPr>
        <w:t xml:space="preserve">件</w:t>
      </w:r>
      <w:r>
        <w:rPr>
          <w:rFonts w:hint="eastAsia"/>
          <w:color w:val="000000" w:themeColor="text1"/>
          <w:spacing w:val="7"/>
          <w:sz w:val="21"/>
          <w:szCs w:val="21"/>
          <w:highlight w:val="none"/>
          <w:lang w:eastAsia="zh-CN"/>
          <w14:textFill>
            <w14:solidFill>
              <w14:schemeClr w14:val="tx1"/>
            </w14:solidFill>
          </w14:textFill>
        </w:rPr>
        <w:t xml:space="preserve">、</w:t>
      </w:r>
      <w:r>
        <w:rPr>
          <w:color w:val="000000" w:themeColor="text1"/>
          <w:spacing w:val="5"/>
          <w:sz w:val="21"/>
          <w:szCs w:val="21"/>
          <w:highlight w:val="none"/>
          <w14:textFill>
            <w14:solidFill>
              <w14:schemeClr w14:val="tx1"/>
            </w14:solidFill>
          </w14:textFill>
        </w:rPr>
        <w:t xml:space="preserve">有效期内的</w:t>
      </w:r>
      <w:r>
        <w:rPr>
          <w:rFonts w:hint="eastAsia"/>
          <w:color w:val="000000" w:themeColor="text1"/>
          <w:spacing w:val="5"/>
          <w:sz w:val="21"/>
          <w:szCs w:val="21"/>
          <w:highlight w:val="none"/>
          <w:lang w:val="en-US" w:eastAsia="zh-CN"/>
          <w14:textFill>
            <w14:solidFill>
              <w14:schemeClr w14:val="tx1"/>
            </w14:solidFill>
          </w14:textFill>
        </w:rPr>
        <w:t xml:space="preserve">企业</w:t>
      </w:r>
      <w:r>
        <w:rPr>
          <w:color w:val="000000" w:themeColor="text1"/>
          <w:spacing w:val="5"/>
          <w:sz w:val="21"/>
          <w:szCs w:val="21"/>
          <w:highlight w:val="none"/>
          <w14:textFill>
            <w14:solidFill>
              <w14:schemeClr w14:val="tx1"/>
            </w14:solidFill>
          </w14:textFill>
        </w:rPr>
        <w:t xml:space="preserve">安全生产许可证</w:t>
      </w:r>
      <w:r>
        <w:rPr>
          <w:rFonts w:hint="eastAsia"/>
          <w:color w:val="000000" w:themeColor="text1"/>
          <w:spacing w:val="5"/>
          <w:sz w:val="21"/>
          <w:szCs w:val="21"/>
          <w:highlight w:val="none"/>
          <w:lang w:val="en-US" w:eastAsia="zh-CN"/>
          <w14:textFill>
            <w14:solidFill>
              <w14:schemeClr w14:val="tx1"/>
            </w14:solidFill>
          </w14:textFill>
        </w:rPr>
        <w:t xml:space="preserve">扫描</w:t>
      </w:r>
      <w:r>
        <w:rPr>
          <w:color w:val="000000" w:themeColor="text1"/>
          <w:spacing w:val="5"/>
          <w:sz w:val="21"/>
          <w:szCs w:val="21"/>
          <w:highlight w:val="none"/>
          <w14:textFill>
            <w14:solidFill>
              <w14:schemeClr w14:val="tx1"/>
            </w14:solidFill>
          </w14:textFill>
        </w:rPr>
        <w:t xml:space="preserve">件。</w:t>
      </w:r>
      <w:r/>
    </w:p>
    <w:p>
      <w:pPr>
        <w:pStyle w:val="668"/>
        <w:ind w:right="39"/>
        <w:spacing w:before="154" w:line="341" w:lineRule="auto"/>
        <w:rPr>
          <w:rFonts w:hint="eastAsia"/>
          <w:color w:val="000000" w:themeColor="text1"/>
          <w:sz w:val="21"/>
          <w:szCs w:val="21"/>
          <w:highlight w:val="none"/>
          <w14:textFill>
            <w14:solidFill>
              <w14:schemeClr w14:val="tx1"/>
            </w14:solidFill>
          </w14:textFill>
        </w:rPr>
      </w:pPr>
      <w:r>
        <w:rPr>
          <w:rFonts w:hint="eastAsia"/>
          <w:color w:val="000000" w:themeColor="text1"/>
          <w:spacing w:val="7"/>
          <w:sz w:val="21"/>
          <w:szCs w:val="21"/>
          <w:highlight w:val="none"/>
          <w:lang w:val="en-US" w:eastAsia="zh-CN"/>
          <w14:textFill>
            <w14:solidFill>
              <w14:schemeClr w14:val="tx1"/>
            </w14:solidFill>
          </w14:textFill>
        </w:rPr>
        <w:t xml:space="preserve">3.2.1.8.2</w:t>
      </w:r>
      <w:r>
        <w:rPr>
          <w:color w:val="000000" w:themeColor="text1"/>
          <w:spacing w:val="9"/>
          <w:sz w:val="21"/>
          <w:szCs w:val="21"/>
          <w:highlight w:val="none"/>
          <w14:textFill>
            <w14:solidFill>
              <w14:schemeClr w14:val="tx1"/>
            </w14:solidFill>
          </w14:textFill>
        </w:rPr>
        <w:t xml:space="preserve">拟选派项目</w:t>
      </w:r>
      <w:r>
        <w:rPr>
          <w:rFonts w:hint="eastAsia"/>
          <w:color w:val="000000" w:themeColor="text1"/>
          <w:spacing w:val="9"/>
          <w:sz w:val="21"/>
          <w:szCs w:val="21"/>
          <w:highlight w:val="none"/>
          <w:lang w:val="en-US" w:eastAsia="zh-CN"/>
          <w14:textFill>
            <w14:solidFill>
              <w14:schemeClr w14:val="tx1"/>
            </w14:solidFill>
          </w14:textFill>
        </w:rPr>
        <w:t xml:space="preserve">负责人</w:t>
      </w:r>
      <w:r>
        <w:rPr>
          <w:color w:val="000000" w:themeColor="text1"/>
          <w:spacing w:val="9"/>
          <w:sz w:val="21"/>
          <w:szCs w:val="21"/>
          <w:highlight w:val="none"/>
          <w:lang w:val="en-US"/>
          <w14:textFill>
            <w14:solidFill>
              <w14:schemeClr w14:val="tx1"/>
            </w14:solidFill>
          </w14:textFill>
        </w:rPr>
        <w:t xml:space="preserve">建造师</w:t>
      </w:r>
      <w:r>
        <w:rPr>
          <w:color w:val="000000" w:themeColor="text1"/>
          <w:spacing w:val="9"/>
          <w:sz w:val="21"/>
          <w:szCs w:val="21"/>
          <w:highlight w:val="none"/>
          <w14:textFill>
            <w14:solidFill>
              <w14:schemeClr w14:val="tx1"/>
            </w14:solidFill>
          </w14:textFill>
        </w:rPr>
        <w:t xml:space="preserve">注册证书</w:t>
      </w:r>
      <w:r>
        <w:rPr>
          <w:rFonts w:hint="eastAsia"/>
          <w:color w:val="000000" w:themeColor="text1"/>
          <w:spacing w:val="9"/>
          <w:sz w:val="21"/>
          <w:szCs w:val="21"/>
          <w:highlight w:val="none"/>
          <w:lang w:val="en-US" w:eastAsia="zh-CN"/>
          <w14:textFill>
            <w14:solidFill>
              <w14:schemeClr w14:val="tx1"/>
            </w14:solidFill>
          </w14:textFill>
        </w:rPr>
        <w:t xml:space="preserve">扫描</w:t>
      </w:r>
      <w:r>
        <w:rPr>
          <w:color w:val="000000" w:themeColor="text1"/>
          <w:spacing w:val="9"/>
          <w:sz w:val="21"/>
          <w:szCs w:val="21"/>
          <w:highlight w:val="none"/>
          <w14:textFill>
            <w14:solidFill>
              <w14:schemeClr w14:val="tx1"/>
            </w14:solidFill>
          </w14:textFill>
        </w:rPr>
        <w:t xml:space="preserve">件</w:t>
      </w:r>
      <w:r>
        <w:rPr>
          <w:rFonts w:hint="eastAsia"/>
          <w:color w:val="000000" w:themeColor="text1"/>
          <w:spacing w:val="9"/>
          <w:sz w:val="21"/>
          <w:szCs w:val="21"/>
          <w:highlight w:val="none"/>
          <w:lang w:eastAsia="zh-CN"/>
          <w14:textFill>
            <w14:solidFill>
              <w14:schemeClr w14:val="tx1"/>
            </w14:solidFill>
          </w14:textFill>
        </w:rPr>
        <w:t xml:space="preserve">、</w:t>
      </w:r>
      <w:r>
        <w:rPr>
          <w:color w:val="000000" w:themeColor="text1"/>
          <w:spacing w:val="9"/>
          <w:sz w:val="21"/>
          <w:szCs w:val="21"/>
          <w:highlight w:val="none"/>
          <w14:textFill>
            <w14:solidFill>
              <w14:schemeClr w14:val="tx1"/>
            </w14:solidFill>
          </w14:textFill>
        </w:rPr>
        <w:t xml:space="preserve">项目</w:t>
      </w:r>
      <w:r>
        <w:rPr>
          <w:rFonts w:hint="eastAsia"/>
          <w:color w:val="000000" w:themeColor="text1"/>
          <w:spacing w:val="9"/>
          <w:sz w:val="21"/>
          <w:szCs w:val="21"/>
          <w:highlight w:val="none"/>
          <w:lang w:val="en-US" w:eastAsia="zh-CN"/>
          <w14:textFill>
            <w14:solidFill>
              <w14:schemeClr w14:val="tx1"/>
            </w14:solidFill>
          </w14:textFill>
        </w:rPr>
        <w:t xml:space="preserve">负责人</w:t>
      </w:r>
      <w:r>
        <w:rPr>
          <w:color w:val="000000" w:themeColor="text1"/>
          <w:spacing w:val="9"/>
          <w:sz w:val="21"/>
          <w:szCs w:val="21"/>
          <w:highlight w:val="none"/>
          <w14:textFill>
            <w14:solidFill>
              <w14:schemeClr w14:val="tx1"/>
            </w14:solidFill>
          </w14:textFill>
        </w:rPr>
        <w:t xml:space="preserve">安全生产考</w:t>
      </w:r>
      <w:r>
        <w:rPr>
          <w:color w:val="000000" w:themeColor="text1"/>
          <w:spacing w:val="11"/>
          <w:sz w:val="21"/>
          <w:szCs w:val="21"/>
          <w:highlight w:val="none"/>
          <w14:textFill>
            <w14:solidFill>
              <w14:schemeClr w14:val="tx1"/>
            </w14:solidFill>
          </w14:textFill>
        </w:rPr>
        <w:t xml:space="preserve">核合格证（B</w:t>
      </w:r>
      <w:r>
        <w:rPr>
          <w:color w:val="000000" w:themeColor="text1"/>
          <w:spacing w:val="-23"/>
          <w:sz w:val="21"/>
          <w:szCs w:val="21"/>
          <w:highlight w:val="none"/>
          <w14:textFill>
            <w14:solidFill>
              <w14:schemeClr w14:val="tx1"/>
            </w14:solidFill>
          </w14:textFill>
        </w:rPr>
        <w:t xml:space="preserve"> </w:t>
      </w:r>
      <w:r>
        <w:rPr>
          <w:color w:val="000000" w:themeColor="text1"/>
          <w:spacing w:val="11"/>
          <w:sz w:val="21"/>
          <w:szCs w:val="21"/>
          <w:highlight w:val="none"/>
          <w14:textFill>
            <w14:solidFill>
              <w14:schemeClr w14:val="tx1"/>
            </w14:solidFill>
          </w14:textFill>
        </w:rPr>
        <w:t xml:space="preserve">类）证书</w:t>
      </w:r>
      <w:r>
        <w:rPr>
          <w:rFonts w:hint="eastAsia"/>
          <w:color w:val="000000" w:themeColor="text1"/>
          <w:spacing w:val="11"/>
          <w:sz w:val="21"/>
          <w:szCs w:val="21"/>
          <w:highlight w:val="none"/>
          <w:lang w:val="en-US" w:eastAsia="zh-CN"/>
          <w14:textFill>
            <w14:solidFill>
              <w14:schemeClr w14:val="tx1"/>
            </w14:solidFill>
          </w14:textFill>
        </w:rPr>
        <w:t xml:space="preserve">扫描</w:t>
      </w:r>
      <w:r>
        <w:rPr>
          <w:color w:val="000000" w:themeColor="text1"/>
          <w:spacing w:val="11"/>
          <w:sz w:val="21"/>
          <w:szCs w:val="21"/>
          <w:highlight w:val="none"/>
          <w14:textFill>
            <w14:solidFill>
              <w14:schemeClr w14:val="tx1"/>
            </w14:solidFill>
          </w14:textFill>
        </w:rPr>
        <w:t xml:space="preserve">件</w:t>
      </w:r>
      <w:r>
        <w:rPr>
          <w:rFonts w:hint="eastAsia"/>
          <w:color w:val="000000" w:themeColor="text1"/>
          <w:spacing w:val="11"/>
          <w:sz w:val="21"/>
          <w:szCs w:val="21"/>
          <w:highlight w:val="none"/>
          <w:lang w:eastAsia="zh-CN"/>
          <w14:textFill>
            <w14:solidFill>
              <w14:schemeClr w14:val="tx1"/>
            </w14:solidFill>
          </w14:textFill>
        </w:rPr>
        <w:t xml:space="preserve">。</w:t>
      </w:r>
      <w:r>
        <w:rPr>
          <w:color w:val="000000" w:themeColor="text1"/>
          <w:spacing w:val="11"/>
          <w:sz w:val="21"/>
          <w:szCs w:val="21"/>
          <w:highlight w:val="none"/>
          <w14:textFill>
            <w14:solidFill>
              <w14:schemeClr w14:val="tx1"/>
            </w14:solidFill>
          </w14:textFill>
        </w:rPr>
        <w:t xml:space="preserve">项目</w:t>
      </w:r>
      <w:r>
        <w:rPr>
          <w:rFonts w:hint="eastAsia"/>
          <w:color w:val="000000" w:themeColor="text1"/>
          <w:spacing w:val="11"/>
          <w:sz w:val="21"/>
          <w:szCs w:val="21"/>
          <w:highlight w:val="none"/>
          <w:lang w:val="en-US" w:eastAsia="zh-CN"/>
          <w14:textFill>
            <w14:solidFill>
              <w14:schemeClr w14:val="tx1"/>
            </w14:solidFill>
          </w14:textFill>
        </w:rPr>
        <w:t xml:space="preserve">负责人</w:t>
      </w:r>
      <w:r>
        <w:rPr>
          <w:color w:val="000000" w:themeColor="text1"/>
          <w:spacing w:val="11"/>
          <w:sz w:val="21"/>
          <w:szCs w:val="21"/>
          <w:highlight w:val="none"/>
          <w14:textFill>
            <w14:solidFill>
              <w14:schemeClr w14:val="tx1"/>
            </w14:solidFill>
          </w14:textFill>
        </w:rPr>
        <w:t xml:space="preserve">除满足资格条件外还必须满足以下条件：①项目负责人不得同时在两个或者两个以上单位受聘</w:t>
      </w:r>
      <w:r>
        <w:rPr>
          <w:color w:val="000000" w:themeColor="text1"/>
          <w:spacing w:val="10"/>
          <w:sz w:val="21"/>
          <w:szCs w:val="21"/>
          <w:highlight w:val="none"/>
          <w14:textFill>
            <w14:solidFill>
              <w14:schemeClr w14:val="tx1"/>
            </w14:solidFill>
          </w14:textFill>
        </w:rPr>
        <w:t xml:space="preserve">或者执业。②项目负责人是非变更后无在建工程，或项目负责人是变更后无在建工程（必须原合同工期</w:t>
      </w:r>
      <w:r>
        <w:rPr>
          <w:color w:val="000000" w:themeColor="text1"/>
          <w:spacing w:val="9"/>
          <w:sz w:val="21"/>
          <w:szCs w:val="21"/>
          <w:highlight w:val="none"/>
          <w14:textFill>
            <w14:solidFill>
              <w14:schemeClr w14:val="tx1"/>
            </w14:solidFill>
          </w14:textFill>
        </w:rPr>
        <w:t xml:space="preserve">已满且变更备案之日已满</w:t>
      </w:r>
      <w:r>
        <w:rPr>
          <w:color w:val="000000" w:themeColor="text1"/>
          <w:spacing w:val="-34"/>
          <w:sz w:val="21"/>
          <w:szCs w:val="21"/>
          <w:highlight w:val="none"/>
          <w14:textFill>
            <w14:solidFill>
              <w14:schemeClr w14:val="tx1"/>
            </w14:solidFill>
          </w14:textFill>
        </w:rPr>
        <w:t xml:space="preserve"> </w:t>
      </w:r>
      <w:r>
        <w:rPr>
          <w:color w:val="000000" w:themeColor="text1"/>
          <w:spacing w:val="9"/>
          <w:sz w:val="21"/>
          <w:szCs w:val="21"/>
          <w:highlight w:val="none"/>
          <w14:textFill>
            <w14:solidFill>
              <w14:schemeClr w14:val="tx1"/>
            </w14:solidFill>
          </w14:textFill>
        </w:rPr>
        <w:t xml:space="preserve">6</w:t>
      </w:r>
      <w:r>
        <w:rPr>
          <w:color w:val="000000" w:themeColor="text1"/>
          <w:spacing w:val="-41"/>
          <w:sz w:val="21"/>
          <w:szCs w:val="21"/>
          <w:highlight w:val="none"/>
          <w14:textFill>
            <w14:solidFill>
              <w14:schemeClr w14:val="tx1"/>
            </w14:solidFill>
          </w14:textFill>
        </w:rPr>
        <w:t xml:space="preserve"> </w:t>
      </w:r>
      <w:r>
        <w:rPr>
          <w:color w:val="000000" w:themeColor="text1"/>
          <w:spacing w:val="9"/>
          <w:sz w:val="21"/>
          <w:szCs w:val="21"/>
          <w:highlight w:val="none"/>
          <w14:textFill>
            <w14:solidFill>
              <w14:schemeClr w14:val="tx1"/>
            </w14:solidFill>
          </w14:textFill>
        </w:rPr>
        <w:t xml:space="preserve">个月</w:t>
      </w:r>
      <w:r>
        <w:rPr>
          <w:color w:val="000000" w:themeColor="text1"/>
          <w:spacing w:val="16"/>
          <w:sz w:val="21"/>
          <w:szCs w:val="21"/>
          <w:highlight w:val="none"/>
          <w14:textFill>
            <w14:solidFill>
              <w14:schemeClr w14:val="tx1"/>
            </w14:solidFill>
          </w14:textFill>
        </w:rPr>
        <w:t xml:space="preserve">），</w:t>
      </w:r>
      <w:r>
        <w:rPr>
          <w:color w:val="000000" w:themeColor="text1"/>
          <w:spacing w:val="9"/>
          <w:sz w:val="21"/>
          <w:szCs w:val="21"/>
          <w:highlight w:val="none"/>
          <w14:textFill>
            <w14:solidFill>
              <w14:schemeClr w14:val="tx1"/>
            </w14:solidFill>
          </w14:textFill>
        </w:rPr>
        <w:t xml:space="preserve">或因非承</w:t>
      </w:r>
      <w:r>
        <w:rPr>
          <w:color w:val="000000" w:themeColor="text1"/>
          <w:spacing w:val="7"/>
          <w:sz w:val="21"/>
          <w:szCs w:val="21"/>
          <w:highlight w:val="none"/>
          <w14:textFill>
            <w14:solidFill>
              <w14:schemeClr w14:val="tx1"/>
            </w14:solidFill>
          </w14:textFill>
        </w:rPr>
        <w:t xml:space="preserve">包方原因致使工程项目停工或因故不能按期开工、且已办理了项目负责人相关手续。提供承诺函。</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3.2.2符合性审查文件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3.2.2.1磋商响应函（格式见第六章）；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3.2.2.2</w:t>
      </w:r>
      <w:r>
        <w:rPr>
          <w:rFonts w:hint="eastAsia"/>
          <w:color w:val="000000" w:themeColor="text1"/>
          <w:highlight w:val="none"/>
          <w:lang w:val="en-US" w:eastAsia="zh-CN"/>
          <w14:textFill>
            <w14:solidFill>
              <w14:schemeClr w14:val="tx1"/>
            </w14:solidFill>
          </w14:textFill>
        </w:rPr>
        <w:t xml:space="preserve">磋商响应报价表</w:t>
      </w:r>
      <w:r>
        <w:rPr>
          <w:rFonts w:hint="eastAsia"/>
          <w:color w:val="000000" w:themeColor="text1"/>
          <w:highlight w:val="none"/>
          <w14:textFill>
            <w14:solidFill>
              <w14:schemeClr w14:val="tx1"/>
            </w14:solidFill>
          </w14:textFill>
        </w:rPr>
        <w:t xml:space="preserve">（格式见第六章）；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3.2.2.3</w:t>
      </w:r>
      <w:r>
        <w:rPr>
          <w:rFonts w:hint="eastAsia"/>
          <w:color w:val="000000" w:themeColor="text1"/>
          <w:highlight w:val="none"/>
          <w:lang w:val="en-US" w:eastAsia="zh-CN"/>
          <w14:textFill>
            <w14:solidFill>
              <w14:schemeClr w14:val="tx1"/>
            </w14:solidFill>
          </w14:textFill>
        </w:rPr>
        <w:t xml:space="preserve">工程量清单报价</w:t>
      </w:r>
      <w:r>
        <w:rPr>
          <w:rFonts w:hint="eastAsia"/>
          <w:color w:val="000000" w:themeColor="text1"/>
          <w:highlight w:val="none"/>
          <w14:textFill>
            <w14:solidFill>
              <w14:schemeClr w14:val="tx1"/>
            </w14:solidFill>
          </w14:textFill>
        </w:rPr>
        <w:t xml:space="preserve">（格式见第六章）；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3.2.2.4服务要求偏离表（格式见第六章）；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3.2.2.5法人授权委托书（如有授权委托，格式见第六章）或法定代表人身份证</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3.2.2.6代理人身份证（如有授权委托）</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3.2.2.7采购文件中要求必须提供的承诺书（格式见第六章）；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采购需求中所涉及到的或响应单位认为需加以说明或证明的其他材料、证明；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综合评审文件：评分标准中所涉及到的各项方案及其他得分证明材料等。</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以上3.2.1项是资格审查要求必须提供的材料，专门面向中小企业的项目必须提供3.2.1.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项资料，否则响应无效。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以上3.2.2.1-3.2.2.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、3.2.2.7为符合性审查必须提供的资料，如有授权委托，采购需求中所涉及到的或响应单位认为需加以说明或证明的其他材料、证明还必须提供3.2.2.</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、3.2.2.</w:t>
      </w:r>
      <w:r>
        <w:rPr>
          <w:rFonts w:hint="eastAsia"/>
          <w:color w:val="000000" w:themeColor="text1"/>
          <w:highlight w:val="none"/>
          <w:lang w:val="en-US" w:eastAsia="zh-CN"/>
          <w14:textFill>
            <w14:solidFill>
              <w14:schemeClr w14:val="tx1"/>
            </w14:solidFill>
          </w14:textFill>
        </w:rPr>
        <w:t xml:space="preserve">6、3.2.2.8</w:t>
      </w:r>
      <w:r>
        <w:rPr>
          <w:rFonts w:hint="eastAsia"/>
          <w:color w:val="000000" w:themeColor="text1"/>
          <w:highlight w:val="none"/>
          <w14:textFill>
            <w14:solidFill>
              <w14:schemeClr w14:val="tx1"/>
            </w14:solidFill>
          </w14:textFill>
        </w:rPr>
        <w:t xml:space="preserve">项材料，否则响应无效。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注：为便于评审，防止漏评、误判，制作电子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文件时请与电子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文件制作软件目录一一对应，将相关资料上传至对应模块。</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供应商应保证上传的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文件完整、清晰可辨认，若因上传资料过小或模糊不清等肉眼无法辨认的都视为该资料未提供。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如供应商响应文件中某些条款不响应磋商文件提出的全部服务内容与要求，须在偏离表中逐条列出，未列出的视同响应。</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3.3响应报价</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3.3.2如果磋商文件要求分标段</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的，则供应商可以根据自身经营许可范围，选择响应其中部分或者全部标段，但各标段应分别计算填写单价和总价。</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3.3.3供应商应对所投项目的全部内容进行报价，只对其中部分内容报价的，其响应无效。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3.3.4一项采购内容只允许一个报价，任何有选择性响应报价的，其响应无效。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3.3.6报价的大写金额和小写金额不一致的，以大写金额为准。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3.3.7单价金额小数点或者百分比有明显错位的，以该次报价总价为准。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3.3.8总价金额与按单价汇总金额不一致的，以单价金额计算结果为准。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3.3.9响应文件报价中的单价和总价全部采用人民币表示，费率以人民币的百分比（%）表示，除非另有规定。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3.3.10</w:t>
      </w:r>
      <w:r>
        <w:rPr>
          <w:rFonts w:hint="eastAsia"/>
          <w:color w:val="000000" w:themeColor="text1"/>
          <w:highlight w:val="none"/>
          <w14:textFill>
            <w14:solidFill>
              <w14:schemeClr w14:val="tx1"/>
            </w14:solidFill>
          </w14:textFill>
        </w:rPr>
        <w:t xml:space="preserve">根据江苏省财政厅转发“苏财购【2026】36号”《财政部关于推动解决政府采购异常低价问题的通知》，在评审过程中，如出现</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单位低价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的情况，</w:t>
      </w:r>
      <w:r>
        <w:rPr>
          <w:rFonts w:hint="eastAsia"/>
          <w:color w:val="000000" w:themeColor="text1"/>
          <w:highlight w:val="none"/>
          <w:lang w:eastAsia="zh-CN"/>
          <w14:textFill>
            <w14:solidFill>
              <w14:schemeClr w14:val="tx1"/>
            </w14:solidFill>
          </w14:textFill>
        </w:rPr>
        <w:t xml:space="preserve">评标委员会（评审委员会）</w:t>
      </w:r>
      <w:r>
        <w:rPr>
          <w:rFonts w:hint="eastAsia"/>
          <w:color w:val="000000" w:themeColor="text1"/>
          <w:highlight w:val="none"/>
          <w14:textFill>
            <w14:solidFill>
              <w14:schemeClr w14:val="tx1"/>
            </w14:solidFill>
          </w14:textFill>
        </w:rPr>
        <w:t xml:space="preserve">将对异常低价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启动审查，审查的情形和具体要求，包括：</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）评</w:t>
      </w:r>
      <w:r>
        <w:rPr>
          <w:rFonts w:hint="eastAsia"/>
          <w:color w:val="000000" w:themeColor="text1"/>
          <w:highlight w:val="none"/>
          <w:lang w:val="en-US" w:eastAsia="zh-CN"/>
          <w14:textFill>
            <w14:solidFill>
              <w14:schemeClr w14:val="tx1"/>
            </w14:solidFill>
          </w14:textFill>
        </w:rPr>
        <w:t xml:space="preserve">审</w:t>
      </w:r>
      <w:r>
        <w:rPr>
          <w:rFonts w:hint="eastAsia"/>
          <w:color w:val="000000" w:themeColor="text1"/>
          <w:highlight w:val="none"/>
          <w14:textFill>
            <w14:solidFill>
              <w14:schemeClr w14:val="tx1"/>
            </w14:solidFill>
          </w14:textFill>
        </w:rPr>
        <w:t xml:space="preserve">过程中出现下列情形之一的，评</w:t>
      </w:r>
      <w:r>
        <w:rPr>
          <w:rFonts w:hint="eastAsia"/>
          <w:color w:val="000000" w:themeColor="text1"/>
          <w:highlight w:val="none"/>
          <w:lang w:val="en-US" w:eastAsia="zh-CN"/>
          <w14:textFill>
            <w14:solidFill>
              <w14:schemeClr w14:val="tx1"/>
            </w14:solidFill>
          </w14:textFill>
        </w:rPr>
        <w:t xml:space="preserve">审</w:t>
      </w:r>
      <w:r>
        <w:rPr>
          <w:rFonts w:hint="eastAsia"/>
          <w:color w:val="000000" w:themeColor="text1"/>
          <w:highlight w:val="none"/>
          <w14:textFill>
            <w14:solidFill>
              <w14:schemeClr w14:val="tx1"/>
            </w14:solidFill>
          </w14:textFill>
        </w:rPr>
        <w:t xml:space="preserve">委员会应当启动异常低价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审查程序：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报价低于全部通过符合性审查供应商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报价平均值50%的，即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报价&lt;全部通过符合性审查供应商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报价平均值×50% ；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报价低于通过符合性审查的次低报价供应商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报价50%的，即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报价&lt;通过符合性审查的次低报价供应商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报价×50% ；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报价低于采购项目最高限价45%的，即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报价&lt;采购项目最高限价×45%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（1.4）评审委员会基于专业判断，认为供应商报价过低，有可能影响产品质量或者不能诚信履约的其他情形。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）启动异常低价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审查后，</w:t>
      </w:r>
      <w:r>
        <w:rPr>
          <w:rFonts w:hint="eastAsia"/>
          <w:color w:val="000000" w:themeColor="text1"/>
          <w:highlight w:val="none"/>
          <w:lang w:eastAsia="zh-CN"/>
          <w14:textFill>
            <w14:solidFill>
              <w14:schemeClr w14:val="tx1"/>
            </w14:solidFill>
          </w14:textFill>
        </w:rPr>
        <w:t xml:space="preserve">评标委员会（评审委员会）</w:t>
      </w:r>
      <w:r>
        <w:rPr>
          <w:rFonts w:hint="eastAsia"/>
          <w:color w:val="000000" w:themeColor="text1"/>
          <w:highlight w:val="none"/>
          <w14:textFill>
            <w14:solidFill>
              <w14:schemeClr w14:val="tx1"/>
            </w14:solidFill>
          </w14:textFill>
        </w:rPr>
        <w:t xml:space="preserve">应当要求相关供应商在启动审查的40分钟内，提供项目具体成本测算等与报价合理性相关的书面说明及必要的证明材料，包括但不限于原材料成本、人工成本、制造费用等对</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价格作出解释，其中属于第3项情形的，供应商已随</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一并提交相关书面说明及必要的证明材料的，在评审现场可不重复提交。评审委员会依据，参考同类项目中标（成交）价格，类似产品市场价格水平，行业人工费用标准，国家有关部门指导行业协会发布的行业平均成本等情况对供应商报价合理性进行判断。</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供应商不提供书面说明、证明材料，或者提供的书面说明、证明材料不能证明其报价合理性的，评审委员会应当将其作为无效</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处理。审查相关情况现场在评审报告中进行记录。</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文件的编制与递交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3.4.1电子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文件制作：本项目为网上招</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项目，请供应商插入CA 证书登陆“苏采云”系统下载客户端（参与项目页面可下载客户端及客户端使用说明），在客户端编制电子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文件并进行CA加密。操作步骤详见“苏采云”系统页面提示和《操作手册》。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3.4.2电子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（响应)文件递交：供应商应当按照《操作手册》指引，在</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文件提交截止时间前完成电子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文件的上传，未按要求成功上传的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文件视为未递交。供应商应充分考虑到网络环境、网络带宽等风险因素，如因供应商自身原因造成的电子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文件上传不成功由供应商自行承担全部责任。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注：（1）请供应商务必保管好编制递交电子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文件时使用的CA，如因丢失、损坏等原因更换CA锁时，需重新制作电子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文件并递交，否则可能无法解密，因此导致的响应失败等不利后果由供应商自行承担。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文件并递交，否则可能无法解密，因此导致的响应失败等不利后果由供应商自行承担。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3.4.3 响应文件未按照磋商文件要求加盖CA电子公章的，响应无效。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3.4.4联合体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：如招标（采购）公告中允许联合体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文件制作上传操作如下：</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第一步：在</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文件中上传联合体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协议书。</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第二步；在</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文件中，由联合体中的牵头人制作</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3.4.5如</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文件制作机器码信息一致，视为不同</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供应商使用同一台电脑编制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3.5响应文件开启（解密）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3.5.1线上参加（观看）开标（开启）会方式：登录“苏采云”系统，点击“开标大厅”，选择对应项目，点击进入不见面开标系统。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3.5.3供应商在“苏采云”系统规定的时间内未成功解密电子响应文件的，响应无效。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3.6技术支持：联系方式见磋商采购公告</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3.7响应文件的修改和撤回</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3.7.1供应商在提交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文件截止时间前，可以对所递交的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文件进行补充、修改或者撤回，具体操作方法见《操作手册》。提交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文件截止时间后供应商不得撤回</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文件。供应商撤回</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文件，则认为其不再参与本项目采购活动。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4磋商程序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4.1磋商小组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4.1.2磋商小组与参加采购活动的供应商存在下列利害关系之一的，应当回避:</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(1)参加采购活动前三年内，与供应商存在劳动关系，或者担任过供应商的董事、监事，或者是供应商的控股股东或实际控制人；</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(2)与供应商的法定代表人或者负责人有夫妻、直系血亲、三代以内旁系血亲或者近姻亲关系；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(3)与供应商有其他可能影响政府采购活动公平、公正进行的关系。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4.1.4磋商小组成员应当按照客观、公正、审慎的原则，根据磋商文件规定的评审程序、评审方法和评审标准进行独立评审。</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4.2响应文件审查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4.2.1由磋商小组按磋商文件的资格条件进行资格性审查，未通过资格性审查的响应无效。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（1）查询时间：响应文件递交截止时间。</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（2）查询渠道：采购代理机构会在接收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文件截止时间后，登录信用中国网站（www.creditchina.gov.cn）和中国政府采购网（www.ccgp.gov.cn/）查询供应商的信用记录，并将查询结果递交</w:t>
      </w:r>
      <w:r>
        <w:rPr>
          <w:rFonts w:hint="eastAsia"/>
          <w:color w:val="000000" w:themeColor="text1"/>
          <w:highlight w:val="none"/>
          <w:lang w:eastAsia="zh-CN"/>
          <w14:textFill>
            <w14:solidFill>
              <w14:schemeClr w14:val="tx1"/>
            </w14:solidFill>
          </w14:textFill>
        </w:rPr>
        <w:t xml:space="preserve">评标委员会（评审委员会）</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（二）财政部门与法院、工商、税务等部门联合惩戒的失信信息，包括：</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（1）被列入失信被执行人名单；</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（2）被列入重大税收违法案件当事人名单；</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文件日未满三年的。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4.3磋商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4.4澄清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4.4.1本项目采用线上澄清。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4.4.3接到磋商小组澄清、说明和更正要求的供应商如未按规定做出澄清、说明和更正，其风险由供应商自行承担。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4.5最后报价</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评审当日通讯畅通，否则导致的对供应商不利的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4.5.4磋商小组认为某最后报价明显低于其他供应商的最后报价，有可能影响产品质量或者不能诚信履约的，应当要求其在合理的时间内提供书面说明（线上开评</w:t>
      </w:r>
      <w:r>
        <w:rPr>
          <w:rFonts w:hint="eastAsia"/>
          <w:color w:val="000000" w:themeColor="text1"/>
          <w:highlight w:val="none"/>
          <w:lang w:val="en-US" w:eastAsia="zh-CN"/>
          <w14:textFill>
            <w14:solidFill>
              <w14:schemeClr w14:val="tx1"/>
            </w14:solidFill>
          </w14:textFill>
        </w:rPr>
        <w:t xml:space="preserve">审</w:t>
      </w:r>
      <w:r>
        <w:rPr>
          <w:rFonts w:hint="eastAsia"/>
          <w:color w:val="000000" w:themeColor="text1"/>
          <w:highlight w:val="none"/>
          <w14:textFill>
            <w14:solidFill>
              <w14:schemeClr w14:val="tx1"/>
            </w14:solidFill>
          </w14:textFill>
        </w:rPr>
        <w:t xml:space="preserve">项目可通过“苏采云”系统要求其提供），必要时提交相关证明材料；供应商不能证明其报价合理性的，磋商小组应当将其响应文件按无效处理。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4.5.5未在规定时间提交最后报价的，响应文件按无效处理。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4.5.6在规定时间内提交最后报价的供应商少于3家的，项目终止。</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4.5.7如磋商过程中出现本磋商文件未尽事宜，由磋商小组根据政府采购有关法律、法规讨论决定。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5项目终止</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5.1、因情况变化，不再符合规定的竞争性磋商采购方式适用情形的；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5.2、出现影响采购公正的违法、违规行为的；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项目终止后，采购代理机构将项目终止的理由告知所有供应商。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6成交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根据磋商成交原则确定</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6.3采购人或者采购代理机构应当在</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确定后2个工作日内，在政府采购信息媒体上发布成交结果，成交公告期限为1个工作日。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6.4采购人或采购代理机构根据相关规定发布成交公告，成交公告发出的同时应当向</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发出《成交通知书》。请</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自行承担）；对未通过资格审查的供应商，应当告知其未通过的原因；未</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6.5成交通知书发出后，采购人不得违法改变成交结果，</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无正当理由不得放弃成交。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7履约保证金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7.1详见本采购文件合同文本中的约定。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8合同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9.1质疑及答复遵守《政府采购质疑和投诉办法》（中华人民共和国财政部令第94号）规定。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①对可以质疑的采购文件提出质疑的，为收到采购文件之日或者采购文件公告期限届满之日；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②对采购过程提出质疑的，为各采购程序环节结束之日；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③对中标或者成交结果提出质疑的，为中标或者成交结果公告期限届满之日。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对采购文件内容质疑时，需提供在“苏采云”系统中下载本项目磋商文件的《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供应商确认函》，未提供的视为未依照采购公告要求获取磋商文件的供应商，不具备对该政府采购项目提出质疑的法定权利。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9.5供应商（含潜在供应商）询问、质疑请向采购代理机构提出，由采购代理机构负责答复。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联系单位：苏州市永诚建设咨询有限公司</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联系电话：0512-69</w:t>
      </w:r>
      <w:r>
        <w:rPr>
          <w:color w:val="000000" w:themeColor="text1"/>
          <w:highlight w:val="none"/>
          <w14:textFill>
            <w14:solidFill>
              <w14:schemeClr w14:val="tx1"/>
            </w14:solidFill>
          </w14:textFill>
        </w:rPr>
        <w:t xml:space="preserve">157588</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通讯地址：苏州市东吴北路2</w:t>
      </w:r>
      <w:r>
        <w:rPr>
          <w:color w:val="000000" w:themeColor="text1"/>
          <w:highlight w:val="none"/>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号7楼</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联系人：程能之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9.6接收质疑函的方式为书面形式（当场送达或邮寄方式）。供应商质疑函范本格式请参照“苏州市政府采购”网站——“下载中心”——“政府采购供应商质疑函范本”。 供应商如组成联合体参加</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，则《质疑函范本》中要求签字、盖章、加盖公章之处，联合体各方均须按要求签字、盖章、加盖公章。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10未尽事宜</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按《中华人民共和国政府采购法》及其他有关法律法规的规定执行。</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bCs/>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
      <w:r/>
      <w:r/>
    </w:p>
    <w:p>
      <w:pPr>
        <w:ind w:firstLine="3033"/>
        <w:tabs>
          <w:tab w:val="left" w:pos="315"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三、采购内容</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苏州市永诚建设咨询有限公司受</w:t>
      </w:r>
      <w:r>
        <w:rPr>
          <w:rFonts w:hint="eastAsia" w:ascii="宋体" w:hAnsi="宋体" w:eastAsia="新宋体" w:cs="宋体"/>
          <w:color w:val="000000" w:themeColor="text1"/>
          <w:szCs w:val="21"/>
          <w:highlight w:val="none"/>
          <w:lang w:eastAsia="zh-CN"/>
          <w14:textFill>
            <w14:solidFill>
              <w14:schemeClr w14:val="tx1"/>
            </w14:solidFill>
          </w14:textFill>
        </w:rPr>
        <w:t xml:space="preserve">苏州市拙政园管理处（苏州市园林博物馆）</w:t>
      </w:r>
      <w:r>
        <w:rPr>
          <w:rFonts w:hint="eastAsia" w:ascii="新宋体" w:hAnsi="新宋体" w:eastAsia="新宋体" w:cs="宋体"/>
          <w:color w:val="000000" w:themeColor="text1"/>
          <w:szCs w:val="21"/>
          <w:highlight w:val="none"/>
          <w14:textFill>
            <w14:solidFill>
              <w14:schemeClr w14:val="tx1"/>
            </w14:solidFill>
          </w14:textFill>
        </w:rPr>
        <w:t xml:space="preserve">的委托，就其所需要采购的</w:t>
      </w:r>
      <w:r>
        <w:rPr>
          <w:rFonts w:hint="eastAsia" w:ascii="宋体" w:hAnsi="宋体" w:eastAsia="新宋体" w:cs="宋体"/>
          <w:color w:val="000000" w:themeColor="text1"/>
          <w:szCs w:val="21"/>
          <w:highlight w:val="none"/>
          <w:lang w:eastAsia="zh-CN"/>
          <w14:textFill>
            <w14:solidFill>
              <w14:schemeClr w14:val="tx1"/>
            </w14:solidFill>
          </w14:textFill>
        </w:rPr>
        <w:t xml:space="preserve">东园城墙遗址基础设施提升工程</w:t>
      </w:r>
      <w:r>
        <w:rPr>
          <w:rFonts w:hint="eastAsia" w:ascii="宋体" w:hAnsi="宋体" w:cs="宋体"/>
          <w:color w:val="000000" w:themeColor="text1"/>
          <w:szCs w:val="21"/>
          <w:highlight w:val="none"/>
          <w14:textFill>
            <w14:solidFill>
              <w14:schemeClr w14:val="tx1"/>
            </w14:solidFill>
          </w14:textFill>
        </w:rPr>
        <w:t xml:space="preserve"> 在国内组织竞争性磋商采购。欢迎符合采购文件资格条件的供应商前来参加磋商。</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一、项目编号： </w:t>
      </w:r>
      <w:r>
        <w:rPr>
          <w:rFonts w:hint="eastAsia" w:ascii="宋体" w:hAnsi="宋体" w:eastAsia="新宋体" w:cs="宋体"/>
          <w:color w:val="000000" w:themeColor="text1"/>
          <w:szCs w:val="21"/>
          <w:highlight w:val="none"/>
          <w:lang w:eastAsia="zh-CN"/>
          <w14:textFill>
            <w14:solidFill>
              <w14:schemeClr w14:val="tx1"/>
            </w14:solidFill>
          </w14:textFill>
        </w:rPr>
        <w:t xml:space="preserve">JSZC-320500-CCCC-C2026-0022</w:t>
      </w:r>
      <w:r/>
    </w:p>
    <w:p>
      <w:pPr>
        <w:ind w:left="567"/>
        <w:spacing w:line="4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东园城墙遗址基础设施提升工程</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三、项目预算：项目总预算</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人民币贰佰玖拾壹万零肆佰叁拾陆元贰角叁分（￥2910436.23元）</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四、最高限价：</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人民币贰佰玖拾壹万零肆佰叁拾陆元贰角叁分（￥2910436.23元）</w:t>
      </w:r>
      <w:r/>
    </w:p>
    <w:p>
      <w:pPr>
        <w:ind w:left="567"/>
        <w:spacing w:line="400" w:lineRule="exact"/>
        <w:rPr>
          <w:rFonts w:hint="eastAsia"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五、</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项目概况</w:t>
      </w:r>
      <w:r/>
    </w:p>
    <w:p>
      <w:pPr>
        <w:ind w:firstLine="480"/>
        <w:spacing w:line="400" w:lineRule="exact"/>
        <w:rPr>
          <w:rFonts w:hint="default"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项目背景：东园作为现代城市公园，承载大量本地市民及来苏游客游览需求，其中东园内娄门至相门段原土城墙区域游步道基础沉降、铺地风化破损、石栏杆倾斜、护坡破损、绿化杂乱和黄土裸露较为严重，存在安全隐患。为进一步巩固东园“无界公园”建设成果，计划启动东园城墙遗址基础设施提升工程。</w:t>
      </w:r>
      <w:r/>
    </w:p>
    <w:p>
      <w:pPr>
        <w:ind w:left="567"/>
        <w:spacing w:line="400" w:lineRule="exact"/>
        <w:rPr>
          <w:rFonts w:hint="eastAsia" w:ascii="新宋体" w:hAnsi="新宋体" w:eastAsia="新宋体" w:cs="宋体"/>
          <w:color w:val="000000" w:themeColor="text1"/>
          <w:szCs w:val="21"/>
          <w:highlight w:val="none"/>
          <w:lang w:val="en-US" w:eastAsia="en-US"/>
          <w14:textFill>
            <w14:solidFill>
              <w14:schemeClr w14:val="tx1"/>
            </w14:solidFill>
          </w14:textFill>
        </w:rPr>
      </w:pPr>
      <w:r>
        <w:rPr>
          <w:rFonts w:hint="eastAsia" w:ascii="新宋体" w:hAnsi="新宋体" w:eastAsia="新宋体" w:cs="宋体"/>
          <w:color w:val="000000" w:themeColor="text1"/>
          <w:szCs w:val="21"/>
          <w:highlight w:val="none"/>
          <w:lang w:val="en-US" w:eastAsia="en-US"/>
          <w14:textFill>
            <w14:solidFill>
              <w14:schemeClr w14:val="tx1"/>
            </w14:solidFill>
          </w14:textFill>
        </w:rPr>
        <w:t xml:space="preserve">施工工期：</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90日历天</w:t>
      </w:r>
      <w:r>
        <w:rPr>
          <w:rFonts w:hint="eastAsia" w:ascii="新宋体" w:hAnsi="新宋体" w:eastAsia="新宋体" w:cs="宋体"/>
          <w:color w:val="000000" w:themeColor="text1"/>
          <w:szCs w:val="21"/>
          <w:highlight w:val="none"/>
          <w:lang w:val="en-US" w:eastAsia="en-US"/>
          <w14:textFill>
            <w14:solidFill>
              <w14:schemeClr w14:val="tx1"/>
            </w14:solidFill>
          </w14:textFill>
        </w:rPr>
        <w:t xml:space="preserve">， 以实际开工时间为准。</w:t>
      </w:r>
      <w:r/>
    </w:p>
    <w:p>
      <w:pPr>
        <w:ind w:left="567"/>
        <w:spacing w:line="400" w:lineRule="exact"/>
        <w:rPr>
          <w:rFonts w:hint="eastAsia" w:ascii="新宋体" w:hAnsi="新宋体" w:eastAsia="新宋体" w:cs="宋体"/>
          <w:color w:val="000000" w:themeColor="text1"/>
          <w:szCs w:val="21"/>
          <w:highlight w:val="none"/>
          <w:lang w:val="en-US" w:eastAsia="en-US"/>
          <w14:textFill>
            <w14:solidFill>
              <w14:schemeClr w14:val="tx1"/>
            </w14:solidFill>
          </w14:textFill>
        </w:rPr>
      </w:pPr>
      <w:r>
        <w:rPr>
          <w:rFonts w:hint="eastAsia" w:ascii="新宋体" w:hAnsi="新宋体" w:eastAsia="新宋体" w:cs="宋体"/>
          <w:color w:val="000000" w:themeColor="text1"/>
          <w:szCs w:val="21"/>
          <w:highlight w:val="none"/>
          <w:lang w:val="en-US" w:eastAsia="en-US"/>
          <w14:textFill>
            <w14:solidFill>
              <w14:schemeClr w14:val="tx1"/>
            </w14:solidFill>
          </w14:textFill>
        </w:rPr>
        <w:t xml:space="preserve">工程地点：本工程位于苏州市</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东</w:t>
      </w:r>
      <w:r>
        <w:rPr>
          <w:rFonts w:hint="eastAsia" w:ascii="新宋体" w:hAnsi="新宋体" w:eastAsia="新宋体" w:cs="宋体"/>
          <w:color w:val="000000" w:themeColor="text1"/>
          <w:szCs w:val="21"/>
          <w:highlight w:val="none"/>
          <w:lang w:val="en-US" w:eastAsia="en-US"/>
          <w14:textFill>
            <w14:solidFill>
              <w14:schemeClr w14:val="tx1"/>
            </w14:solidFill>
          </w14:textFill>
        </w:rPr>
        <w:t xml:space="preserve">园区域内。</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资金来源：财政资金。</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项目质量要求：合格。</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项目承包方式：包工包料。</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工程报价方式：固定综合单价。</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验收标准：根据现行国家、行业相关技术、施工及验收标准、规范规程及采购需求进行验</w:t>
      </w:r>
      <w:r/>
    </w:p>
    <w:p>
      <w:pPr>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收。 </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质保期：1年</w:t>
      </w:r>
      <w:r/>
    </w:p>
    <w:p>
      <w:pPr>
        <w:numPr>
          <w:ilvl w:val="0"/>
          <w:numId w:val="3"/>
        </w:num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施工要求</w:t>
      </w:r>
      <w:r>
        <w:rPr>
          <w:rFonts w:hint="eastAsia" w:ascii="新宋体" w:hAnsi="新宋体" w:eastAsia="新宋体" w:cs="宋体"/>
          <w:color w:val="000000" w:themeColor="text1"/>
          <w:szCs w:val="21"/>
          <w:highlight w:val="none"/>
          <w14:textFill>
            <w14:solidFill>
              <w14:schemeClr w14:val="tx1"/>
            </w14:solidFill>
          </w14:textFill>
        </w:rPr>
        <w:t xml:space="preserve">：</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1.施工组织设计要求：施工组织设计包括总体概述、施工总体进度计划、分部分项工程施工方案应科学 合理；劳动力配备合理，工作任务明确，人员组织到位；机械设备投入符合项目要求，有详尽的计划， 项目实施进度、时间，关键节点和里程碑设置清晰准确；安全文明施工措施、季节性施工措施科学、 合理、操作性强，施工质量保证措施科学、合理，给出应对措施验收条件明晰可行。</w:t>
      </w:r>
      <w:r/>
    </w:p>
    <w:p>
      <w:pPr>
        <w:ind w:firstLine="480"/>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2.施工应符合现行国家技术、施工及验收规范（规程）及江苏省、苏州市的有关规定。</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应按标书、工程量清单及施工图纸（如有） 的有关要求进行施工</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3</w:t>
      </w:r>
      <w:r>
        <w:rPr>
          <w:rFonts w:hint="eastAsia" w:ascii="新宋体" w:hAnsi="新宋体" w:eastAsia="新宋体" w:cs="宋体"/>
          <w:color w:val="000000" w:themeColor="text1"/>
          <w:szCs w:val="21"/>
          <w:highlight w:val="none"/>
          <w14:textFill>
            <w14:solidFill>
              <w14:schemeClr w14:val="tx1"/>
            </w14:solidFill>
          </w14:textFill>
        </w:rPr>
        <w:t xml:space="preserve">.工程质量符合“合格 ”标准。</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4</w:t>
      </w:r>
      <w:r>
        <w:rPr>
          <w:rFonts w:hint="eastAsia" w:ascii="新宋体" w:hAnsi="新宋体" w:eastAsia="新宋体" w:cs="宋体"/>
          <w:color w:val="000000" w:themeColor="text1"/>
          <w:szCs w:val="21"/>
          <w:highlight w:val="none"/>
          <w14:textFill>
            <w14:solidFill>
              <w14:schemeClr w14:val="tx1"/>
            </w14:solidFill>
          </w14:textFill>
        </w:rPr>
        <w:t xml:space="preserve">.请响应单位自行现场踏勘，充分考虑周边环境影响因素（包括施工通道、地形高差、管线影响、古老树木影响及文明围挡措施等施工难度和技术要求）后进行</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报价，不得另行增加措施费用。运输车辆须充分考虑景区外部公共道路通行要求和景区内部绿化、环境和建筑物、构筑物保护要求，根据景 区出入口及园内通行道路配备合适车型，不得超高或超宽，不得损坏道路或碾压道路两旁绿化、构筑 物等，发生损坏照价赔偿或者修复至原样。原则上只允许使用中小型车辆，不得驾驶大型机械入场。 部分机动车无法到达的区域作业充分考虑二次搬运费用，费用包含在本次</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5</w:t>
      </w:r>
      <w:r>
        <w:rPr>
          <w:rFonts w:hint="eastAsia" w:ascii="新宋体" w:hAnsi="新宋体" w:eastAsia="新宋体" w:cs="宋体"/>
          <w:color w:val="000000" w:themeColor="text1"/>
          <w:szCs w:val="21"/>
          <w:highlight w:val="none"/>
          <w14:textFill>
            <w14:solidFill>
              <w14:schemeClr w14:val="tx1"/>
            </w14:solidFill>
          </w14:textFill>
        </w:rPr>
        <w:t xml:space="preserve">.工程竣工验收通过后（以竣工验收报告日期为准），</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应在三十天内向市财政局委托的工程造价咨询机构移交全部结算资料。结算资料移交后不得再行增补结算资料。因结算资料不全引起的结算造 价的误差， 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负责承担。超过三十天移交结算资料的</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，应承担相应的违约责任并支付违 约金。违约金的计算方法为：按逾期天数累计计算，每逾期一天支付</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 1000 元的违约金，该项违约金总额不得超过 2 万元。</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6</w:t>
      </w:r>
      <w:r>
        <w:rPr>
          <w:rFonts w:hint="eastAsia" w:ascii="新宋体" w:hAnsi="新宋体" w:eastAsia="新宋体" w:cs="宋体"/>
          <w:color w:val="000000" w:themeColor="text1"/>
          <w:szCs w:val="21"/>
          <w:highlight w:val="none"/>
          <w14:textFill>
            <w14:solidFill>
              <w14:schemeClr w14:val="tx1"/>
            </w14:solidFill>
          </w14:textFill>
        </w:rPr>
        <w:t xml:space="preserve">.响应报价时要求考虑环境等其他影响因素，对因施工现场各种因素考虑不全面，造成施工期间投入加大或其他费用增加，承包方不能因此提出索赔。承包方不得以成交价中未考虑施工组织设计的其他因素而推诿或提出索赔。</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7.</w:t>
      </w:r>
      <w:r>
        <w:rPr>
          <w:rFonts w:hint="eastAsia" w:ascii="新宋体" w:hAnsi="新宋体" w:eastAsia="新宋体" w:cs="宋体"/>
          <w:color w:val="000000" w:themeColor="text1"/>
          <w:szCs w:val="21"/>
          <w:highlight w:val="none"/>
          <w14:textFill>
            <w14:solidFill>
              <w14:schemeClr w14:val="tx1"/>
            </w14:solidFill>
          </w14:textFill>
        </w:rPr>
        <w:t xml:space="preserve">务必加强建设工程施工现场的场容管理、治安保卫管理、 消防管理、防火管理、噪音管理，文明施工管理,改善工地周边的景观环境，促进各建设项目的顺利实施，施工现场要求告知如下</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 </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成交单位应组织成立施工项目组。在施工过程中，严格按图纸、工程量清单及相关要求施工，核心游览区域施工现场禁止破坏古建筑本体、古建构筑物、园路、绿化等，如需局部保养维修或改造，需获得 管理处同意，方可实施（如施工单位对古建筑本体、古建构筑物、园路等进行保养维修，需按原有材料工艺 进行维修）。主材需要提供小样，封样，经业主、监理、设计同意后方可施工。</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2</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成交单位施工人员进入施工现场内（单位围墙内都属于施工现场），统一佩戴安全帽等防护装备，不得出现 敞胸露怀、吸烟、喝酒、打牌、玩手机（包括给手机充电）、睡觉、钓鱼等不文明行为。施工人员要佩戴安 全帽等防护措施进场进行各种专业施工。如遇游客等人员询问问题，注意文明用语。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3</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成交单位在施工前期做好准备工作，施工前现场（施工范围）做好全封闭围挡才能进行施工，围挡高度 需满足相关要求（现场无条件全封闭围挡情况下，需配备软质围挡进行封闭施工，并做好现场警示标牌工作）。 施工围栏及警示标牌应以美观、不影响园林环境为标准，并满足相关规定。同时做好防尘、噪音等文明施工 防护工作，杜绝投诉（投诉包括网络、电话12345等渠道）。</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4</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成交单位在施工区域需接临水临电及使用大功率电器需报备管理处职能部门及电工，经得同意方可实施。 并自行配备有资质施工人员进行安装，安装的临时电箱、临时电缆电线、水管等临时设施设备需满足相关的 质量规定（禁止安装三无电器线路），杜绝由临水临电电器线路，导致安全隐患（在每天施工收工前， 由施 工人员自行检查关闭电器开关及水阀）。</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5</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施工过程中如遇高空作业（1.5米以上为高空作业）、电力施工作业人员需配备符合安全规定的安全绳索、 梯子、鞋子等保护措施，施工过程中，现场需配备安全员全过程跟踪安全管理督促。成交单位开工前需对施 工人员做好安全教育工作，断绝安全隐患。</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6</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施工现场每日产生施工垃圾，需日产日清，做到每天工完场清。各种建筑材料、设备、工具等必须按施 工进度计划进入施工现场内，按规定存放整齐，杜绝乱堆乱放情况发生。</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7</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成交单位对施工现场内造成噪音污染的各种施工机械，要采取有效的隔音防噪措施，使受影响区域的噪 音符合标准（如必需在现场施工的，产生噪音的，无法达到隔音防噪措施的，需经建设方同意，方可施工）， 如达不到隔音防噪措施标准的，需在核心区范围以外进行施工，加工后进场安装。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8）</w:t>
      </w:r>
      <w:r>
        <w:rPr>
          <w:rFonts w:hint="eastAsia" w:ascii="新宋体" w:hAnsi="新宋体" w:eastAsia="新宋体" w:cs="宋体"/>
          <w:color w:val="000000" w:themeColor="text1"/>
          <w:szCs w:val="21"/>
          <w:highlight w:val="none"/>
          <w14:textFill>
            <w14:solidFill>
              <w14:schemeClr w14:val="tx1"/>
            </w14:solidFill>
          </w14:textFill>
        </w:rPr>
        <w:t xml:space="preserve">针对特殊工序施工要求，需切割、焊接、打磨等施工，影响周边环境污染及安全，易引起火灾的，需在 核心游览区域外加工完成后，并运至现场进行安装施工。如施工现场必需进行切割、焊接、打磨等安全风险 施工。实施方需提前报备业务科室和安保科，并办理相关审批手续。具体施工时需有实施方安全员驻扎现场 进行安全管理，并配备灭火器等防护措施，杜绝安全隐患。</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9</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成交单位在施工过程中，施工人员、材料进出需办理相关审批手续，并提供相应的审批纸质材料</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10</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成交单位施工现场要有严格的成品保护措施和制度，未竣工交付使用的房屋建筑和卫生间一律不得使用， 造成建筑成品污损或管道堵塞的，实施单位负责无偿修复。</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11</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成交单位原则上不得进行夜间施工，如确实有必要，应提前向管理处有关职能部门（建设方责任科室和 安保科）提前申报，经审批后方可进行施工。</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12</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成交单位必需严格执行安全用电管理，不得使用不符合规范安全要求的电器，用电接电及使用大功率电 器需报备职能部门及管理处电工，经得同意方可实施。</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13</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成交单位现场负责人或项目经理就是施工现场的场容管理、治安管理、消防管理、防火管理、噪声、施 工人员等管理的总负责人。</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14</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材料运输至施工现场过程中，避免对园内及办公区道路抛洒污染，做好清理处理措施（污染路面实施单 位需在第一时间进行清理工作）。运输推车做好保护措施，避免对建筑物（包括墙体、木柱、木门等）造成 碰撞破坏。施工人员在运输过程中，如碰到游客及其他人员，注意文明用语提醒，避免运输推车碰到游客及 其他人员。</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15</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竣工资料要求目录：1）前期资料（</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采购公告</w:t>
      </w: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招标（采购）文件</w:t>
      </w:r>
      <w:r>
        <w:rPr>
          <w:rFonts w:hint="eastAsia" w:ascii="新宋体" w:hAnsi="新宋体" w:eastAsia="新宋体" w:cs="宋体"/>
          <w:color w:val="000000" w:themeColor="text1"/>
          <w:szCs w:val="21"/>
          <w:highlight w:val="none"/>
          <w14:textFill>
            <w14:solidFill>
              <w14:schemeClr w14:val="tx1"/>
            </w14:solidFill>
          </w14:textFill>
        </w:rPr>
        <w:t xml:space="preserve">、中标通知书等整套前期</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采购资料</w:t>
      </w:r>
      <w:r>
        <w:rPr>
          <w:rFonts w:hint="eastAsia" w:ascii="新宋体" w:hAnsi="新宋体" w:eastAsia="新宋体" w:cs="宋体"/>
          <w:color w:val="000000" w:themeColor="text1"/>
          <w:szCs w:val="21"/>
          <w:highlight w:val="none"/>
          <w14:textFill>
            <w14:solidFill>
              <w14:schemeClr w14:val="tx1"/>
            </w14:solidFill>
          </w14:textFill>
        </w:rPr>
        <w:t xml:space="preserve">）2）中标通知书（盖建设单位公章）3）施工合同（提供原件）4）施工组织设计（包括工期计划、应急方案等报审资料）5）设计交底6）开工报告7）工序报验（包括材料报验及工序报验等）8）通知书及联系单（包括联系单及回 复等）9）预验收申请（包括预验收审核等）10）竣工证明书（包括监理工程质量评估报告、施工单位自评报 告</w:t>
      </w:r>
      <w:r>
        <w:rPr>
          <w:rFonts w:hint="eastAsia" w:ascii="新宋体" w:hAnsi="新宋体" w:eastAsia="新宋体" w:cs="宋体"/>
          <w:color w:val="000000" w:themeColor="text1"/>
          <w:szCs w:val="21"/>
          <w:highlight w:val="none"/>
          <w14:textFill>
            <w14:solidFill>
              <w14:schemeClr w14:val="tx1"/>
            </w14:solidFill>
          </w14:textFill>
        </w:rPr>
        <w:t xml:space="preserve">等资料）11）施工照片（要求施工前照片、施工过程照片、施工完成照片、所有照片彩色打印）12）签证 单、技术核定单（变更资料包括：签证单、技术核定单、图纸、工程量计算确认书等资料）13）工程量计算 书14）工程量确认单15）送审结算书16）支付情况说明（包括施工发票复印件）17）竣工资料移交单18）施 工图纸（有设计院出图章）19）竣工图纸（有竣工图章）等，提供四套原件，竣工资料由实施单位负责装订 成册，涉及费用考虑在报价中。竣工资料整套在竣工验收前一天移交甲方，如不移交不予验收，涉及后果由中标单位自行承担。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16</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施工质量应符合现行国家技术、施工及验收规范规程，对施工工艺的特殊要求，按设计图纸及国家有关 规定执行。成交单位切实加强各自监督督导工作，工作需相互支持、密切配合，打好坚实的基础，确保工作 的顺利进行，如实施单位违反以上规定，按签定得合同违约条款进行处罚。</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8.</w:t>
      </w:r>
      <w:r>
        <w:rPr>
          <w:rFonts w:hint="eastAsia" w:ascii="新宋体" w:hAnsi="新宋体" w:eastAsia="新宋体" w:cs="宋体"/>
          <w:color w:val="000000" w:themeColor="text1"/>
          <w:szCs w:val="21"/>
          <w:highlight w:val="none"/>
          <w14:textFill>
            <w14:solidFill>
              <w14:schemeClr w14:val="tx1"/>
            </w14:solidFill>
          </w14:textFill>
        </w:rPr>
        <w:t xml:space="preserve">安全文明</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w:t>
      </w:r>
      <w:r>
        <w:rPr>
          <w:rFonts w:hint="eastAsia" w:ascii="新宋体" w:hAnsi="新宋体" w:eastAsia="新宋体" w:cs="宋体"/>
          <w:color w:val="000000" w:themeColor="text1"/>
          <w:szCs w:val="21"/>
          <w:highlight w:val="none"/>
          <w14:textFill>
            <w14:solidFill>
              <w14:schemeClr w14:val="tx1"/>
            </w14:solidFill>
          </w14:textFill>
        </w:rPr>
        <w:t xml:space="preserve">作为本工程总承包管理单位，</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应全面负责本工程现场安全文明管理。</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2</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本工程所产生的垃圾和多余土方的需运出区域范围处理，必须满足建设、规划、城管、环保等部门要 求， 由此引起的费用自行考虑计入</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报价内，结算时不调整。</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3</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由于</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安全文明施工问题造成</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被他人索赔，</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保留向</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索赔的权利。涉及安全文明施工的所有费用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响应人</w:t>
      </w:r>
      <w:r>
        <w:rPr>
          <w:rFonts w:hint="eastAsia" w:ascii="新宋体" w:hAnsi="新宋体" w:eastAsia="新宋体" w:cs="宋体"/>
          <w:color w:val="000000" w:themeColor="text1"/>
          <w:szCs w:val="21"/>
          <w:highlight w:val="none"/>
          <w14:textFill>
            <w14:solidFill>
              <w14:schemeClr w14:val="tx1"/>
            </w14:solidFill>
          </w14:textFill>
        </w:rPr>
        <w:t xml:space="preserve">应考虑在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总价中。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9.</w:t>
      </w:r>
      <w:r>
        <w:rPr>
          <w:rFonts w:hint="eastAsia" w:ascii="新宋体" w:hAnsi="新宋体" w:eastAsia="新宋体" w:cs="宋体"/>
          <w:color w:val="000000" w:themeColor="text1"/>
          <w:szCs w:val="21"/>
          <w:highlight w:val="none"/>
          <w14:textFill>
            <w14:solidFill>
              <w14:schemeClr w14:val="tx1"/>
            </w14:solidFill>
          </w14:textFill>
        </w:rPr>
        <w:t xml:space="preserve">工期要求</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本工程至竣工验收的工期为</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90日历天</w:t>
      </w:r>
      <w:r>
        <w:rPr>
          <w:rFonts w:hint="eastAsia" w:ascii="新宋体" w:hAnsi="新宋体" w:eastAsia="新宋体" w:cs="宋体"/>
          <w:color w:val="000000" w:themeColor="text1"/>
          <w:szCs w:val="21"/>
          <w:highlight w:val="none"/>
          <w14:textFill>
            <w14:solidFill>
              <w14:schemeClr w14:val="tx1"/>
            </w14:solidFill>
          </w14:textFill>
        </w:rPr>
        <w:t xml:space="preserve">(已包括所有节假日、雨雪天等)， </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在整个工期内需承担总的管理与配合的职责。</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2</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必须考虑采取一切必要的措施来保证工程按期完成，</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认为</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在标价中已充分考虑了 由此而引起的一切费用。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应考虑到气候 因素对工程施工的影响，气候因素应是</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应考虑到的风险。</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不接受</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因气候因素而提出的任何索赔。</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在施工过程中，在未得到</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同意的情况下，不得以任何理由顺延工期。</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10.</w:t>
      </w:r>
      <w:r>
        <w:rPr>
          <w:rFonts w:hint="eastAsia" w:ascii="新宋体" w:hAnsi="新宋体" w:eastAsia="新宋体" w:cs="宋体"/>
          <w:color w:val="000000" w:themeColor="text1"/>
          <w:szCs w:val="21"/>
          <w:highlight w:val="none"/>
          <w14:textFill>
            <w14:solidFill>
              <w14:schemeClr w14:val="tx1"/>
            </w14:solidFill>
          </w14:textFill>
        </w:rPr>
        <w:t xml:space="preserve">工程通用要求</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响应单位应充分踏勘现场，为完成工程内容所需的一切辅助工作，包括临设、水电、排水、交通运输等，均应充分踏勘，相关费用自行考虑。</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2</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本工程各项相关手续齐全后</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方可进场施工，</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需自行考虑办理相关手续周期，若办理前期手续延误开工时间，</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不得提出费用索赔。</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3）</w:t>
      </w:r>
      <w:r>
        <w:rPr>
          <w:rFonts w:hint="eastAsia" w:ascii="新宋体" w:hAnsi="新宋体" w:eastAsia="新宋体" w:cs="宋体"/>
          <w:color w:val="000000" w:themeColor="text1"/>
          <w:szCs w:val="21"/>
          <w:highlight w:val="none"/>
          <w14:textFill>
            <w14:solidFill>
              <w14:schemeClr w14:val="tx1"/>
            </w14:solidFill>
          </w14:textFill>
        </w:rPr>
        <w:t xml:space="preserve">现场文明施工须参照苏州市规建委、质、安监现场形象标准执行，达到同等及以上标准，该部分所有 的费用考虑在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总价中。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4）</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还应负责</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现场的垃圾清运及其它环境卫生工作，施工现场及道路保洁由专人负责，保证 施工现场及场内外运输通道保洁。</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5</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涉及文明施工的所有费用应考虑</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总价中。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6）</w:t>
      </w:r>
      <w:r>
        <w:rPr>
          <w:rFonts w:hint="eastAsia" w:ascii="新宋体" w:hAnsi="新宋体" w:eastAsia="新宋体" w:cs="宋体"/>
          <w:color w:val="000000" w:themeColor="text1"/>
          <w:szCs w:val="21"/>
          <w:highlight w:val="none"/>
          <w14:textFill>
            <w14:solidFill>
              <w14:schemeClr w14:val="tx1"/>
            </w14:solidFill>
          </w14:textFill>
        </w:rPr>
        <w:t xml:space="preserve">本项目实施过程中可能发生变更，最终变更方式参照《苏州市市级政府投资建筑工程变更备案管理实施细则》（苏住建规〔2018〕1 号）及《关于调整市级政府投资建设项目工程变更管理方式的通知》（苏住建建〔2025〕18号）执行。</w:t>
      </w:r>
      <w:r/>
    </w:p>
    <w:p>
      <w:pPr>
        <w:ind w:firstLine="420"/>
        <w:spacing w:line="400" w:lineRule="exact"/>
        <w:rPr>
          <w:rFonts w:hint="default" w:ascii="新宋体" w:hAnsi="新宋体" w:eastAsia="新宋体" w:cs="宋体"/>
          <w:color w:val="000000" w:themeColor="text1"/>
          <w:szCs w:val="21"/>
          <w:highlight w:val="none"/>
          <w:lang w:val="en-US" w:eastAsia="zh-CN"/>
          <w14:textFill>
            <w14:solidFill>
              <w14:schemeClr w14:val="tx1"/>
            </w14:solidFill>
          </w14:textFill>
        </w:rPr>
      </w:pPr>
      <w:r>
        <w:rPr>
          <w:rFonts w:hint="default" w:ascii="新宋体" w:hAnsi="新宋体" w:eastAsia="新宋体" w:cs="宋体"/>
          <w:color w:val="000000" w:themeColor="text1"/>
          <w:szCs w:val="21"/>
          <w:highlight w:val="none"/>
          <w:lang w:val="en-US" w:eastAsia="zh-CN"/>
          <w14:textFill>
            <w14:solidFill>
              <w14:schemeClr w14:val="tx1"/>
            </w14:solidFill>
          </w14:textFill>
        </w:rPr>
      </w:r>
      <w:r/>
    </w:p>
    <w:p>
      <w:pPr>
        <w:ind w:firstLine="480"/>
        <w:spacing w:line="400" w:lineRule="exact"/>
        <w:rPr>
          <w:rFonts w:hint="eastAsia"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七、</w:t>
      </w:r>
      <w:r>
        <w:rPr>
          <w:rFonts w:hint="eastAsia" w:ascii="新宋体" w:hAnsi="新宋体" w:eastAsia="新宋体" w:cs="宋体"/>
          <w:color w:val="000000" w:themeColor="text1"/>
          <w:szCs w:val="21"/>
          <w:highlight w:val="none"/>
          <w14:textFill>
            <w14:solidFill>
              <w14:schemeClr w14:val="tx1"/>
            </w14:solidFill>
          </w14:textFill>
        </w:rPr>
        <w:t xml:space="preserve">综合说明</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1.报价说明：</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报价方式：本工程项目采用固定综合单价报价方式。</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（1）参加磋商供应商报价时，必须按统一的工程量清单报价，成交后，本工程中工程量清单项目的综合单价按供应商己标价工程量清单二次</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报价</w:t>
      </w:r>
      <w:r>
        <w:rPr>
          <w:rFonts w:hint="eastAsia" w:ascii="新宋体" w:hAnsi="新宋体" w:eastAsia="新宋体" w:cs="宋体"/>
          <w:color w:val="000000" w:themeColor="text1"/>
          <w:szCs w:val="21"/>
          <w:highlight w:val="none"/>
          <w14:textFill>
            <w14:solidFill>
              <w14:schemeClr w14:val="tx1"/>
            </w14:solidFill>
          </w14:textFill>
        </w:rPr>
        <w:t xml:space="preserve">下浮（如有）之后的综合单价执行，最终价格以审计为准。</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2</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本工程在磋商文件中已明确的各项施工措施费，均包含在合同总价中。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3</w:t>
      </w:r>
      <w:r>
        <w:rPr>
          <w:rFonts w:hint="eastAsia" w:ascii="新宋体" w:hAnsi="新宋体" w:eastAsia="新宋体" w:cs="宋体"/>
          <w:color w:val="000000" w:themeColor="text1"/>
          <w:szCs w:val="21"/>
          <w:highlight w:val="none"/>
          <w14:textFill>
            <w14:solidFill>
              <w14:schemeClr w14:val="tx1"/>
            </w14:solidFill>
          </w14:textFill>
        </w:rPr>
        <w:t xml:space="preserve">）计价格式中列明的所有需要填报的单价和合价，供应商均需填报，未填报的单价和合价，视为此项费用已包含在工程量清单的其他单价和合价中。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4</w:t>
      </w:r>
      <w:r>
        <w:rPr>
          <w:rFonts w:hint="eastAsia" w:ascii="新宋体" w:hAnsi="新宋体" w:eastAsia="新宋体" w:cs="宋体"/>
          <w:color w:val="000000" w:themeColor="text1"/>
          <w:szCs w:val="21"/>
          <w:highlight w:val="none"/>
          <w14:textFill>
            <w14:solidFill>
              <w14:schemeClr w14:val="tx1"/>
            </w14:solidFill>
          </w14:textFill>
        </w:rPr>
        <w:t xml:space="preserve">）包装和运输：本项目服务所涉及的包装和运输均由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负责。</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5</w:t>
      </w:r>
      <w:r>
        <w:rPr>
          <w:rFonts w:hint="eastAsia" w:ascii="新宋体" w:hAnsi="新宋体" w:eastAsia="新宋体" w:cs="宋体"/>
          <w:color w:val="000000" w:themeColor="text1"/>
          <w:szCs w:val="21"/>
          <w:highlight w:val="none"/>
          <w14:textFill>
            <w14:solidFill>
              <w14:schemeClr w14:val="tx1"/>
            </w14:solidFill>
          </w14:textFill>
        </w:rPr>
        <w:t xml:space="preserve">）保险：</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的工作人员保险由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负责。</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2.本项目报价包括完成该项目所需的全部人工费、材料费、机械使用费、管理费、利润、工程风险， 以及所需的深化设计、施工准备、施工过程、保修期等所需的供货、运输、人工、运杂保险、装卸、备品、备件、损耗、安装、调试、人员培训、售后服务、专利技术等一切费用。在合同实施期间，不增加任何费用。在合同实施期间，不增加任何费用。</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3.采购人在安装现场提供水源、电源接驳， 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装表计量，水电费由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4.</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所有临时设施不需要再使用时，如采购人要求拆除，成交单位应立即无条件拆除。</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5.</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必须对所提供货物和服务等知识产权方面的一切产权关系负全部责任</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由此而引起的法律纠纷 以及费用</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须全部承担。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6.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7.</w:t>
      </w:r>
      <w:r>
        <w:rPr>
          <w:rFonts w:hint="eastAsia" w:ascii="新宋体" w:hAnsi="新宋体" w:eastAsia="新宋体" w:cs="宋体"/>
          <w:color w:val="000000" w:themeColor="text1"/>
          <w:szCs w:val="21"/>
          <w:highlight w:val="none"/>
          <w14:textFill>
            <w14:solidFill>
              <w14:schemeClr w14:val="tx1"/>
            </w14:solidFill>
          </w14:textFill>
        </w:rPr>
        <w:t xml:space="preserve">本项目采购需求均不允许出现负偏离，否则视为非实质性响应磋商文件的要求。</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8.</w:t>
      </w:r>
      <w:r>
        <w:rPr>
          <w:rFonts w:hint="eastAsia" w:ascii="新宋体" w:hAnsi="新宋体" w:eastAsia="新宋体" w:cs="宋体"/>
          <w:color w:val="000000" w:themeColor="text1"/>
          <w:szCs w:val="21"/>
          <w:highlight w:val="none"/>
          <w14:textFill>
            <w14:solidFill>
              <w14:schemeClr w14:val="tx1"/>
            </w14:solidFill>
          </w14:textFill>
        </w:rPr>
        <w:t xml:space="preserve">采购文件提出的是最低限度的要求，并未对一切细节作出规定，也未充分引述全部有关标准和规范的 条文，供应商所提供的相关货物或服务都应符合已颁布的现行的国家标准、行业标准和地方标准，并应达到或优于采购文件要求。若采购文件中涉及品牌或品牌导向，则仅作参考。</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9.</w:t>
      </w:r>
      <w:r>
        <w:rPr>
          <w:rFonts w:hint="eastAsia" w:ascii="新宋体" w:hAnsi="新宋体" w:eastAsia="新宋体" w:cs="宋体"/>
          <w:color w:val="000000" w:themeColor="text1"/>
          <w:szCs w:val="21"/>
          <w:highlight w:val="none"/>
          <w14:textFill>
            <w14:solidFill>
              <w14:schemeClr w14:val="tx1"/>
            </w14:solidFill>
          </w14:textFill>
        </w:rPr>
        <w:t xml:space="preserve">根据财政部、发展改革委、生态环境部、市场监管总局关于调整优化节能产品、环境标志产品政府采购执行机制的通知：</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(1)本次拟采购产品如属于政府采购节能产品品目清单（强制采购）范围、环境标志产品政府采购品目清单内，响应单位应当提供由国家确定的认证机构出具的、处于有效期之内的节能产品认证证书复印件， 否则视为无效</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(2)本次拟采购的其他产品中未涉及到节能强制采购产品、优先采购节能产品、优先采购环保产品。</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10</w:t>
      </w:r>
      <w:r>
        <w:rPr>
          <w:rFonts w:hint="eastAsia" w:ascii="新宋体" w:hAnsi="新宋体" w:eastAsia="新宋体" w:cs="宋体"/>
          <w:color w:val="000000" w:themeColor="text1"/>
          <w:szCs w:val="21"/>
          <w:highlight w:val="none"/>
          <w14:textFill>
            <w14:solidFill>
              <w14:schemeClr w14:val="tx1"/>
            </w14:solidFill>
          </w14:textFill>
        </w:rPr>
        <w:t xml:space="preserve">. 响应单位必须承诺响应采购文件中提出的全部服务要求，如果对其中某些条款不响应时，必须在文件中逐条列出。</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11.</w:t>
      </w:r>
      <w:r>
        <w:rPr>
          <w:rFonts w:hint="eastAsia" w:ascii="新宋体" w:hAnsi="新宋体" w:eastAsia="新宋体" w:cs="宋体"/>
          <w:color w:val="000000" w:themeColor="text1"/>
          <w:szCs w:val="21"/>
          <w:highlight w:val="none"/>
          <w14:textFill>
            <w14:solidFill>
              <w14:schemeClr w14:val="tx1"/>
            </w14:solidFill>
          </w14:textFill>
        </w:rPr>
        <w:t xml:space="preserve">响应文件内容须真实、准确、有效，如提供虚假材料或对采购文件所要求说明的情况故 意隐瞒或虚报，视为不实质性响应采购要求，其响应文件将被拒绝。 已成交的将取消成交资格，并按相关法律法规处理。</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12.</w:t>
      </w:r>
      <w:r>
        <w:rPr>
          <w:rFonts w:hint="eastAsia" w:ascii="新宋体" w:hAnsi="新宋体" w:eastAsia="新宋体" w:cs="宋体"/>
          <w:color w:val="000000" w:themeColor="text1"/>
          <w:szCs w:val="21"/>
          <w:highlight w:val="none"/>
          <w14:textFill>
            <w14:solidFill>
              <w14:schemeClr w14:val="tx1"/>
            </w14:solidFill>
          </w14:textFill>
        </w:rPr>
        <w:t xml:space="preserve">响应报价</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应当</w:t>
      </w:r>
      <w:r>
        <w:rPr>
          <w:rFonts w:hint="eastAsia" w:ascii="新宋体" w:hAnsi="新宋体" w:eastAsia="新宋体" w:cs="宋体"/>
          <w:color w:val="000000" w:themeColor="text1"/>
          <w:szCs w:val="21"/>
          <w:highlight w:val="none"/>
          <w14:textFill>
            <w14:solidFill>
              <w14:schemeClr w14:val="tx1"/>
            </w14:solidFill>
          </w14:textFill>
        </w:rPr>
        <w:t xml:space="preserve">对所要采购的全部内容进行报价，只投其中部分内容者，其响应文件将被拒绝，采购人除支付本次采购项目的成交金额外不再承担其他任何费用。</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13.</w:t>
      </w:r>
      <w:r>
        <w:rPr>
          <w:rFonts w:hint="eastAsia" w:ascii="新宋体" w:hAnsi="新宋体" w:eastAsia="新宋体" w:cs="宋体"/>
          <w:color w:val="000000" w:themeColor="text1"/>
          <w:szCs w:val="21"/>
          <w:highlight w:val="none"/>
          <w14:textFill>
            <w14:solidFill>
              <w14:schemeClr w14:val="tx1"/>
            </w14:solidFill>
          </w14:textFill>
        </w:rPr>
        <w:t xml:space="preserve">本项目验收时采购人有权委托第三方进行各项检测，如不符合采购要求则不予通过验收。</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对货物或服务缺陷不予更正，采购人有权另请其他单位更正，所发生的费用在</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所提交的履约保证金中或应付款</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中</w:t>
      </w:r>
      <w:r>
        <w:rPr>
          <w:rFonts w:hint="eastAsia" w:ascii="新宋体" w:hAnsi="新宋体" w:eastAsia="新宋体" w:cs="宋体"/>
          <w:color w:val="000000" w:themeColor="text1"/>
          <w:szCs w:val="21"/>
          <w:highlight w:val="none"/>
          <w14:textFill>
            <w14:solidFill>
              <w14:schemeClr w14:val="tx1"/>
            </w14:solidFill>
          </w14:textFill>
        </w:rPr>
        <w:t xml:space="preserve">扣除，如不足以补偿更正金额，采购人有权对不足部分提出的补偿。</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14.</w:t>
      </w:r>
      <w:r>
        <w:rPr>
          <w:rFonts w:hint="eastAsia" w:ascii="新宋体" w:hAnsi="新宋体" w:eastAsia="新宋体" w:cs="宋体"/>
          <w:color w:val="000000" w:themeColor="text1"/>
          <w:szCs w:val="21"/>
          <w:highlight w:val="none"/>
          <w14:textFill>
            <w14:solidFill>
              <w14:schemeClr w14:val="tx1"/>
            </w14:solidFill>
          </w14:textFill>
        </w:rPr>
        <w:t xml:space="preserve">服务响应要求：接到采购人通知后 2 小时内响应，4 小时内到达现场，24 小时内解决问题。</w:t>
      </w:r>
      <w:r/>
    </w:p>
    <w:p>
      <w:pPr>
        <w:ind w:firstLine="480"/>
        <w:spacing w:line="400" w:lineRule="exact"/>
        <w:rPr>
          <w:highlight w:val="none"/>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15.工程量清单、图纸（另附）请各潜在投标（响应）单位请自行去百度网盘下载（百度网盘下载地址：https://pan.baidu.com/s/12Hux6m5RQwMdooR0DXqdXA 提取码: iays 复制这段内容后打开百度网盘手机App，操作更方便哦）。若下载有问题请及时联系代理公司，联系电话0512-69157588*816。</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八</w:t>
      </w:r>
      <w:r>
        <w:rPr>
          <w:rFonts w:hint="eastAsia" w:ascii="新宋体" w:hAnsi="新宋体" w:eastAsia="新宋体" w:cs="宋体"/>
          <w:color w:val="000000" w:themeColor="text1"/>
          <w:szCs w:val="21"/>
          <w:highlight w:val="none"/>
          <w14:textFill>
            <w14:solidFill>
              <w14:schemeClr w14:val="tx1"/>
            </w14:solidFill>
          </w14:textFill>
        </w:rPr>
        <w:t xml:space="preserve">、若</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出现下列情形的将被解除承包合同：</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1、将承包的项目转包他人；</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2、违反</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w:t>
      </w:r>
      <w:r>
        <w:rPr>
          <w:rFonts w:hint="eastAsia" w:ascii="新宋体" w:hAnsi="新宋体" w:eastAsia="新宋体" w:cs="宋体"/>
          <w:color w:val="000000" w:themeColor="text1"/>
          <w:szCs w:val="21"/>
          <w:highlight w:val="none"/>
          <w14:textFill>
            <w14:solidFill>
              <w14:schemeClr w14:val="tx1"/>
            </w14:solidFill>
          </w14:textFill>
        </w:rPr>
        <w:t xml:space="preserve">文件的有关规定；</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3、出现重大问题或重大事故造成严重影响的。</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九、</w:t>
      </w:r>
      <w:r>
        <w:rPr>
          <w:rFonts w:hint="eastAsia" w:ascii="新宋体" w:hAnsi="新宋体" w:eastAsia="新宋体" w:cs="宋体"/>
          <w:color w:val="000000" w:themeColor="text1"/>
          <w:szCs w:val="21"/>
          <w:highlight w:val="none"/>
          <w14:textFill>
            <w14:solidFill>
              <w14:schemeClr w14:val="tx1"/>
            </w14:solidFill>
          </w14:textFill>
        </w:rPr>
        <w:t xml:space="preserve">凡涉及</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w:t>
      </w:r>
      <w:r>
        <w:rPr>
          <w:rFonts w:hint="eastAsia" w:ascii="新宋体" w:hAnsi="新宋体" w:eastAsia="新宋体" w:cs="宋体"/>
          <w:color w:val="000000" w:themeColor="text1"/>
          <w:szCs w:val="21"/>
          <w:highlight w:val="none"/>
          <w14:textFill>
            <w14:solidFill>
              <w14:schemeClr w14:val="tx1"/>
            </w14:solidFill>
          </w14:textFill>
        </w:rPr>
        <w:t xml:space="preserve">文件的补充说明和修改，均以政府采购网上发布的通知为准。</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r>
        <w:rPr>
          <w:rFonts w:hint="eastAsia" w:ascii="宋体" w:hAnsi="宋体"/>
          <w:b/>
          <w:bCs/>
          <w:color w:val="000000" w:themeColor="text1"/>
          <w:sz w:val="32"/>
          <w:szCs w:val="32"/>
          <w:highlight w:val="none"/>
          <w14:textFill>
            <w14:solidFill>
              <w14:schemeClr w14:val="tx1"/>
            </w14:solidFill>
          </w14:textFill>
        </w:rPr>
        <w:t xml:space="preserve">四、评审方法及评分标准</w:t>
      </w:r>
      <w:r/>
      <w:r>
        <w:rPr>
          <w:rFonts w:hint="eastAsia" w:ascii="宋体" w:hAnsi="宋体"/>
          <w:b/>
          <w:bCs/>
          <w:color w:val="000000" w:themeColor="text1"/>
          <w:sz w:val="32"/>
          <w:szCs w:val="32"/>
          <w:highlight w:val="none"/>
          <w14:textFill>
            <w14:solidFill>
              <w14:schemeClr w14:val="tx1"/>
            </w14:solidFill>
          </w14:textFill>
        </w:rP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一、评</w:t>
      </w:r>
      <w:r>
        <w:rPr>
          <w:rFonts w:hint="eastAsia" w:ascii="宋体" w:hAnsi="宋体" w:cs="宋体"/>
          <w:bCs/>
          <w:color w:val="000000" w:themeColor="text1"/>
          <w:szCs w:val="21"/>
          <w:highlight w:val="none"/>
          <w:lang w:val="en-US" w:eastAsia="zh-CN"/>
          <w14:textFill>
            <w14:solidFill>
              <w14:schemeClr w14:val="tx1"/>
            </w14:solidFill>
          </w14:textFill>
        </w:rPr>
        <w:t xml:space="preserve">审</w:t>
      </w:r>
      <w:r>
        <w:rPr>
          <w:rFonts w:hint="eastAsia" w:ascii="宋体" w:hAnsi="宋体" w:cs="宋体"/>
          <w:bCs/>
          <w:color w:val="000000" w:themeColor="text1"/>
          <w:szCs w:val="21"/>
          <w:highlight w:val="none"/>
          <w:lang w:val="zh-CN"/>
          <w14:textFill>
            <w14:solidFill>
              <w14:schemeClr w14:val="tx1"/>
            </w14:solidFill>
          </w14:textFill>
        </w:rPr>
        <w:t xml:space="preserve">办法</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1、本次</w:t>
      </w:r>
      <w:r>
        <w:rPr>
          <w:rFonts w:hint="eastAsia" w:ascii="宋体" w:hAnsi="宋体" w:cs="宋体"/>
          <w:bCs/>
          <w:color w:val="000000" w:themeColor="text1"/>
          <w:szCs w:val="21"/>
          <w:highlight w:val="none"/>
          <w:lang w:val="en-US" w:eastAsia="zh-CN"/>
          <w14:textFill>
            <w14:solidFill>
              <w14:schemeClr w14:val="tx1"/>
            </w14:solidFill>
          </w14:textFill>
        </w:rPr>
        <w:t xml:space="preserve">采购</w:t>
      </w:r>
      <w:r>
        <w:rPr>
          <w:rFonts w:hint="eastAsia" w:ascii="宋体" w:hAnsi="宋体" w:cs="宋体"/>
          <w:bCs/>
          <w:color w:val="000000" w:themeColor="text1"/>
          <w:szCs w:val="21"/>
          <w:highlight w:val="none"/>
          <w:lang w:val="zh-CN"/>
          <w14:textFill>
            <w14:solidFill>
              <w14:schemeClr w14:val="tx1"/>
            </w14:solidFill>
          </w14:textFill>
        </w:rPr>
        <w:t xml:space="preserve">采用为综合评分法，即在满足招标（采购）文件实质性要求前提下，按照招标（采购）文件中规定的评分标准和各项因素进行综合评审后，以总得分最高的响应人作为相应标段的中标候选人。</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评标委员会（评审委员会）各成员独立对每个进入打分程序的有效响应人的标书技术部分以打分的形式进行评审和评价（计算结果均四舍五入保留两位小数）。对评委的评分（除价格分外）进行统计汇总，直接算术平均计算得分. </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3、对评委的评分（除价格分外）进行统计汇总，计算出每个响应人的得分，加上价格得分即为每个响应人的综合得分。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4、如出现总得分最高的响应人有两个或两个以上的，以投标（响应）报价较低者优先作为该标段中标候选人，如果投标（响应）报价也相同的，则由采购方组织以抽签方式确定中标候选人。</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5、针对小微型企业的评审：</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5.1、根据财政部、工业和信息化部关于印发《政府采购促进中小企业发展管理办法》的通知规定：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（1）本项目属于专门面向中小企业采购。</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（3）本项目采购标的对应的中小企业划分标准所属行业为：</w:t>
      </w:r>
      <w:r>
        <w:rPr>
          <w:rFonts w:hint="eastAsia" w:ascii="宋体" w:hAnsi="宋体" w:cs="宋体"/>
          <w:bCs/>
          <w:color w:val="000000" w:themeColor="text1"/>
          <w:szCs w:val="21"/>
          <w:highlight w:val="none"/>
          <w:lang w:val="en-US" w:eastAsia="zh-CN"/>
          <w14:textFill>
            <w14:solidFill>
              <w14:schemeClr w14:val="tx1"/>
            </w14:solidFill>
          </w14:textFill>
        </w:rPr>
        <w:t xml:space="preserve">建筑业</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5.2、残疾人福利性单位</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5.3、监狱企业</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信用查询：根据政府采购法及相关法规，以及苏州市财政局《关于印发苏州市市级政府采购信用记录查询和使用工作试行办法的通知》（苏财购（2017）11号）文件的规定，我们将对供应商进行信用查询，凡经评审委员会确认不符合政府采购相关法律法规规定的，将拒绝其参与政府采购活动。</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6.1、查询时间：响应文件递交截止时间。 </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6.2、查询渠道：</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采购代理机构会在接收投标（响应）文件截止时间后，登录信用中国网站（www.creditchina.gov.cn）和中国政府采购网（www.ccgp.gov.cn/）查询供应商的信用记录，并将查询结果递交评标委员会（评审委员会）。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6.3、查询证据留存方式：</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对存在失信信息的供应商，评审委员会填写《苏州市级政府采购供应商失信信息确认函》，由失信供应商应签名确认。同时，采购代理机构工作人员根据评审委员会确认的失信信息，登陆到来源网站页面进行复核并打印，作为证据留存。</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6.4、信用记录使用规则：</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评审委员会在对供应商进行资格性审查时，根据查询结果对供应商的不良信用记录逐项甄别确认。凡经评审委员会确认不符合政府采购相关法律法规规定的，将拒绝其参与政府采购活动。</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二、评分标准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（一）价格分（30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1.磋商报价不超过采购预算价格或最高限价的，为有效磋商报价。超出此范围的磋商报价为无效报价。 无效报价的响应文件不进行评审，也不得标。</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2.价格得分计算方法：根据各响应单位通过符合性审查的有效磋商报价中的最低价作为评审基准价，其价格分为满分。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3.其他响应单位的价格分统一按照下列公式计算：</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磋商报价得分=(评审基准价／磋商报价)×价格权值（30%） × 100，小数点后保留两位。</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（二）技术服务方案、水平（50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1.总体概述：工程概述、总体安排、及施工部署及施工段划分等健全、合理、规范、高效。概述描述清晰明了、科学合理、可实施性强的得 8 分；概述描述较为清晰明了、科学合理的得 5分；有涉及但不全面的得 2分；未提供不得分。最高 8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2.施工总进度计划：关于本工程施工进度计划的描述， 以及为完成该计划所定措施科学、合理、规范、 高效。进度计划描述清晰明了、科学合理、可实施性强的得 6 分；进度计划描述较为清晰明了、科学 合理的得 3 分；有涉及但不全面的得 1 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3.分部、分项工程的施工方案：工程分部分项工程的施工方案、具体施工技术措施科学、合理、操作性强、规范、高效的得 6 分；工程分部分项工程的施工方案、具体施工技术措施较为科学、合理的得 3 分；有涉及但不全面的得 1 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4.安全文明施工措施：该工程安全文明施工、施工现场扬尘污染防治措施及环境保护方面的措施科学、 合理、操作性强、规范、高效的得 6 分；安全文明施工、施工现场扬尘污染防治措施及环境保护方面的措施内容不全面的得 3 分； 以上内容仅有涉及、内容不准确的得 1 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劳动力配备：劳动力配备合理、分工清晰明确，管理制度描述详实、科学、合理、规范，针对性及可操作性强的得6分；劳动力配备较合理、分工较清晰明确，可操作性较强的的得3分；劳动力配备不合理、分工不明确，针对性及可操作性差的得1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6.季节性施工：季节性施工、已有设备、管线的加固、保护等特殊情况下的施工措施科学、合理、操作 性强、高效。季节性施工、已有设备、管线的加固、保护等特殊情况下的施工措施科学、合理、操作 性强、高效的得 6 分；季节性施工、已有设备、管线的加固、保护等特殊情况下的施工措施较为科学 的得 3 分； 以上措施不全面有缺失的得 1 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7.后期维修方案:后期维修方案科学合理、便捷有效的得 6 分；有涉及但不全面的得 3 分；提供方案较为一般的得 1 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8.园林景区短驳、转运及错峰施工和抢工方案：方案完全符合项目实际，详尽的得 6 分；综合评定一般，方案一般，基本能满足项目实施需要的得 3 分；综合评定较差，方案内容不足，不太能满足项目实施需要的得 1 分；未提供不得分。最高 6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（三）响应单位综合能力（20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1.拟投入本项目的</w:t>
      </w:r>
      <w:r>
        <w:rPr>
          <w:rFonts w:hint="eastAsia" w:ascii="宋体" w:hAnsi="宋体" w:cs="宋体"/>
          <w:bCs/>
          <w:color w:val="000000" w:themeColor="text1"/>
          <w:szCs w:val="21"/>
          <w:highlight w:val="none"/>
          <w:lang w:val="en-US" w:eastAsia="zh-CN"/>
          <w14:textFill>
            <w14:solidFill>
              <w14:schemeClr w14:val="tx1"/>
            </w14:solidFill>
          </w14:textFill>
        </w:rPr>
        <w:t xml:space="preserve">技术负责人</w:t>
      </w:r>
      <w:r>
        <w:rPr>
          <w:rFonts w:hint="eastAsia" w:ascii="宋体" w:hAnsi="宋体" w:cs="宋体"/>
          <w:bCs/>
          <w:color w:val="000000" w:themeColor="text1"/>
          <w:szCs w:val="21"/>
          <w:highlight w:val="none"/>
          <w:lang w:val="zh-CN"/>
          <w14:textFill>
            <w14:solidFill>
              <w14:schemeClr w14:val="tx1"/>
            </w14:solidFill>
          </w14:textFill>
        </w:rPr>
        <w:t xml:space="preserve">（3 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拟投入本项目的</w:t>
      </w:r>
      <w:r>
        <w:rPr>
          <w:rFonts w:hint="eastAsia" w:ascii="宋体" w:hAnsi="宋体" w:cs="宋体"/>
          <w:bCs/>
          <w:color w:val="000000" w:themeColor="text1"/>
          <w:szCs w:val="21"/>
          <w:highlight w:val="none"/>
          <w:lang w:val="en-US" w:eastAsia="zh-CN"/>
          <w14:textFill>
            <w14:solidFill>
              <w14:schemeClr w14:val="tx1"/>
            </w14:solidFill>
          </w14:textFill>
        </w:rPr>
        <w:t xml:space="preserve">技术负责人</w:t>
      </w:r>
      <w:r>
        <w:rPr>
          <w:rFonts w:hint="eastAsia" w:ascii="宋体" w:hAnsi="宋体" w:cs="宋体"/>
          <w:bCs/>
          <w:color w:val="000000" w:themeColor="text1"/>
          <w:szCs w:val="21"/>
          <w:highlight w:val="none"/>
          <w:lang w:val="zh-CN"/>
          <w14:textFill>
            <w14:solidFill>
              <w14:schemeClr w14:val="tx1"/>
            </w14:solidFill>
          </w14:textFill>
        </w:rPr>
        <w:t xml:space="preserve">具有高级工程师职称证书的得3分，具有工程师职称证书的得2分，具有初级工程师职称证书的得1分，最高得3分。提供相关证书和磋商响应截止时间当月或上月</w:t>
      </w:r>
      <w:r>
        <w:rPr>
          <w:rFonts w:hint="eastAsia" w:ascii="宋体" w:hAnsi="宋体" w:cs="宋体"/>
          <w:bCs/>
          <w:color w:val="000000" w:themeColor="text1"/>
          <w:szCs w:val="21"/>
          <w:highlight w:val="none"/>
          <w:lang w:val="en-US" w:eastAsia="zh-CN"/>
          <w14:textFill>
            <w14:solidFill>
              <w14:schemeClr w14:val="tx1"/>
            </w14:solidFill>
          </w14:textFill>
        </w:rPr>
        <w:t xml:space="preserve">出具的响应单位正在为其缴纳</w:t>
      </w:r>
      <w:r>
        <w:rPr>
          <w:rFonts w:hint="eastAsia" w:ascii="宋体" w:hAnsi="宋体" w:cs="宋体"/>
          <w:bCs/>
          <w:color w:val="000000" w:themeColor="text1"/>
          <w:szCs w:val="21"/>
          <w:highlight w:val="none"/>
          <w:lang w:val="zh-CN"/>
          <w14:textFill>
            <w14:solidFill>
              <w14:schemeClr w14:val="tx1"/>
            </w14:solidFill>
          </w14:textFill>
        </w:rPr>
        <w:t xml:space="preserve">社保的证明，否则不得分。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2.拟投入本项目组成员比较（包括安全员、施工员、资料员、质量员、材料员）：每配备一类技术人员 得 1 分，最高得 5 分。提供相关证书和磋商响应截止时间当月或上月出具的响应单位正在为其缴纳社保的证明，否则不得分。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3.拟投入本项目组中成员具有中级及以上职称的，每配备一人得1分，最高得2分。提供相关证书和磋商响应截止时间当月或上月出具的响应单位正在为其缴纳社保的证明，否则不得分。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4.响应单位 </w:t>
      </w:r>
      <w:r>
        <w:rPr>
          <w:rFonts w:hint="eastAsia" w:ascii="宋体" w:hAnsi="宋体" w:cs="宋体"/>
          <w:bCs/>
          <w:color w:val="000000" w:themeColor="text1"/>
          <w:szCs w:val="21"/>
          <w:highlight w:val="none"/>
          <w:lang w:val="en-US" w:eastAsia="zh-CN"/>
          <w14:textFill>
            <w14:solidFill>
              <w14:schemeClr w14:val="tx1"/>
            </w14:solidFill>
          </w14:textFill>
        </w:rPr>
        <w:t xml:space="preserve">2023</w:t>
      </w:r>
      <w:r>
        <w:rPr>
          <w:rFonts w:hint="eastAsia" w:ascii="宋体" w:hAnsi="宋体" w:cs="宋体"/>
          <w:bCs/>
          <w:color w:val="000000" w:themeColor="text1"/>
          <w:szCs w:val="21"/>
          <w:highlight w:val="none"/>
          <w:lang w:val="zh-CN"/>
          <w14:textFill>
            <w14:solidFill>
              <w14:schemeClr w14:val="tx1"/>
            </w14:solidFill>
          </w14:textFill>
        </w:rPr>
        <w:t xml:space="preserve">年至今（以竣工日期为准) 承接并已完成的类似项目业绩：每提供一份得 2 分，最高得10分（响应文件中需提供完整的施工合同及竣工验收单扫描件，否则不得分）。</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br w:type="page" w:clear="all"/>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注：针对评分标准中评分的每一条，磋商响应单位均应提供相关资料并作出相应说明供评委评判，不提供相 关资料的视为不具备该项得分的条件。</w:t>
      </w:r>
      <w:r/>
    </w:p>
    <w:p>
      <w:pPr>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br w:type="page" w:clear="all"/>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r>
      <w:r/>
    </w:p>
    <w:p>
      <w:pPr>
        <w:numPr>
          <w:ilvl w:val="0"/>
          <w:numId w:val="4"/>
        </w:numPr>
        <w:ind w:firstLine="2409"/>
        <w:spacing w:line="440" w:lineRule="exact"/>
        <w:rPr>
          <w:color w:val="000000" w:themeColor="text1"/>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t xml:space="preserve">合同</w:t>
      </w:r>
      <w:r>
        <w:rPr>
          <w:rFonts w:hint="eastAsia" w:ascii="宋体" w:hAnsi="宋体"/>
          <w:b/>
          <w:bCs/>
          <w:color w:val="000000" w:themeColor="text1"/>
          <w:sz w:val="32"/>
          <w:szCs w:val="32"/>
          <w:highlight w:val="none"/>
          <w14:textFill>
            <w14:solidFill>
              <w14:schemeClr w14:val="tx1"/>
            </w14:solidFill>
          </w14:textFill>
        </w:rPr>
        <w:t xml:space="preserve">主要条款及格式</w:t>
      </w:r>
      <w:r/>
    </w:p>
    <w:p>
      <w:pPr>
        <w:ind w:firstLine="411"/>
        <w:spacing w:after="160" w:line="360" w:lineRule="auto"/>
        <w:tabs>
          <w:tab w:val="left" w:pos="360"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r>
      <w:r/>
    </w:p>
    <w:p>
      <w:pPr>
        <w:ind w:firstLine="411"/>
        <w:spacing w:after="160" w:line="360" w:lineRule="auto"/>
        <w:tabs>
          <w:tab w:val="left" w:pos="360"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r>
      <w:r/>
    </w:p>
    <w:p>
      <w:pPr>
        <w:ind w:firstLine="411"/>
        <w:spacing w:after="160" w:line="360" w:lineRule="auto"/>
        <w:tabs>
          <w:tab w:val="left" w:pos="360" w:leader="none"/>
        </w:tabs>
        <w:rPr>
          <w:rFonts w:hint="eastAsia" w:ascii="宋体" w:hAnsi="宋体" w:eastAsia="宋体" w:cs="Times New Roman"/>
          <w:color w:val="000000" w:themeColor="text1"/>
          <w:sz w:val="21"/>
          <w:szCs w:val="21"/>
          <w:highlight w:val="none"/>
          <w:lang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甲方（甲方）：</w:t>
      </w:r>
      <w:r>
        <w:rPr>
          <w:rFonts w:hint="eastAsia" w:ascii="宋体" w:hAnsi="宋体" w:cs="Times New Roman"/>
          <w:color w:val="000000" w:themeColor="text1"/>
          <w:sz w:val="21"/>
          <w:szCs w:val="21"/>
          <w:highlight w:val="none"/>
          <w:lang w:eastAsia="zh-CN"/>
          <w14:textFill>
            <w14:solidFill>
              <w14:schemeClr w14:val="tx1"/>
            </w14:solidFill>
          </w14:textFill>
        </w:rPr>
        <w:t xml:space="preserve">苏州市拙政园管理处（苏州市园林博物馆）</w:t>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代表人：                                    </w:t>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联系电话： </w:t>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乙方（供应方）：  </w:t>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代表人：</w:t>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联系电话：</w:t>
      </w:r>
      <w:r/>
    </w:p>
    <w:p>
      <w:pPr>
        <w:ind w:firstLine="413"/>
        <w:spacing w:after="160" w:line="360" w:lineRule="auto"/>
        <w:tabs>
          <w:tab w:val="left" w:pos="36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一、合同内容</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1、乙方负责甲方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，详见成交工程量清单。</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2、下列文件为本合同不可分割部分：</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①成交通知书；</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②采购文件；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③乙方成交的响应文件；</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④乙方在</w:t>
      </w:r>
      <w:r>
        <w:rPr>
          <w:rFonts w:hint="eastAsia" w:ascii="宋体" w:hAnsi="宋体"/>
          <w:color w:val="000000" w:themeColor="text1"/>
          <w:szCs w:val="21"/>
          <w:highlight w:val="none"/>
          <w:lang w:eastAsia="zh-CN"/>
          <w14:textFill>
            <w14:solidFill>
              <w14:schemeClr w14:val="tx1"/>
            </w14:solidFill>
          </w14:textFill>
        </w:rPr>
        <w:t xml:space="preserve">响应</w:t>
      </w:r>
      <w:r>
        <w:rPr>
          <w:rFonts w:hint="eastAsia" w:ascii="宋体" w:hAnsi="宋体"/>
          <w:color w:val="000000" w:themeColor="text1"/>
          <w:szCs w:val="21"/>
          <w:highlight w:val="none"/>
          <w14:textFill>
            <w14:solidFill>
              <w14:schemeClr w14:val="tx1"/>
            </w14:solidFill>
          </w14:textFill>
        </w:rPr>
        <w:t xml:space="preserve">过程中所作的其它承诺、声明、书面澄清等。</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1、成交合同价：人民币                元整 (￥          )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2、合同价款及调整：本工程项目采用固定单价合同。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磋商供应商应充分考虑施工期间各类建材的市场风险和国家政策性调整风险系数，本合同未有约定的按照国家相关文件执行。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执行固定单价报价的基本规定：</w:t>
      </w:r>
      <w:r/>
    </w:p>
    <w:p>
      <w:pPr>
        <w:ind w:firstLine="411"/>
        <w:spacing w:after="160" w:line="360" w:lineRule="auto"/>
        <w:tabs>
          <w:tab w:val="left" w:pos="360" w:leader="none"/>
        </w:tabs>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①乙方报价时，必须按统一的工程量清单报价，本工程采用固定单价，本工程中工程量清单项目的综合单价按乙方己标价工程量清单二次报价下浮（如有）之后的综合单价执行，最终价格以审计为准。</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②原合同金额追加的，须满足：（1）追加金额不得超过原合同金额的 10%。（2）原合同金额 10%以内的追加费用，限于原合同内工程清单数量调整增加及与履行本工程相关且必备的工程费用，其他原合同外工程内容不得计入。</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③本工程在磋商采购文件中已明确的各项施工措施费，均包含在合同总价中。其他在磋商采购文件和答 疑中未提及、未明确部分的施工措施费项目，可以根据相关资料按实调整，并作相应的下浮。</w:t>
      </w:r>
      <w:r/>
    </w:p>
    <w:p>
      <w:pPr>
        <w:ind w:firstLine="411"/>
        <w:spacing w:after="160" w:line="360" w:lineRule="auto"/>
        <w:tabs>
          <w:tab w:val="left" w:pos="3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④在履行合同过程中，按照《苏州市市级政府投资建筑工程变更备案管理实施细则》（苏住建规〔2018〕1 号）及《关于调整市级政府投资建设项目工程变更管理方式的通知》（苏住建建〔2025〕18号）执行变更程序。</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3、合同支付：</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付款方式：合同签订生效后支付10%作为预付款，施工过程中，</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有权每月向监理单位申请合格工程量金额的进度款，监理单位签署申请同意后支付进度款，支付合格工程量进度款60%</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年底</w:t>
      </w:r>
      <w:r>
        <w:rPr>
          <w:rFonts w:hint="eastAsia" w:ascii="宋体" w:hAnsi="宋体"/>
          <w:color w:val="000000" w:themeColor="text1"/>
          <w:szCs w:val="21"/>
          <w:highlight w:val="none"/>
          <w:lang w:val="en-US" w:eastAsia="zh-CN"/>
          <w14:textFill>
            <w14:solidFill>
              <w14:schemeClr w14:val="tx1"/>
            </w14:solidFill>
          </w14:textFill>
        </w:rPr>
        <w:t xml:space="preserve">前</w:t>
      </w:r>
      <w:r>
        <w:rPr>
          <w:rFonts w:hint="eastAsia" w:ascii="宋体" w:hAnsi="宋体"/>
          <w:color w:val="000000" w:themeColor="text1"/>
          <w:szCs w:val="21"/>
          <w:highlight w:val="none"/>
          <w14:textFill>
            <w14:solidFill>
              <w14:schemeClr w14:val="tx1"/>
            </w14:solidFill>
          </w14:textFill>
        </w:rPr>
        <w:t xml:space="preserve">最多支付至</w:t>
      </w:r>
      <w:r>
        <w:rPr>
          <w:rFonts w:hint="eastAsia" w:ascii="宋体" w:hAnsi="宋体"/>
          <w:color w:val="000000" w:themeColor="text1"/>
          <w:szCs w:val="21"/>
          <w:highlight w:val="none"/>
          <w:lang w:val="en-US" w:eastAsia="zh-CN"/>
          <w14:textFill>
            <w14:solidFill>
              <w14:schemeClr w14:val="tx1"/>
            </w14:solidFill>
          </w14:textFill>
        </w:rPr>
        <w:t xml:space="preserve">210</w:t>
      </w:r>
      <w:r>
        <w:rPr>
          <w:rFonts w:hint="eastAsia" w:ascii="宋体" w:hAnsi="宋体"/>
          <w:color w:val="000000" w:themeColor="text1"/>
          <w:szCs w:val="21"/>
          <w:highlight w:val="none"/>
          <w14:textFill>
            <w14:solidFill>
              <w14:schemeClr w14:val="tx1"/>
            </w14:solidFill>
          </w14:textFill>
        </w:rPr>
        <w:t xml:space="preserve">万</w:t>
      </w:r>
      <w:r>
        <w:rPr>
          <w:rFonts w:hint="eastAsia" w:ascii="宋体" w:hAnsi="宋体"/>
          <w:color w:val="000000" w:themeColor="text1"/>
          <w:szCs w:val="21"/>
          <w:highlight w:val="none"/>
          <w:lang w:val="en-US" w:eastAsia="zh-CN"/>
          <w14:textFill>
            <w14:solidFill>
              <w14:schemeClr w14:val="tx1"/>
            </w14:solidFill>
          </w14:textFill>
        </w:rPr>
        <w:t xml:space="preserve">元</w:t>
      </w:r>
      <w:r>
        <w:rPr>
          <w:rFonts w:hint="eastAsia" w:ascii="宋体" w:hAnsi="宋体"/>
          <w:color w:val="000000" w:themeColor="text1"/>
          <w:szCs w:val="21"/>
          <w:highlight w:val="none"/>
          <w14:textFill>
            <w14:solidFill>
              <w14:schemeClr w14:val="tx1"/>
            </w14:solidFill>
          </w14:textFill>
        </w:rPr>
        <w:t xml:space="preserve">。工程竣工验收合格后可支付至合同价的70%，竣工结算评审完成后支付至评审审定金额的97%。竣工验收</w:t>
      </w:r>
      <w:r>
        <w:rPr>
          <w:rFonts w:hint="eastAsia" w:ascii="宋体" w:hAnsi="宋体"/>
          <w:color w:val="000000" w:themeColor="text1"/>
          <w:szCs w:val="21"/>
          <w:highlight w:val="none"/>
          <w:lang w:val="en-US" w:eastAsia="zh-CN"/>
          <w14:textFill>
            <w14:solidFill>
              <w14:schemeClr w14:val="tx1"/>
            </w14:solidFill>
          </w14:textFill>
        </w:rPr>
        <w:t xml:space="preserve">合格</w:t>
      </w:r>
      <w:r>
        <w:rPr>
          <w:rFonts w:hint="eastAsia" w:ascii="宋体" w:hAnsi="宋体"/>
          <w:color w:val="000000" w:themeColor="text1"/>
          <w:szCs w:val="21"/>
          <w:highlight w:val="none"/>
          <w14:textFill>
            <w14:solidFill>
              <w14:schemeClr w14:val="tx1"/>
            </w14:solidFill>
          </w14:textFill>
        </w:rPr>
        <w:t xml:space="preserve">一年后无问题付清余款</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4、材料、设备供应方式：</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应严格按设计图纸施工，所有的原材料必须符合国家规范要求，并配合甲方（监理监督）按批次做好原材料的取样送检工作，不得弄虚作假，不得使用劣质材料。若发生甲供材料，则甲供材料的提前申请：乙方应提前 30 天对可能影响工程进度的甲供材料提出书面申请，以便甲方有充分时间准备供货。若因申请滞后引起的进度问题由乙方负责。 甲供材料由乙方进行卸货接收、验收、保管及成品保护，费用 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报价中。未按施工方案施工，擅自变更工艺或材料罚款合同价2%，由甲方直接在工程款中扣除。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 甲供材料、设备  </w:t>
      </w:r>
      <w:r>
        <w:rPr>
          <w:rFonts w:hint="eastAsia" w:ascii="宋体" w:hAnsi="宋体"/>
          <w:color w:val="000000" w:themeColor="text1"/>
          <w:szCs w:val="21"/>
          <w:highlight w:val="none"/>
          <w:u w:val="single"/>
          <w14:textFill>
            <w14:solidFill>
              <w14:schemeClr w14:val="tx1"/>
            </w14:solidFill>
          </w14:textFill>
        </w:rPr>
        <w:t xml:space="preserve">      无             </w:t>
      </w:r>
      <w:r>
        <w:rPr>
          <w:rFonts w:hint="eastAsia" w:ascii="宋体" w:hAnsi="宋体"/>
          <w:color w:val="000000" w:themeColor="text1"/>
          <w:szCs w:val="21"/>
          <w:highlight w:val="none"/>
          <w14:textFill>
            <w14:solidFill>
              <w14:schemeClr w14:val="tx1"/>
            </w14:solidFill>
          </w14:textFill>
        </w:rPr>
        <w:t xml:space="preserve">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（2）乙供材料、设备   </w:t>
      </w:r>
      <w:r>
        <w:rPr>
          <w:rFonts w:hint="eastAsia" w:ascii="宋体" w:hAnsi="宋体"/>
          <w:color w:val="000000" w:themeColor="text1"/>
          <w:szCs w:val="21"/>
          <w:highlight w:val="none"/>
          <w:u w:val="single"/>
          <w14:textFill>
            <w14:solidFill>
              <w14:schemeClr w14:val="tx1"/>
            </w14:solidFill>
          </w14:textFill>
        </w:rPr>
        <w:t xml:space="preserve"> 其余全部乙供         </w:t>
      </w:r>
      <w:r>
        <w:rPr>
          <w:rFonts w:hint="eastAsia" w:ascii="宋体" w:hAnsi="宋体"/>
          <w:color w:val="000000" w:themeColor="text1"/>
          <w:szCs w:val="21"/>
          <w:highlight w:val="none"/>
          <w14:textFill>
            <w14:solidFill>
              <w14:schemeClr w14:val="tx1"/>
            </w14:solidFill>
          </w14:textFill>
        </w:rPr>
        <w:t xml:space="preserve">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5、相关报表、计划的提交:乙方在合同签订后 7 日内须提供工程施工总进度计划、进场材料计划、施工组织设计、劳动力人员安排计划各贰份，报监理并转报甲方审核；经批准的乙方提交的第一次总进度 计划的主要节点作为里程碑时间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乙方须保证法定节假日、领导视察工地等期间正常施工及管理，同时须考虑到该施工期间的材料供应、道路封闭、施工现场清洁清理等各种困难因素，并已于工期及报价中充分考虑。而且因为本工程施工环境复杂，既要保证完成施工任务，又要考虑游客和居民的出行方便，不被游客和居民投诉。</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7、乙方需服从甲方安全管理，承担施工安全保卫工作及非夜间施工照明的责任和要求：做好施工 范围内的文明施工、施工安全及保卫工作，要求组织保安巡视，防止安全和治安事故。 现场发现明火、易燃物乱堆（文物区域内严禁烟火），停工整顿，罚款5</w:t>
      </w:r>
      <w:r>
        <w:rPr>
          <w:rFonts w:ascii="宋体" w:hAnsi="宋体"/>
          <w:color w:val="000000" w:themeColor="text1"/>
          <w:szCs w:val="21"/>
          <w:highlight w:val="none"/>
          <w14:textFill>
            <w14:solidFill>
              <w14:schemeClr w14:val="tx1"/>
            </w14:solidFill>
          </w14:textFill>
        </w:rPr>
        <w:t xml:space="preserve">000</w:t>
      </w:r>
      <w:r>
        <w:rPr>
          <w:rFonts w:hint="eastAsia" w:ascii="宋体" w:hAnsi="宋体"/>
          <w:color w:val="000000" w:themeColor="text1"/>
          <w:szCs w:val="21"/>
          <w:highlight w:val="none"/>
          <w14:textFill>
            <w14:solidFill>
              <w14:schemeClr w14:val="tx1"/>
            </w14:solidFill>
          </w14:textFill>
        </w:rPr>
        <w:t xml:space="preserve">元，高空作业未系安全带、脚手架不规范收使用，每人次扣</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000元，罚款由甲方直接在工程款中扣除。乙方必须提供和维护夜间治安所需临时设施和出入通道使用的照明、围栏、标志设施，并负责安全保卫，确保人员和车辆的安全。因乙方未设置以上照明、围栏、标志设施导致的安全事故以及治安事故由乙方负责，并承担产生的 一切可能发生的费用。所采取的对游客和居民协调工作的各项措施必须详细、全面、可行；保证游客和居民 的通道畅通，施工场地的卫生，控制噪音及三废的排放，负责施工场合的治安保障工作， 以上所有费用考虑 在</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报价中。工程施工现场应配备必要的标示标牌等指示设施，费用自行考虑，计入措施费。一旦发生安 全事故与甲方无关。非夜间施工中做到节约用电、安全用电。施工期间如遇停水、停电，乙方应通过自 备临时装置等方式自行解决，工期亦不会因此而延长。</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8、施工场地周围地下管线和邻近建筑物、构筑物（含文物保护建筑）、古树名木的保护要求及费用承担：乙方负责保护，发生的费用由乙方包含在</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报价中。保护方案必须符合相关部门的要求，实施前必须经相关单位批准。在施工阶段由乙方对邻近古枫香等古老树木做好钢管脚手架围挡保护措施，协调处 理施工场地周围地上地下管线和邻近建筑物、构筑物（含文物保护建筑）的保护工作，因保护施工场地周围地上地下管线和邻近建筑物、构筑物、古树名木而发生的费用包含在</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施工路段地下管线的物探工作由乙方承担主要责任，甲方配合提供相关资料。开挖时若发现石、木构建等均采用人工开挖，尽可能利用旧石材，发现重要文物等均按相关规范要求执行，如乙方擅自处理，造成的损失及处罚由乙方承担。施工中造成文物本体损伤（如墙体开裂、雕刻破损等），罚款合同价5%，赔偿修复费用，由甲方直接在工程款中扣除。发生重大文物损坏（如梁架坍塌），终止合同，追究法律责任，赔偿修复费用，并处合同价10%罚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9、所有隐蔽工程作业完成必须提前通知甲方、监理进行现场验收，验收手续完成后方可回填或进行 下一工序施工，如隐蔽工程未经现场验收自行回填而发现质量问题的，甲方有权要求挖开全部隐蔽作业面进行检查，因此导致的工期延误和经济损失全部由乙方承担，不得索赔；因乙方原因导致的分部分项工期拖幅（对照进场提交的进度控制表），按 1000 元/1 次拖幅计价，单项封顶 1 万元。项目建设地块内垃圾清理完毕后需通过甲方验收，验收合格后进入下阶段工序。</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10、施工场地清洁卫生的要求： 按照苏州市现场施工清洁卫生</w:t>
      </w:r>
      <w:r>
        <w:rPr>
          <w:rFonts w:hint="eastAsia" w:ascii="宋体" w:hAnsi="宋体"/>
          <w:color w:val="000000" w:themeColor="text1"/>
          <w:szCs w:val="21"/>
          <w:highlight w:val="none"/>
          <w14:textFill>
            <w14:solidFill>
              <w14:schemeClr w14:val="tx1"/>
            </w14:solidFill>
          </w14:textFill>
        </w:rPr>
        <w:t xml:space="preserve">规定，乙方在工程实施期间负责每天将施工场地范围内的所有地面和地下建筑垃圾、建筑杂物、生活垃圾等清理干净，并及时清除出施工现场。 如违反规定要求乙方承担当地行政执法部门的处罚费用，同时甲方对乙方处以同等数额的罚款并在工程结算中予以扣除，如乙方不作清理或清理不干净，甲方有权委托其他单位或个人清理，所产生的一切 费用由乙方负责。甲方在工程款结算时直接在乙方工程款中扣除，并处以 1 万元人民币的罚款。竣工交付前，将所有各类垃圾清除清运出场，将所有剩余的建筑材料清运出场，将所有施工机械和设备清运 出场，费用包含在本次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报价中。乙方建筑垃圾混入原有构件（如拆除砖瓦未分类存放），罚款5000元/次，由甲方直接在工程款中扣除。乙方必须服从甲方现场的统一管理和协调，做到文明施工。施工现 场要按甲方要求统一设立标识、标语、标牌，做到文明施工。</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11、防尘、排污：必须要采取有力的措施防止工地扬尘、工程车抛撒滴漏。露天土方需进行</w:t>
      </w:r>
      <w:r>
        <w:rPr>
          <w:rFonts w:hint="eastAsia" w:ascii="宋体" w:hAnsi="宋体"/>
          <w:color w:val="000000" w:themeColor="text1"/>
          <w:szCs w:val="21"/>
          <w:highlight w:val="none"/>
          <w14:textFill>
            <w14:solidFill>
              <w14:schemeClr w14:val="tx1"/>
            </w14:solidFill>
          </w14:textFill>
        </w:rPr>
        <w:t xml:space="preserve">覆盖，施工 通道应经常进行洒水降尘，严禁施工车辆抛撒滴漏污染道路，施工车辆驶出工地前，必须经冲洗场冲洗干净， 杜绝车轮夹泥上路。从乙方施工起点起的上、下游各 150 米范围内的现有雨污水管道被垃圾堵塞，必须由乙方清除。因此原因造成相关职能部门处罚时，或给甲方带来不良影响时，乙方除支付罚金外，还需 承担由此造成对甲方的不良影响和额外工作增加的补偿金 3 万元/次起。该款项无需经乙方同意，由甲方直接在工程款中扣除。施工噪音、粉尘影响周边环境（文物区需采取降尘措施）罚款5000元 /次，由甲方直接在工程款中扣除。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12、节日、假日或任何其他法定休息日：乙方被认为在他的工作进度计划中已为一切公认的节日、假 日或任何其他法定休息日留有余地。规定的合同期被认为是包括这些日期在内，有关这些问题不再考虑任何 延期或额外费用。如果乙方接到指令在法定假日以外的任何额外日期停工，将给以延期以补偿中断的工作。</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13、本工程不得转包，发现有此情况作违约处理，甲方有权终止合同，并要求乙方赔偿相应损失。 乙方承诺的项目经理、项目技术负责人及各专业工程师必须为乙方的在职职工，在工程现场以及工程例 会上必须到场，否则发包方有权进行处罚及单方终止合同，并要求乙方赔偿相关损失。项目经理在同一合 同期内严禁兼任另一合同的项目经理，在同一市内原则上不得兼任另一合同的项目经理。在整个工程实施过 程中，乙方成立项目经理部，派出</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书中承诺的项目经理及主要管理人员。未事先征得甲方同意，承 包人不得擅自更换项目经理，但甲方有权根据工程实施情况要求更换不称职的项目经理，乙方必须在 7 日内调整到位。经乙方提出，甲方同意更换项目经理，乙方必须支付甲方 30 万元的违约金。其他人 员的承诺按</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书。监理人还将对其实行考勤制度，项目经理、施工员、安全员必须保证坚守工地现场，若甲方发现以上主要管理人员每缺岗一天，按 1000 元/人.次计违约金，按人次累计计算，不封顶。该款项扣 除时无需经乙方同意，由甲方直接在工程款中扣除，工程结束不返还。</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14、乙方必须将其一切施工活动限制在工程项目用地红线边界范围内，如乙方出于工程的需要，不 得不临时占用或开挖工程建筑红线边界范围外的土地或道路，乙方应自行办理全部手续，并承担由此发生 全部费用，乙方不应以占用建筑红线边界范围外的土地有关情况作为延长合同工期和增加费用的理由。</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15、乙方应认真踏勘现场，了解现场施工条件及环境，充分考虑各项施工措施费，如(但不限于)施工 技术措施费、现场安全文明施工措施费、赶工措施费、技术措施费、特殊条件下施工增加费、设备试车费等 费用均包含在本次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报价中，竣工结算时不作任何调整。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16、本工程以财政投资评审审定结果为项目价款结算依据。</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17、工期要求：</w:t>
      </w:r>
      <w:r>
        <w:rPr>
          <w:rFonts w:hint="eastAsia" w:ascii="宋体" w:hAnsi="宋体"/>
          <w:color w:val="000000" w:themeColor="text1"/>
          <w:szCs w:val="21"/>
          <w:highlight w:val="none"/>
          <w:lang w:eastAsia="zh-CN"/>
          <w14:textFill>
            <w14:solidFill>
              <w14:schemeClr w14:val="tx1"/>
            </w14:solidFill>
          </w14:textFill>
        </w:rPr>
        <w:t xml:space="preserve">90日历天</w:t>
      </w:r>
      <w:r>
        <w:rPr>
          <w:rFonts w:hint="eastAsia" w:ascii="宋体" w:hAnsi="宋体"/>
          <w:color w:val="000000" w:themeColor="text1"/>
          <w:szCs w:val="21"/>
          <w:highlight w:val="none"/>
          <w14:textFill>
            <w14:solidFill>
              <w14:schemeClr w14:val="tx1"/>
            </w14:solidFill>
          </w14:textFill>
        </w:rPr>
        <w:t xml:space="preserve">， 以实际开工时间为准。</w:t>
      </w:r>
      <w:r>
        <w:rPr>
          <w:rFonts w:hint="eastAsia" w:ascii="宋体" w:hAnsi="宋体" w:eastAsia="宋体" w:cs="宋体"/>
          <w:color w:val="000000" w:themeColor="text1"/>
          <w:highlight w:val="none"/>
          <w:lang w:val="en-US" w:eastAsia="zh-CN"/>
          <w14:textFill>
            <w14:solidFill>
              <w14:schemeClr w14:val="tx1"/>
            </w14:solidFill>
          </w14:textFill>
        </w:rPr>
        <w:t xml:space="preserve">质保期：1年</w:t>
      </w:r>
      <w:r>
        <w:rPr>
          <w:rFonts w:hint="eastAsia" w:ascii="宋体" w:hAnsi="宋体" w:cs="宋体"/>
          <w:color w:val="000000" w:themeColor="text1"/>
          <w:highlight w:val="none"/>
          <w:lang w:val="en-US" w:eastAsia="zh-CN"/>
          <w14:textFill>
            <w14:solidFill>
              <w14:schemeClr w14:val="tx1"/>
            </w14:solidFill>
          </w14:textFill>
        </w:rPr>
        <w:t xml:space="preserve">。</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18、伴随服务：</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乙方除应履行按期按量交付合格的工程及设备、材料的义务之外，还应提供下列服务：</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（1）乙方应根据现场踏勘情况，对于施工现场原有的各类垃圾的清运费用已包含在本次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 竣工结算时不作调整。乙方应充分考虑场地情况，本工程场地内临时设施的二次搬迁（如有）、安拆不再 补偿费用，竣工结算时不作调整。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（2）乙方应根据现场踏勘情况，充分估计甲方现场提供的临时用电用水的负荷和位置，如用地红 线内需要接驳连接由乙方自行解决，费用视为考虑在本次报价中。</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（3）若工程施工中，安全、质量、文明施工、环境保护等各方面被媒体曝光，对甲方造成不良影响 的，视同违约。除妥善处理有关事项外，还须支付甲方合同违约金、赔偿金计 3 万元/次。该款项无需经承 包人同意，由甲方直接在工程款中扣除。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（4）除合同另有约定之外，伴随服务的费用均已含在合同价款中， 甲方不再另行进行支付。</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19、双方约定乙方应做的其他工作：</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A）施工过程中，应充分配合甲方和监理工程师的工作，认真做好施工组织管理和协调工作，配合其它乙方的施工，并无条件配</w:t>
      </w:r>
      <w:r>
        <w:rPr>
          <w:rFonts w:hint="eastAsia" w:ascii="宋体" w:hAnsi="宋体"/>
          <w:color w:val="000000" w:themeColor="text1"/>
          <w:szCs w:val="21"/>
          <w:highlight w:val="none"/>
          <w14:textFill>
            <w14:solidFill>
              <w14:schemeClr w14:val="tx1"/>
            </w14:solidFill>
          </w14:textFill>
        </w:rPr>
        <w:t xml:space="preserve">合甲方和监理工程师的调度，接受甲方和监理工程师的监督管理，按期、 保质完成施工任务。关键节点延误超3天（如屋面揭瓦必须在雨季前完成），罚款合同价1%/天，由甲方直接在工程款中扣除。乙方不得以任何理由(如增减费用及/或工期调整未能确定等)拖延执行或不执行指令。若乙方在收到甲方催促执行的书面通知后 7 天 之内，乙方仍未执行，罚款合同价2%/天且甲方可另行委托他人执行该指令范围内的工作，乙方应承担因此发生的与此有关的一切费用（包括但不限于另行比选执行人的费用、支付给执行人的相关费用），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B）无论监理工程师或甲方是否进行并通过了各项检验，均不解除乙方对自己承包的工程的质量所负责任，除非质量问题是由于设计原因引起，而针对此类质量问题乙方须及时通知监理工程师和甲方。乙方工艺不达标（如灰缝超标、地仗层空鼓等），责令限期返工，且每处罚款合同价0.5%，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C）双方约定乙方应做的其他工作： ①工程验收资料齐备。施工日志、影像</w:t>
      </w:r>
      <w:r>
        <w:rPr>
          <w:rFonts w:hint="eastAsia" w:ascii="宋体" w:hAnsi="宋体"/>
          <w:color w:val="000000" w:themeColor="text1"/>
          <w:szCs w:val="21"/>
          <w:highlight w:val="none"/>
          <w14:textFill>
            <w14:solidFill>
              <w14:schemeClr w14:val="tx1"/>
            </w14:solidFill>
          </w14:textFill>
        </w:rPr>
        <w:t xml:space="preserve">记录缺失（需全程记录修缮过程），罚款合同价1%，限期补全。②竣工图纸、竣工决算应在工程验收后（以竣工验收单时间为准）30天内交付，否则按每天 500 元罚款。③协助或配合甲方办理有关手续，如变更签 证备案、档案移交验收等。④需由设计资质等级和业务范围允许的乙方完成的设计文件提交时间:承包范围内工程没有设计文件或设计文件需要深化的，由乙方自行（如有设计资质）或另行委托具有相应资质的设计单位编制或深化设计文件， 由甲方及甲方委托的设计单位认可后按图施工，该部分设计文件的编制费 用包含或视为已经包含在合同价款中。</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三、合同生效及其它</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1、本合同经双方签字盖章后生效。</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2、合同在执行过程中出现的未尽事宜，双方在不违背本合同和采购文件的原则下协商解决，协商结果 以书面形式盖章记录在案，作为本合同的附件，与本合同具有同等效力，但需向采购方提交二份备存。</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四、合同的解除和转让</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 甲方和乙方协商一致，可以解除合同。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2、除本合同另有约定外，有下列情形之一，合同一方可以解除合同：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（2）因合同一方违约导致合同不能履行，另一方有权解除合同；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（3）乙方工程延期 20 天无法合格交付的视为无法交付，或者乙方交付的工程存在质量问题经甲方提出整改要求后无法修改到位的。</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3、合同的部分和全部都不得转让。</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五、其它</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1、乙方承诺具有履行本合同所需的工程等相关资质，否则视为根本违约， 甲方有权单方解除本合同并 不予支付工程款。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2、乙方承包后不得转包、不得违法分包，否则，一经发现， 甲方有权单方解除本合同并不予支付工程款。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4、乙方延期交付的，每延期一日支付合同价款万分之二的违约金，直至通过合格验收之日； 乙方交付 的工程存在质量问题或瑕疵的，应根据合同约定及甲方要求及时整改到位，延误时间不予延长工期；乙方不 能自行整改到位的， 甲方可自行委托其他方整改，所支付的全部费用均由乙方承担且甲方可直接从应付乙方 的工程款中予以扣除。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5、乙方施工过程中造成任何人员伤亡的，均由乙方自行承担，如因任何原因导致甲方先行垫付或甲方 支付任何相关补偿等费用的， 甲方可向乙方全额追偿且甲方可直接从应付乙方的工程款中予以扣除。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6、本合同未尽之处双方协商解决；如协商不成，双方同意由一方向工程所在地有管辖权的人民法院提 起诉讼。</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六、附则</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1、合同份数：本合同一式六份， 甲乙双方各两份，招标代理机构两份。</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2、未尽事宜</w:t>
      </w:r>
      <w:r/>
    </w:p>
    <w:p>
      <w:pPr>
        <w:ind w:firstLine="411"/>
        <w:spacing w:after="160" w:line="360" w:lineRule="auto"/>
        <w:tabs>
          <w:tab w:val="left" w:pos="360" w:leader="none"/>
        </w:tabs>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本合同未尽事宜应按《中华人民共和国民法典》、《中华人民共和国建筑法》</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 以及其同相关法律、法规之规定解释。</w:t>
      </w:r>
      <w:r/>
    </w:p>
    <w:p>
      <w:pPr>
        <w:ind w:firstLine="420"/>
        <w:jc w:val="left"/>
        <w:spacing w:after="16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甲方签章：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乙方签章：          </w:t>
      </w:r>
      <w:r/>
    </w:p>
    <w:p>
      <w:pPr>
        <w:ind w:firstLine="420"/>
        <w:jc w:val="left"/>
        <w:spacing w:after="16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经办人：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法人代表或授权委托人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5"/>
        <w:spacing w:after="160" w:line="36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jc w:val="both"/>
        <w:spacing w:line="360" w:lineRule="auto"/>
        <w:rPr>
          <w:rFonts w:hint="eastAsia" w:ascii="宋体" w:hAnsi="宋体"/>
          <w:b/>
          <w:color w:val="000000" w:themeColor="text1"/>
          <w:sz w:val="32"/>
          <w:highlight w:val="none"/>
          <w14:textFill>
            <w14:solidFill>
              <w14:schemeClr w14:val="tx1"/>
            </w14:solidFill>
          </w14:textFill>
        </w:rPr>
        <w:outlineLvl w:val="0"/>
      </w:pPr>
      <w:r>
        <w:rPr>
          <w:rFonts w:hint="eastAsia" w:ascii="宋体" w:hAnsi="宋体"/>
          <w:b/>
          <w:color w:val="000000" w:themeColor="text1"/>
          <w:sz w:val="32"/>
          <w:highlight w:val="none"/>
          <w14:textFill>
            <w14:solidFill>
              <w14:schemeClr w14:val="tx1"/>
            </w14:solidFill>
          </w14:textFill>
        </w:rPr>
      </w:r>
      <w:r/>
    </w:p>
    <w:p>
      <w:pPr>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br w:type="page" w:clear="all"/>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b/>
          <w:color w:val="000000" w:themeColor="text1"/>
          <w:sz w:val="32"/>
          <w:highlight w:val="none"/>
          <w14:textFill>
            <w14:solidFill>
              <w14:schemeClr w14:val="tx1"/>
            </w14:solidFill>
          </w14:textFill>
        </w:rPr>
        <w:t xml:space="preserve">六、磋商响应文件格式</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格式1：</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磋商响应报价表（第一次）</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663"/>
        <w:tblW w:w="9220" w:type="dxa"/>
        <w:jc w:val="center"/>
        <w:tblLayout w:type="fixed"/>
        <w:tblCellMar>
          <w:left w:w="108" w:type="dxa"/>
          <w:top w:w="0" w:type="dxa"/>
          <w:right w:w="108" w:type="dxa"/>
          <w:bottom w:w="0" w:type="dxa"/>
        </w:tblCellMar>
        <w:tblLook w:val="04A0" w:firstRow="1" w:lastRow="0" w:firstColumn="1" w:lastColumn="0" w:noHBand="0" w:noVBand="1"/>
      </w:tblPr>
      <w:tblGrid>
        <w:gridCol w:w="1776"/>
        <w:gridCol w:w="567"/>
        <w:gridCol w:w="549"/>
        <w:gridCol w:w="667"/>
        <w:gridCol w:w="2036"/>
        <w:gridCol w:w="3625"/>
      </w:tblGrid>
      <w:tr>
        <w:trPr>
          <w:jc w:val="center"/>
          <w:trHeight w:val="750"/>
        </w:trPr>
        <w:tc>
          <w:tcPr>
            <w:gridSpan w:val="3"/>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gridSpan w:val="3"/>
            <w:tcBorders>
              <w:top w:val="single" w:color="auto" w:sz="4" w:space="0"/>
              <w:left w:val="none" w:color="000000" w:sz="4" w:space="0"/>
              <w:bottom w:val="single" w:color="auto" w:sz="4" w:space="0"/>
              <w:right w:val="single" w:color="auto" w:sz="4" w:space="0"/>
            </w:tcBorders>
            <w:tcW w:w="6328"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r>
      <w:tr>
        <w:trPr>
          <w:jc w:val="center"/>
          <w:trHeight w:val="771"/>
        </w:trPr>
        <w:tc>
          <w:tcPr>
            <w:gridSpan w:val="3"/>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采购编号</w:t>
            </w:r>
            <w:r/>
          </w:p>
        </w:tc>
        <w:tc>
          <w:tcPr>
            <w:gridSpan w:val="3"/>
            <w:tcBorders>
              <w:top w:val="single" w:color="auto" w:sz="4" w:space="0"/>
              <w:left w:val="none" w:color="000000" w:sz="4" w:space="0"/>
              <w:bottom w:val="single" w:color="auto" w:sz="4" w:space="0"/>
              <w:right w:val="single" w:color="auto" w:sz="4" w:space="0"/>
            </w:tcBorders>
            <w:tcW w:w="6328"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工期</w:t>
            </w:r>
            <w:r/>
          </w:p>
        </w:tc>
        <w:tc>
          <w:tcPr>
            <w:gridSpan w:val="3"/>
            <w:tcBorders>
              <w:top w:val="none" w:color="000000" w:sz="4" w:space="0"/>
              <w:left w:val="none" w:color="000000" w:sz="4" w:space="0"/>
              <w:bottom w:val="single" w:color="auto" w:sz="4" w:space="0"/>
              <w:right w:val="single" w:color="auto" w:sz="4" w:space="0"/>
            </w:tcBorders>
            <w:tcW w:w="178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质量</w:t>
            </w:r>
            <w:r/>
          </w:p>
        </w:tc>
        <w:tc>
          <w:tcPr>
            <w:tcBorders>
              <w:top w:val="none" w:color="000000" w:sz="4" w:space="0"/>
              <w:left w:val="none" w:color="000000" w:sz="4" w:space="0"/>
              <w:bottom w:val="single" w:color="auto" w:sz="4" w:space="0"/>
              <w:right w:val="single" w:color="auto" w:sz="4" w:space="0"/>
            </w:tcBorders>
            <w:tcW w:w="2036"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质保期</w:t>
            </w:r>
            <w:r/>
          </w:p>
        </w:tc>
        <w:tc>
          <w:tcPr>
            <w:tcBorders>
              <w:top w:val="none" w:color="000000" w:sz="4" w:space="0"/>
              <w:left w:val="none" w:color="000000" w:sz="4" w:space="0"/>
              <w:bottom w:val="single" w:color="auto" w:sz="4" w:space="0"/>
              <w:right w:val="single" w:color="auto" w:sz="4" w:space="0"/>
            </w:tcBorders>
            <w:tcW w:w="3625"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总报价（含税）</w:t>
            </w:r>
            <w:r>
              <w:rPr>
                <w:rFonts w:hint="eastAsia" w:ascii="宋体" w:hAnsi="宋体" w:eastAsia="宋体" w:cs="宋体"/>
                <w:bCs/>
                <w:color w:val="000000" w:themeColor="text1"/>
                <w:sz w:val="21"/>
                <w:szCs w:val="21"/>
                <w:highlight w:val="none"/>
                <w14:textFill>
                  <w14:solidFill>
                    <w14:schemeClr w14:val="tx1"/>
                  </w14:solidFill>
                </w14:textFill>
              </w:rPr>
              <w:t xml:space="preserve">（元）</w:t>
            </w:r>
            <w:r/>
          </w:p>
        </w:tc>
      </w:tr>
      <w:tr>
        <w:trPr>
          <w:jc w:val="center"/>
          <w:trHeight w:val="977"/>
        </w:trPr>
        <w:tc>
          <w:tcPr>
            <w:tcBorders>
              <w:top w:val="none" w:color="000000"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天</w:t>
            </w:r>
            <w:r/>
          </w:p>
        </w:tc>
        <w:tc>
          <w:tcPr>
            <w:gridSpan w:val="3"/>
            <w:tcBorders>
              <w:top w:val="none" w:color="000000" w:sz="4" w:space="0"/>
              <w:left w:val="none" w:color="000000" w:sz="4" w:space="0"/>
              <w:bottom w:val="single" w:color="auto" w:sz="4" w:space="0"/>
              <w:right w:val="single" w:color="auto" w:sz="4" w:space="0"/>
            </w:tcBorders>
            <w:tcW w:w="1783" w:type="dxa"/>
            <w:vAlign w:val="center"/>
            <w:textDirection w:val="lrTb"/>
            <w:noWrap w:val="false"/>
          </w:tcPr>
          <w:p>
            <w:pPr>
              <w:spacing w:line="360" w:lineRule="auto"/>
              <w:widowControl/>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2036"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625" w:type="dxa"/>
            <w:vAlign w:val="center"/>
            <w:textDirection w:val="lrTb"/>
            <w:noWrap w:val="false"/>
          </w:tcPr>
          <w:p>
            <w:pP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大写：人民币               （小写：￥        元）</w:t>
            </w:r>
            <w:r/>
          </w:p>
        </w:tc>
      </w:tr>
      <w:tr>
        <w:trPr>
          <w:jc w:val="center"/>
          <w:trHeight w:val="1271"/>
        </w:trPr>
        <w:tc>
          <w:tcPr>
            <w:gridSpan w:val="2"/>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其中税率</w:t>
            </w:r>
            <w:r/>
          </w:p>
        </w:tc>
        <w:tc>
          <w:tcPr>
            <w:gridSpan w:val="4"/>
            <w:tcBorders>
              <w:top w:val="single" w:color="auto" w:sz="4" w:space="0"/>
              <w:left w:val="none" w:color="000000" w:sz="4" w:space="0"/>
              <w:bottom w:val="single" w:color="auto" w:sz="4" w:space="0"/>
              <w:right w:val="single" w:color="auto" w:sz="4" w:space="0"/>
            </w:tcBorders>
            <w:tcW w:w="687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r>
      <w:tr>
        <w:trPr>
          <w:jc w:val="center"/>
          <w:trHeight w:val="1115"/>
        </w:trPr>
        <w:tc>
          <w:tcPr>
            <w:gridSpan w:val="2"/>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属于中小微型企业</w:t>
            </w:r>
            <w:r/>
          </w:p>
        </w:tc>
        <w:tc>
          <w:tcPr>
            <w:gridSpan w:val="4"/>
            <w:tcBorders>
              <w:top w:val="single" w:color="auto" w:sz="4" w:space="0"/>
              <w:left w:val="none" w:color="000000" w:sz="4" w:space="0"/>
              <w:bottom w:val="single" w:color="auto" w:sz="4" w:space="0"/>
              <w:right w:val="single" w:color="auto" w:sz="4" w:space="0"/>
            </w:tcBorders>
            <w:tcW w:w="6877" w:type="dxa"/>
            <w:vAlign w:val="center"/>
            <w:textDirection w:val="lrTb"/>
            <w:noWrap w:val="false"/>
          </w:tcPr>
          <w:p>
            <w:pPr>
              <w:ind w:firstLine="105"/>
              <w:jc w:val="left"/>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        小型□       微型□  </w:t>
            </w:r>
            <w:r/>
          </w:p>
        </w:tc>
      </w:tr>
    </w:tbl>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响应单位：（单位盖章）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注：1、响应人如属中小微型企业的，请自行在“属于中、小、微型企业”方框上打“√”。</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格式2：</w:t>
      </w:r>
      <w:r/>
    </w:p>
    <w:p>
      <w:pPr>
        <w:jc w:val="center"/>
        <w:spacing w:before="75" w:after="75"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工程量清单报价</w:t>
      </w:r>
      <w:r/>
    </w:p>
    <w:p>
      <w:pPr>
        <w:jc w:val="left"/>
        <w:spacing w:before="75" w:after="75" w:line="49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p>
    <w:p>
      <w:pPr>
        <w:jc w:val="left"/>
        <w:spacing w:before="75" w:after="75" w:line="49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说明：</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各供应商应根据竞争性磋商文件的要求，在响应文件中提出为完成本项目相应工作所必需包含的详细具体工程量清单内容，并以此做出详细的报价（按《建设工程工程量清单计价标准》（GB/T50500-2024）及江苏省配套施行的2026版计价依据提供）。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1365"/>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1365"/>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75" w:after="75"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格式3：</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磋商响应函</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苏州市永诚建设咨询有限公司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left="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我方收到贵公司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号磋商采购文件，经仔细阅读和研究，我方决定参加磋商。并向贵公司承诺：</w:t>
      </w:r>
      <w:r/>
    </w:p>
    <w:p>
      <w:pPr>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1、愿意按照磋商采购文件的一切要求，提供以上所有工程施工，总价格及明细见《磋商响应报价表》、《工程量清单报价》。</w:t>
      </w:r>
      <w:r/>
    </w:p>
    <w:p>
      <w:pPr>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2、如果我们的响应文件被接受，我们将严格履行磋商采购文件中规定的每一项要求，按期、按质、按量履行义务。</w:t>
      </w:r>
      <w:r/>
    </w:p>
    <w:p>
      <w:pPr>
        <w:pStyle w:val="86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3、我方同意按磋商采购文件中的规定，我方的响应文件有效期限为磋商开始后60天，如果我方在规定的有效期内撤回我方的响应文件，我方的磋商保证金可被贵方没收。</w:t>
      </w:r>
      <w:r/>
    </w:p>
    <w:p>
      <w:pPr>
        <w:pStyle w:val="86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6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5、我方愿意遵守磋商采购文件中所列的收费方式。</w:t>
      </w:r>
      <w:r/>
    </w:p>
    <w:p>
      <w:pPr>
        <w:pStyle w:val="86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86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7、我方同意我方若无法按约定条款履行义务等行为，采购方有权取消我方的成交资格。</w:t>
      </w:r>
      <w:r/>
    </w:p>
    <w:p>
      <w:pPr>
        <w:pStyle w:val="86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8、我方愿意按磋商采购文件的规定交纳人民币</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元的</w:t>
      </w:r>
      <w:r>
        <w:rPr>
          <w:rFonts w:hint="eastAsia" w:hAnsi="宋体" w:eastAsia="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保证金；</w:t>
      </w:r>
      <w:r/>
    </w:p>
    <w:p>
      <w:pPr>
        <w:pStyle w:val="866"/>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、与本磋商有关的通讯地址：</w:t>
      </w:r>
      <w:r/>
    </w:p>
    <w:p>
      <w:pPr>
        <w:pStyle w:val="866"/>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pStyle w:val="866"/>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pStyle w:val="866"/>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pStyle w:val="866"/>
        <w:ind w:firstLine="425"/>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供应商名称：（单位盖章）</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供应商法定代表人或授权委托人：（签字或签章）</w:t>
      </w:r>
      <w:r/>
    </w:p>
    <w:p>
      <w:pPr>
        <w:ind w:firstLine="630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格式4：</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供应商关于资格的声明函</w:t>
      </w:r>
      <w:r/>
    </w:p>
    <w:p>
      <w:pPr>
        <w:spacing w:before="75" w:after="75"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(采购人或采购代理机构)  </w:t>
      </w:r>
      <w:r/>
    </w:p>
    <w:p>
      <w:pPr>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我方已知晓竞争性磋商文件要求并认真审核自身情况，在此郑重声明，我方具备并满足下列各项条款的规定，并在响应文件中提供真实、完整的资格证明材料。本声明如有虚假或不实之处，我方将失去合格乙方资格。</w:t>
      </w:r>
      <w:r/>
    </w:p>
    <w:tbl>
      <w:tblPr>
        <w:tblStyle w:val="663"/>
        <w:tblW w:w="85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640"/>
        <w:gridCol w:w="2880"/>
      </w:tblGrid>
      <w:tr>
        <w:trPr/>
        <w:tc>
          <w:tcPr>
            <w:gridSpan w:val="2"/>
            <w:tcBorders>
              <w:top w:val="single" w:color="auto" w:sz="6"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《中华人民共和国政府采购法》第二十二条对乙方的要求</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（1）具有独立承担民事责任的能力</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（2）具有良好的商业信誉和健全的财务会计制度</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（3）具有履行合同所必需的设备和专业技术能力</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（4）有依法缴纳税收和社会保障资金的良好记录</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（5）参加政府采购活动前三年内，在经营活动中没有重大违法记录</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（6）法律、行政法规规定的其他条件</w:t>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特定资格要求</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乙方是否知晓并遵守规定做如实声明（是/否）</w:t>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企业资质要求（见公告）</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项目经理资格要求（见公告）</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项目经理无在建要求</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乙方应当遵守中国的有关法律、法规和规章的规定，参加政府采购活动时已经自觉检查并按照政府采购相关法律规定，主动回避相应利害关系。</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（4）本项目不接受联合体</w:t>
            </w:r>
            <w:r>
              <w:rPr>
                <w:rFonts w:hint="eastAsia" w:ascii="宋体" w:hAnsi="宋体" w:cs="宋体"/>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2、我方对上述声明的真实性、合法性、准确性、有效性负责，并愿意根据磋商文件和磋商过程中贵方要求提供全部现有资料、数据、文件等予以证实。</w:t>
      </w:r>
      <w:r/>
    </w:p>
    <w:p>
      <w:pPr>
        <w:ind w:firstLine="480"/>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备注：对于接受联合体形式的磋商且乙方是联合体的，则联合体各成员都应当提交本资格证明文件。</w:t>
      </w:r>
      <w:r/>
    </w:p>
    <w:p>
      <w:pPr>
        <w:ind w:firstLine="1560"/>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1560"/>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left"/>
        <w:spacing w:after="0"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格式5：</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法人授权委托书</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(采购人或采购代理机构) </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我方的法人代表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（填写“法人代表全名”）</w:t>
      </w:r>
      <w:r>
        <w:rPr>
          <w:rFonts w:hint="eastAsia" w:ascii="宋体" w:hAnsi="宋体" w:eastAsia="宋体" w:cs="宋体"/>
          <w:color w:val="000000" w:themeColor="text1"/>
          <w:sz w:val="21"/>
          <w:szCs w:val="21"/>
          <w:highlight w:val="none"/>
          <w14:textFill>
            <w14:solidFill>
              <w14:schemeClr w14:val="tx1"/>
            </w14:solidFill>
          </w14:textFill>
        </w:rPr>
        <w:t xml:space="preserve">授权</w:t>
      </w:r>
      <w:r>
        <w:rPr>
          <w:rFonts w:hint="eastAsia" w:ascii="宋体" w:hAnsi="宋体" w:eastAsia="宋体" w:cs="宋体"/>
          <w:color w:val="000000" w:themeColor="text1"/>
          <w:sz w:val="21"/>
          <w:szCs w:val="21"/>
          <w:highlight w:val="none"/>
          <w:u w:val="single"/>
          <w14:textFill>
            <w14:solidFill>
              <w14:schemeClr w14:val="tx1"/>
            </w14:solidFill>
          </w14:textFill>
        </w:rPr>
        <w:t xml:space="preserve">（填写“授权代表全名”）</w:t>
      </w:r>
      <w:r>
        <w:rPr>
          <w:rFonts w:hint="eastAsia" w:ascii="宋体" w:hAnsi="宋体" w:eastAsia="宋体" w:cs="宋体"/>
          <w:color w:val="000000" w:themeColor="text1"/>
          <w:sz w:val="21"/>
          <w:szCs w:val="21"/>
          <w:highlight w:val="none"/>
          <w14:textFill>
            <w14:solidFill>
              <w14:schemeClr w14:val="tx1"/>
            </w14:solidFill>
          </w14:textFill>
        </w:rPr>
        <w:t xml:space="preserve">为我方的授权代表，代表我方参加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（填写“项目名称”）   </w:t>
      </w:r>
      <w:r>
        <w:rPr>
          <w:rFonts w:hint="eastAsia" w:ascii="宋体" w:hAnsi="宋体" w:eastAsia="宋体" w:cs="宋体"/>
          <w:color w:val="000000" w:themeColor="text1"/>
          <w:sz w:val="21"/>
          <w:szCs w:val="21"/>
          <w:highlight w:val="none"/>
          <w14:textFill>
            <w14:solidFill>
              <w14:schemeClr w14:val="tx1"/>
            </w14:solidFill>
          </w14:textFill>
        </w:rPr>
        <w:t xml:space="preserve">项目（采购编号：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）的响应磋商，全权代表我方处理响应磋商过程的一切事宜。授权代表在响应磋商过程中所签署的一切文件和处理与之有关的一切事务，我方均予以认可并对此承担责任。授权期限自</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至</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授权代表无转委权。特此授权。</w:t>
      </w:r>
      <w:r/>
    </w:p>
    <w:p>
      <w:pPr>
        <w:jc w:val="center"/>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（以下无正文）</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法人代表：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授权方</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（全称并加盖单位公章）</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法人代表签字或盖章：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接受授权方</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right"/>
        <w:spacing w:before="75" w:after="75" w:line="36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签署日期：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75" w:after="75" w:line="36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附：法人代表、授权代表的身份证正反面复印件</w:t>
      </w:r>
      <w:r/>
    </w:p>
    <w:tbl>
      <w:tblPr>
        <w:tblStyle w:val="663"/>
        <w:tblW w:w="856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645"/>
        </w:trPr>
        <w:tc>
          <w:tcPr>
            <w:tcBorders>
              <w:top w:val="single" w:color="auto" w:sz="6" w:space="0"/>
              <w:left w:val="single" w:color="auto" w:sz="6" w:space="0"/>
              <w:bottom w:val="single" w:color="auto" w:sz="6" w:space="0"/>
              <w:right w:val="single" w:color="auto" w:sz="6" w:space="0"/>
            </w:tcBorders>
            <w:tcMar>
              <w:left w:w="105" w:type="dxa"/>
              <w:right w:w="105" w:type="dxa"/>
            </w:tcMar>
            <w:tcW w:w="8565" w:type="dxa"/>
            <w:vAlign w:val="center"/>
            <w:textDirection w:val="lrTb"/>
            <w:noWrap w:val="false"/>
          </w:tcPr>
          <w:p>
            <w:pPr>
              <w:jc w:val="center"/>
              <w:spacing w:before="100" w:beforeAutospacing="1" w:after="100" w:afterAutospacing="1"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jc w:val="center"/>
              <w:spacing w:before="100" w:beforeAutospacing="1" w:after="100" w:afterAutospacing="1"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要求：真实、有效、清晰</w:t>
            </w:r>
            <w:r/>
          </w:p>
          <w:p>
            <w:pPr>
              <w:jc w:val="center"/>
              <w:spacing w:before="100" w:beforeAutospacing="1" w:after="100" w:afterAutospacing="1"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tc>
      </w:tr>
    </w:tbl>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格式6：</w:t>
      </w:r>
      <w:r/>
    </w:p>
    <w:p>
      <w:pPr>
        <w:jc w:val="cente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t xml:space="preserve">供应商情况表</w:t>
      </w:r>
      <w:r/>
    </w:p>
    <w:p>
      <w:pPr>
        <w:ind w:right="250"/>
        <w:jc w:val="right"/>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年</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月</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日</w:t>
      </w:r>
      <w:r/>
    </w:p>
    <w:tbl>
      <w:tblPr>
        <w:tblStyle w:val="663"/>
        <w:tblW w:w="8986"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73"/>
        <w:gridCol w:w="528"/>
        <w:gridCol w:w="1257"/>
        <w:gridCol w:w="1011"/>
        <w:gridCol w:w="564"/>
        <w:gridCol w:w="746"/>
        <w:gridCol w:w="1384"/>
        <w:gridCol w:w="611"/>
        <w:gridCol w:w="245"/>
        <w:gridCol w:w="1467"/>
      </w:tblGrid>
      <w:tr>
        <w:trPr>
          <w:trHeight w:val="1040"/>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单位名称</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（盖章）</w:t>
            </w:r>
            <w:r/>
          </w:p>
        </w:tc>
        <w:tc>
          <w:tcPr>
            <w:gridSpan w:val="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注册号</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电话</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trHeight w:val="917"/>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企业地址</w:t>
            </w:r>
            <w:r/>
          </w:p>
        </w:tc>
        <w:tc>
          <w:tcPr>
            <w:gridSpan w:val="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注册资金</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传真</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trHeight w:val="791"/>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一、单位简历及机构</w:t>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trHeight w:val="821"/>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二、单位优势及特长</w:t>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cantSplit/>
          <w:trHeight w:val="919"/>
        </w:trPr>
        <w:tc>
          <w:tcPr>
            <w:tcBorders>
              <w:top w:val="single" w:color="auto" w:sz="4" w:space="0"/>
              <w:left w:val="single" w:color="auto" w:sz="4" w:space="0"/>
              <w:bottom w:val="single" w:color="auto" w:sz="4" w:space="0"/>
              <w:right w:val="single" w:color="auto" w:sz="4" w:space="0"/>
            </w:tcBorders>
            <w:tcW w:w="1173" w:type="dxa"/>
            <w:vAlign w:val="center"/>
            <w:vMerge w:val="restart"/>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三、单</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位</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概</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况</w:t>
            </w:r>
            <w:r/>
          </w:p>
        </w:tc>
        <w:tc>
          <w:tcPr>
            <w:gridSpan w:val="2"/>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职工总数</w:t>
            </w:r>
            <w:r/>
          </w:p>
        </w:tc>
        <w:tc>
          <w:tcPr>
            <w:gridSpan w:val="2"/>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274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其中：中级职称人员</w:t>
            </w:r>
            <w:r/>
          </w:p>
        </w:tc>
        <w:tc>
          <w:tcPr>
            <w:gridSpan w:val="2"/>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cantSplit/>
          <w:trHeight w:val="931"/>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资产总计：</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 资产净值：</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 股东权益：</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tc>
      </w:tr>
      <w:tr>
        <w:trPr>
          <w:cantSplit/>
          <w:trHeight w:val="609"/>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营业面积（含厂房面积）：    M</w:t>
            </w:r>
            <w:r>
              <w:rPr>
                <w:rFonts w:hint="eastAsia" w:ascii="宋体" w:hAnsi="宋体" w:eastAsia="宋体" w:cs="宋体"/>
                <w:color w:val="000000" w:themeColor="text1"/>
                <w:spacing w:val="20"/>
                <w:sz w:val="21"/>
                <w:szCs w:val="21"/>
                <w:highlight w:val="none"/>
                <w:vertAlign w:val="superscript"/>
                <w14:textFill>
                  <w14:solidFill>
                    <w14:schemeClr w14:val="tx1"/>
                  </w14:solidFill>
                </w14:textFill>
              </w:rPr>
              <w:t xml:space="preserve">2</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，其中  产权：  M</w:t>
            </w:r>
            <w:r>
              <w:rPr>
                <w:rFonts w:hint="eastAsia" w:ascii="宋体" w:hAnsi="宋体" w:eastAsia="宋体" w:cs="宋体"/>
                <w:color w:val="000000" w:themeColor="text1"/>
                <w:spacing w:val="20"/>
                <w:sz w:val="21"/>
                <w:szCs w:val="21"/>
                <w:highlight w:val="none"/>
                <w:vertAlign w:val="superscript"/>
                <w14:textFill>
                  <w14:solidFill>
                    <w14:schemeClr w14:val="tx1"/>
                  </w14:solidFill>
                </w14:textFill>
              </w:rPr>
              <w:t xml:space="preserve">2</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，租：   M</w:t>
            </w:r>
            <w:r>
              <w:rPr>
                <w:rFonts w:hint="eastAsia" w:ascii="宋体" w:hAnsi="宋体" w:eastAsia="宋体" w:cs="宋体"/>
                <w:color w:val="000000" w:themeColor="text1"/>
                <w:spacing w:val="20"/>
                <w:sz w:val="21"/>
                <w:szCs w:val="21"/>
                <w:highlight w:val="none"/>
                <w:vertAlign w:val="superscript"/>
                <w14:textFill>
                  <w14:solidFill>
                    <w14:schemeClr w14:val="tx1"/>
                  </w14:solidFill>
                </w14:textFill>
              </w:rPr>
              <w:t xml:space="preserve">2</w:t>
            </w:r>
            <w:r/>
          </w:p>
        </w:tc>
      </w:tr>
      <w:tr>
        <w:trPr>
          <w:cantSplit/>
          <w:trHeight w:val="913"/>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销（零）售额：202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销（零）售额：202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tc>
      </w:tr>
      <w:tr>
        <w:trPr>
          <w:cantSplit/>
          <w:trHeight w:val="952"/>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实现利润：202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  </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实现利润：202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 </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 万元；</w:t>
            </w:r>
            <w:r/>
          </w:p>
        </w:tc>
      </w:tr>
      <w:tr>
        <w:trPr>
          <w:cantSplit/>
          <w:trHeight w:val="355"/>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8" w:type="dxa"/>
            <w:vAlign w:val="center"/>
            <w:vMerge w:val="restart"/>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主</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要</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业绩</w:t>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1</w:t>
            </w:r>
            <w:r/>
          </w:p>
        </w:tc>
      </w:tr>
      <w:tr>
        <w:trPr>
          <w:cantSplit/>
          <w:trHeight w:val="421"/>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2</w:t>
            </w:r>
            <w:r/>
          </w:p>
        </w:tc>
      </w:tr>
      <w:tr>
        <w:trPr>
          <w:cantSplit/>
          <w:trHeight w:val="614"/>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3</w:t>
            </w:r>
            <w:r/>
          </w:p>
        </w:tc>
      </w:tr>
    </w:tbl>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格式7：</w:t>
      </w:r>
      <w:r>
        <w:rPr>
          <w:rFonts w:hint="eastAsia" w:ascii="宋体" w:hAnsi="宋体" w:eastAsia="宋体" w:cs="宋体"/>
          <w:bCs/>
          <w:color w:val="000000" w:themeColor="text1"/>
          <w:sz w:val="21"/>
          <w:szCs w:val="21"/>
          <w:highlight w:val="none"/>
          <w14:textFill>
            <w14:solidFill>
              <w14:schemeClr w14:val="tx1"/>
            </w14:solidFill>
          </w14:textFill>
        </w:rPr>
        <w:t xml:space="preserve">偏离表</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（服务内容、服务要求）偏离表</w:t>
      </w:r>
      <w:r/>
    </w:p>
    <w:p>
      <w:pPr>
        <w:jc w:val="center"/>
        <w:spacing w:line="360" w:lineRule="auto"/>
        <w:rPr>
          <w:rFonts w:hint="eastAsia" w:ascii="宋体" w:hAnsi="宋体" w:eastAsia="宋体" w:cs="宋体"/>
          <w:bCs/>
          <w:color w:val="000000" w:themeColor="text1"/>
          <w:spacing w:val="20"/>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响应人</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               采购编号：</w:t>
      </w:r>
      <w:r/>
    </w:p>
    <w:tbl>
      <w:tblPr>
        <w:tblStyle w:val="663"/>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采购文件条目号</w:t>
            </w:r>
            <w:r/>
          </w:p>
        </w:tc>
        <w:tc>
          <w:tcPr>
            <w:tcW w:w="2051"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采购要求</w:t>
            </w:r>
            <w:r/>
          </w:p>
        </w:tc>
        <w:tc>
          <w:tcPr>
            <w:tcW w:w="2052"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采购情况</w:t>
            </w:r>
            <w:r/>
          </w:p>
        </w:tc>
        <w:tc>
          <w:tcPr>
            <w:tcW w:w="2052"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偏离说明</w:t>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ind w:firstLine="42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供应商：（公章）</w:t>
      </w:r>
      <w:r/>
    </w:p>
    <w:p>
      <w:pPr>
        <w:ind w:firstLine="42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法定代表人或代理人（签字或盖章）：</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日期：</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供应商须在响应文件中将实际响应内容与采购文件技术、商务部分的要求逐项对应列出，并在“偏离说明”项下填写以下内容：优于的，填写“正偏离”；符合的，填写“无偏离”；低于的，填写“负偏离”。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bookmarkStart w:id="2" w:name="_Toc16394"/>
      <w:r/>
      <w:bookmarkStart w:id="3" w:name="_Toc15828"/>
      <w:r/>
      <w:bookmarkStart w:id="4" w:name="_Toc25405"/>
      <w:r/>
      <w:bookmarkStart w:id="5" w:name="_Toc492451941"/>
      <w:r/>
      <w:bookmarkStart w:id="6" w:name="_Toc22194"/>
      <w:r/>
      <w:bookmarkStart w:id="7" w:name="_Toc7997"/>
      <w:r/>
      <w:bookmarkStart w:id="8" w:name="_Toc28861"/>
      <w:r/>
      <w:bookmarkStart w:id="9" w:name="_Toc424289703"/>
      <w:r/>
      <w:bookmarkStart w:id="10" w:name="_Toc12760"/>
      <w:r/>
      <w:bookmarkStart w:id="11" w:name="_Toc24162"/>
      <w:r>
        <w:rPr>
          <w:rFonts w:hint="eastAsia" w:ascii="宋体" w:hAnsi="宋体" w:eastAsia="宋体" w:cs="宋体"/>
          <w:color w:val="000000" w:themeColor="text1"/>
          <w:sz w:val="21"/>
          <w:szCs w:val="21"/>
          <w:highlight w:val="none"/>
          <w:lang w:val="zh-CN"/>
          <w14:textFill>
            <w14:solidFill>
              <w14:schemeClr w14:val="tx1"/>
            </w14:solidFill>
          </w14:textFill>
        </w:rPr>
        <w:t xml:space="preserve">2.若事项较多，供应商可根据响应内容的实际情况另纸说明。</w:t>
      </w:r>
      <w:bookmarkEnd w:id="2"/>
      <w:r/>
      <w:bookmarkEnd w:id="3"/>
      <w:r/>
      <w:bookmarkEnd w:id="4"/>
      <w:r/>
      <w:bookmarkEnd w:id="5"/>
      <w:r/>
      <w:bookmarkEnd w:id="6"/>
      <w:r/>
      <w:bookmarkEnd w:id="7"/>
      <w:r/>
      <w:bookmarkEnd w:id="8"/>
      <w:r/>
      <w:bookmarkEnd w:id="9"/>
      <w:r/>
      <w:bookmarkEnd w:id="10"/>
      <w:r/>
      <w:bookmarkEnd w:id="11"/>
      <w:r/>
      <w:r/>
    </w:p>
    <w:p>
      <w:pPr>
        <w:jc w:val="left"/>
        <w:spacing w:after="0"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格式8：</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投入本项目人员一览表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（1）拟投入本项目经理资历表</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bl>
      <w:tblPr>
        <w:tblStyle w:val="663"/>
        <w:tblW w:w="92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102"/>
        <w:gridCol w:w="896"/>
        <w:gridCol w:w="1088"/>
        <w:gridCol w:w="1106"/>
        <w:gridCol w:w="1281"/>
        <w:gridCol w:w="1855"/>
      </w:tblGrid>
      <w:tr>
        <w:trPr>
          <w:cantSplit/>
          <w:trHeight w:val="608"/>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0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      名</w:t>
            </w:r>
            <w:r/>
          </w:p>
        </w:tc>
        <w:tc>
          <w:tcPr>
            <w:gridSpan w:val="2"/>
            <w:tcW w:w="198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   别</w:t>
            </w:r>
            <w:r/>
          </w:p>
        </w:tc>
        <w:tc>
          <w:tcPr>
            <w:gridSpan w:val="2"/>
            <w:tcW w:w="31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59"/>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10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身份证号码</w:t>
            </w:r>
            <w:r/>
          </w:p>
        </w:tc>
        <w:tc>
          <w:tcPr>
            <w:gridSpan w:val="3"/>
            <w:tcW w:w="309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81"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出生年月</w:t>
            </w:r>
            <w:r/>
          </w:p>
        </w:tc>
        <w:tc>
          <w:tcPr>
            <w:tcW w:w="185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w:t>
            </w:r>
            <w:r/>
          </w:p>
        </w:tc>
      </w:tr>
      <w:tr>
        <w:trPr>
          <w:trHeight w:val="659"/>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2"/>
            <w:tcW w:w="299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gridSpan w:val="2"/>
            <w:tcW w:w="219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2"/>
            <w:tcW w:w="31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r>
      <w:tr>
        <w:trPr>
          <w:cantSplit/>
          <w:trHeight w:val="659"/>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gridSpan w:val="6"/>
            <w:tcW w:w="8328"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建造师注册证书等级、专业类别、注册证编号：</w:t>
            </w:r>
            <w:r/>
          </w:p>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B类证编号：</w:t>
            </w:r>
            <w:r/>
          </w:p>
        </w:tc>
      </w:tr>
      <w:tr>
        <w:trPr>
          <w:cantSplit/>
          <w:trHeight w:val="1319"/>
        </w:trPr>
        <w:tc>
          <w:tcPr>
            <w:tcW w:w="892"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gridSpan w:val="6"/>
            <w:tcW w:w="8328"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曾获得的奖励情况：</w:t>
            </w:r>
            <w:r/>
          </w:p>
        </w:tc>
      </w:tr>
      <w:tr>
        <w:trPr>
          <w:trHeight w:val="1871"/>
        </w:trPr>
        <w:tc>
          <w:tcPr>
            <w:tcW w:w="892"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gridSpan w:val="6"/>
            <w:tcW w:w="8328"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r>
    </w:tbl>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注：后附相关证明材料；</w:t>
      </w:r>
      <w:r/>
    </w:p>
    <w:p>
      <w:pP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r>
      <w:r/>
    </w:p>
    <w:p>
      <w:pPr>
        <w:jc w:val="left"/>
        <w:spacing w:after="0" w:line="240" w:lineRule="auto"/>
        <w:widowControl/>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t xml:space="preserve">（2）项目组成员信息表</w:t>
      </w:r>
      <w:r/>
    </w:p>
    <w:tbl>
      <w:tblPr>
        <w:tblStyle w:val="663"/>
        <w:tblW w:w="6896" w:type="dxa"/>
        <w:tblInd w:w="10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42"/>
        <w:gridCol w:w="1711"/>
        <w:gridCol w:w="1760"/>
        <w:gridCol w:w="1652"/>
      </w:tblGrid>
      <w:tr>
        <w:trPr>
          <w:trHeight w:val="840"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年龄（身份证号）</w:t>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W w:w="1652" w:type="dxa"/>
            <w:vAlign w:val="center"/>
            <w:textDirection w:val="lrTb"/>
            <w:noWrap w:val="false"/>
          </w:tcPr>
          <w:p>
            <w:pPr>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证书</w:t>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填表说明：</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1、后附相关证明材料；</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2、行数不够自行添加。</w:t>
      </w:r>
      <w:r/>
    </w:p>
    <w:p>
      <w:pPr>
        <w:ind w:left="1170" w:hanging="945"/>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响应单位：（盖章）</w:t>
      </w:r>
      <w:r/>
    </w:p>
    <w:p>
      <w:pPr>
        <w:ind w:left="38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法定代表人或授权委托人：（签字或盖章）</w:t>
      </w:r>
      <w:r/>
    </w:p>
    <w:p>
      <w:pPr>
        <w:ind w:firstLine="441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格式9：类似业绩一览表</w:t>
      </w:r>
      <w:r/>
    </w:p>
    <w:p>
      <w:pPr>
        <w:jc w:val="center"/>
        <w:spacing w:before="25" w:after="25"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类似业绩一览表</w:t>
      </w:r>
      <w:r/>
    </w:p>
    <w:tbl>
      <w:tblPr>
        <w:tblStyle w:val="663"/>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5"/>
        <w:gridCol w:w="1683"/>
        <w:gridCol w:w="1683"/>
        <w:gridCol w:w="2279"/>
        <w:gridCol w:w="1694"/>
        <w:gridCol w:w="1315"/>
      </w:tblGrid>
      <w:tr>
        <w:trPr>
          <w:cantSplit/>
          <w:jc w:val="center"/>
          <w:trHeight w:val="161"/>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主要内容</w:t>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业主单位</w:t>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合同签订时间</w:t>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合同金额</w:t>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响应单位：（单位盖章）</w:t>
      </w:r>
      <w:r/>
    </w:p>
    <w:p>
      <w:pPr>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法定代表人或代理人：（签字或盖章）</w:t>
      </w:r>
      <w:r/>
    </w:p>
    <w:p>
      <w:pPr>
        <w:ind w:left="460" w:firstLine="2520"/>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570"/>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480"/>
        <w:jc w:val="left"/>
        <w:spacing w:line="48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80"/>
        <w:jc w:val="center"/>
        <w:spacing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中小企业声明函（服务）</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 企业发展管理办法》（财库﹝2020﹞46 号）的规定，本公司 （联合体）参加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苏州市拙政园管理处（苏州市园林博物馆）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单 位 名 称 ）</w:t>
      </w:r>
      <w:r>
        <w:rPr>
          <w:rFonts w:hint="eastAsia" w:ascii="宋体" w:hAnsi="宋体" w:eastAsia="宋体" w:cs="宋体"/>
          <w:color w:val="000000" w:themeColor="text1"/>
          <w:sz w:val="21"/>
          <w:szCs w:val="21"/>
          <w:highlight w:val="none"/>
          <w14:textFill>
            <w14:solidFill>
              <w14:schemeClr w14:val="tx1"/>
            </w14:solidFill>
          </w14:textFill>
        </w:rPr>
        <w:t xml:space="preserve"> 的 </w:t>
      </w:r>
      <w:r>
        <w:rPr>
          <w:rFonts w:hint="eastAsia" w:ascii="宋体" w:hAnsi="宋体" w:cs="宋体"/>
          <w:b/>
          <w:bCs/>
          <w:color w:val="000000" w:themeColor="text1"/>
          <w:sz w:val="21"/>
          <w:szCs w:val="21"/>
          <w:highlight w:val="none"/>
          <w:u w:val="single"/>
          <w:lang w:eastAsia="zh-CN"/>
          <w14:textFill>
            <w14:solidFill>
              <w14:schemeClr w14:val="tx1"/>
            </w14:solidFill>
          </w14:textFill>
        </w:rPr>
        <w:t xml:space="preserve">东园城墙遗址基础设施提升工程</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 目 名 称 ） </w:t>
      </w:r>
      <w:r>
        <w:rPr>
          <w:rFonts w:hint="eastAsia" w:ascii="宋体" w:hAnsi="宋体" w:eastAsia="宋体" w:cs="宋体"/>
          <w:color w:val="000000" w:themeColor="text1"/>
          <w:sz w:val="21"/>
          <w:szCs w:val="21"/>
          <w:highlight w:val="none"/>
          <w14:textFill>
            <w14:solidFill>
              <w14:schemeClr w14:val="tx1"/>
            </w14:solidFill>
          </w14:textFill>
        </w:rPr>
        <w:t xml:space="preserve">采购活动，服务 全部由符合政策要求的中小企业承接。相关企业的具体情况如下： </w:t>
      </w:r>
      <w:r/>
    </w:p>
    <w:p>
      <w:pPr>
        <w:ind w:firstLine="422"/>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u w:val="single"/>
          <w:lang w:eastAsia="zh-CN"/>
          <w14:textFill>
            <w14:solidFill>
              <w14:schemeClr w14:val="tx1"/>
            </w14:solidFill>
          </w14:textFill>
        </w:rPr>
        <w:t xml:space="preserve">东园城墙遗址基础设施提升工程</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标 的 名 称 ）</w:t>
      </w:r>
      <w:r>
        <w:rPr>
          <w:rFonts w:hint="eastAsia" w:ascii="宋体" w:hAnsi="宋体" w:eastAsia="宋体" w:cs="宋体"/>
          <w:color w:val="000000" w:themeColor="text1"/>
          <w:sz w:val="21"/>
          <w:szCs w:val="21"/>
          <w:highlight w:val="none"/>
          <w14:textFill>
            <w14:solidFill>
              <w14:schemeClr w14:val="tx1"/>
            </w14:solidFill>
          </w14:textFill>
        </w:rPr>
        <w:t xml:space="preserve"> ，属于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建筑业</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行业  ； 承建（承接）企业为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企 业 名 称 ） </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中 型 企 业 、 小 型 企 业 、 微 型 企 业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 为大企业的情形，也不存在与大企业的负责人为同一人的情 形。 本企业对上述声明内容的真实性负责。如有虚假，将依法承担相应责任。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企业名称（盖章）：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2.在服务采购项目中，服务由中小企业承接，即提供服务的人员为中小企业依照《中华人民共和国劳动合同法》订立劳动合同的从业人员。工程类项目中供应商若使用退休人员，将不享受相应扶持政策。</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80"/>
        <w:spacing w:after="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4.如未对（中型企业、小型企业、微型企业）进行勾选，视同非中小微企业，不可享受相应扶持政策。</w:t>
      </w:r>
      <w:r/>
    </w:p>
    <w:p>
      <w:pPr>
        <w:spacing w:after="0"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附：中小企业划型标准规定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（一）农、林、牧、渔业。</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（二）工业。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（三）建筑业。</w:t>
      </w:r>
      <w:r>
        <w:rPr>
          <w:rFonts w:hint="eastAsia" w:ascii="宋体" w:hAnsi="宋体" w:eastAsia="宋体" w:cs="宋体"/>
          <w:color w:val="000000" w:themeColor="text1"/>
          <w:sz w:val="2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（四）批发业。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（五）零售业。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（六）交通运输业。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（七）仓储业。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（八）邮政业。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（九）住宿业。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（十）餐饮业。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（十一）信息传输业。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（十三）房地产开发经营。</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（十四）物业管理。</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从业人员1000人以下或营业收入5000万元以下的为中小微型企业。其中，从业人员</w:t>
      </w:r>
      <w:r/>
    </w:p>
    <w:p>
      <w:pPr>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其他未列明</w:t>
      </w:r>
      <w:r>
        <w:rPr>
          <w:rFonts w:hint="eastAsia" w:ascii="宋体" w:hAnsi="宋体" w:cs="宋体"/>
          <w:b/>
          <w:color w:val="000000" w:themeColor="text1"/>
          <w:sz w:val="21"/>
          <w:szCs w:val="21"/>
          <w:highlight w:val="none"/>
          <w:lang w:eastAsia="zh-CN"/>
          <w14:textFill>
            <w14:solidFill>
              <w14:schemeClr w14:val="tx1"/>
            </w14:solidFill>
          </w14:textFill>
        </w:rPr>
        <w:t xml:space="preserve">行业</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65"/>
        <w:ind w:firstLine="0"/>
        <w:jc w:val="both"/>
        <w:rPr>
          <w:rFonts w:hint="eastAsia" w:ascii="宋体" w:hAnsi="宋体" w:eastAsia="宋体" w:cs="宋体"/>
          <w:b/>
          <w:bCs/>
          <w:color w:val="000000" w:themeColor="text1"/>
          <w:sz w:val="21"/>
          <w:szCs w:val="21"/>
          <w:highlight w:val="none"/>
          <w14:textFill>
            <w14:solidFill>
              <w14:schemeClr w14:val="tx1"/>
            </w14:solidFill>
          </w14:textFill>
        </w:rPr>
        <w:outlineLvl w:val="2"/>
      </w:pPr>
      <w:r>
        <w:rPr>
          <w:rFonts w:hint="eastAsia" w:ascii="宋体" w:hAnsi="宋体" w:eastAsia="宋体" w:cs="宋体"/>
          <w:b/>
          <w:bCs/>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pStyle w:val="665"/>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pStyle w:val="665"/>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残疾人福利性单位声明函</w:t>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1"/>
          <w:szCs w:val="21"/>
          <w:highlight w:val="none"/>
          <w14:textFill>
            <w14:solidFill>
              <w14:schemeClr w14:val="tx1"/>
            </w14:solidFill>
          </w14:textFill>
        </w:rPr>
        <w:t xml:space="preserve">〔2017〕141</w:t>
      </w:r>
      <w:r>
        <w:rPr>
          <w:rFonts w:hint="eastAsia" w:ascii="宋体" w:hAnsi="宋体" w:eastAsia="宋体" w:cs="宋体"/>
          <w:color w:val="000000" w:themeColor="text1"/>
          <w:spacing w:val="6"/>
          <w:sz w:val="21"/>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本单位对上述声明的真实性负责。如有虚假，将依法承担相应责任。</w:t>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ind w:right="1560" w:firstLine="444"/>
        <w:jc w:val="center"/>
        <w:spacing w:line="580" w:lineRule="exact"/>
        <w:tabs>
          <w:tab w:val="left" w:pos="4860" w:leader="none"/>
        </w:tabs>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                    单位名称（盖章）：</w:t>
      </w:r>
      <w:r/>
    </w:p>
    <w:p>
      <w:pPr>
        <w:jc w:val="center"/>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   日  期：</w:t>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备注：上述格式为参考，响应单位可自行制作表格参加磋商，但至少应包括上述条目，其他用户名单等表格响应单位自行拟制。</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665"/>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pStyle w:val="665"/>
        <w:ind w:firstLine="0"/>
        <w:jc w:val="both"/>
        <w:rPr>
          <w:rFonts w:hint="eastAsia" w:ascii="宋体" w:hAnsi="宋体" w:eastAsia="宋体" w:cs="宋体"/>
          <w:b/>
          <w:bCs/>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格式1</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b/>
          <w:color w:val="000000" w:themeColor="text1"/>
          <w:sz w:val="21"/>
          <w:szCs w:val="21"/>
          <w:highlight w:val="none"/>
          <w14:textFill>
            <w14:solidFill>
              <w14:schemeClr w14:val="tx1"/>
            </w14:solidFill>
          </w14:textFill>
        </w:rPr>
        <w:t xml:space="preserve">保证承诺书（参考格式）</w:t>
      </w:r>
      <w:r/>
    </w:p>
    <w:p>
      <w:pPr>
        <w:pStyle w:val="665"/>
        <w:ind w:firstLine="3150"/>
        <w:jc w:val="both"/>
        <w:rPr>
          <w:rFonts w:hint="eastAsia" w:ascii="宋体" w:hAnsi="宋体" w:eastAsia="宋体" w:cs="宋体"/>
          <w:color w:val="000000" w:themeColor="text1"/>
          <w:sz w:val="21"/>
          <w:szCs w:val="21"/>
          <w:highlight w:val="none"/>
          <w:lang w:val="zh-CN"/>
          <w14:textFill>
            <w14:solidFill>
              <w14:schemeClr w14:val="tx1"/>
            </w14:solidFill>
          </w14:textFill>
        </w:rPr>
        <w:outlineLvl w:val="2"/>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投标（响应）保证承诺书（参考格式）</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（采购代理机构名称）</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我（ 单位/本人，以下统称我单位）自愿参加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（项目名称和采购编号）</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,并做出如下承诺：</w:t>
      </w:r>
      <w:r/>
    </w:p>
    <w:p>
      <w:pPr>
        <w:ind w:left="210" w:firstLine="21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（或采购人）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1.自</w:t>
      </w:r>
      <w:r>
        <w:rPr>
          <w:rFonts w:hint="eastAsia" w:ascii="宋体" w:hAnsi="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截止时间至本项目发布中标（成交）公告为止，撤销</w:t>
      </w:r>
      <w:r>
        <w:rPr>
          <w:rFonts w:hint="eastAsia" w:ascii="宋体" w:hAnsi="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2.中标（成交）后不依法与采购人签订合同；</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中标（成交）后不按本采购文件规定向采购人提交履约保证金(采购文件如有要求递交的情况适用)；</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二、我单位知晓上述行为的法律后果，承认本承诺书作为贵方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（或采购人）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要求我单位履行违约赔偿义务的依据作用。</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（盖公章）</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传真：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pStyle w:val="665"/>
        <w:ind w:firstLine="0"/>
        <w:jc w:val="both"/>
        <w:rPr>
          <w:rFonts w:hint="eastAsia" w:ascii="宋体" w:hAnsi="宋体" w:eastAsia="宋体" w:cs="宋体"/>
          <w:b/>
          <w:bCs/>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格式1</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14:textFill>
            <w14:solidFill>
              <w14:schemeClr w14:val="tx1"/>
            </w14:solidFill>
          </w14:textFill>
        </w:rPr>
        <w:t xml:space="preserve">、项目经理无在建承诺书（参考格式）</w:t>
      </w:r>
      <w:r/>
    </w:p>
    <w:p>
      <w:pPr>
        <w:ind w:firstLine="422"/>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after="0"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项目经理无在建承诺书</w:t>
      </w:r>
      <w:r/>
    </w:p>
    <w:p>
      <w:pPr>
        <w:spacing w:after="0"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（建设单位名称）</w:t>
      </w:r>
      <w:r/>
    </w:p>
    <w:p>
      <w:pPr>
        <w:ind w:firstLine="476"/>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我公司郑重承诺就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（项目名称）拟派的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（项目负责人姓名）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（身份证号码）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（注册证书编号），至本项目磋商响应截止时间前，属于以下第（ ）条情形：</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1、项目负责人是非变更后无在建工程；</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2、项目负责人是变更后无在建工程（必须原合同工期已满且变更备案之日已满6个月）；</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3、因非承包方原因致使工程项目停工或因故不能按期开工、且已办理了项目负责人解锁手续；</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4、项目负责人有在建工程，但该在建工程与本次招标</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的工程属于同一工程项目、同一项目批文、同一施工地点分段发包或分期施工的情况且总的工程规模在项目负责人执业范围之内。</w:t>
      </w:r>
      <w:r/>
    </w:p>
    <w:p>
      <w:pPr>
        <w:ind w:right="-197" w:firstLine="373"/>
        <w:spacing w:after="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注：属于以上第2、3、4种情形的，请提供相关证明材料扫描件附后，无证明材料不予认可。</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5、项目负责人未同时在两个或者两个以上单位受聘或者执业：A、同时在两个及以上单位签订劳动合同或交纳社会保险； B、将本人执（职）业资格证书同时注册在两个及以上单位。</w:t>
      </w:r>
      <w:r/>
    </w:p>
    <w:p>
      <w:pPr>
        <w:ind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如有虚假，我单位愿意承担一切责任，并承担由此造成的一切损失。</w:t>
      </w:r>
      <w:r/>
    </w:p>
    <w:p>
      <w:pPr>
        <w:ind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特此承诺。</w:t>
      </w:r>
      <w:r/>
    </w:p>
    <w:p>
      <w:pPr>
        <w:ind w:right="1200" w:firstLine="3465"/>
        <w:jc w:val="right"/>
        <w:spacing w:after="0"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contextualSpacing/>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w:t>
      </w:r>
      <w:r/>
    </w:p>
    <w:p>
      <w:pPr>
        <w:ind w:firstLine="482"/>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before="100" w:beforeAutospacing="1" w:after="100" w:afterAutospacing="1"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9"/>
      <w:footerReference w:type="even" r:id="rId10"/>
      <w:footnotePr/>
      <w:endnotePr/>
      <w:type w:val="nextPage"/>
      <w:pgSz w:w="11906" w:h="16838" w:orient="portrait"/>
      <w:pgMar w:top="1440" w:right="10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Symbol">
    <w:panose1 w:val="05050102010706020507"/>
  </w:font>
  <w:font w:name="新宋体">
    <w:panose1 w:val="02010609030101010101"/>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55"/>
      </w:rPr>
      <w:framePr w:w="676" w:wrap="around" w:vAnchor="text" w:hAnchor="margin" w:xAlign="center" w:y="4"/>
    </w:pPr>
    <w:r>
      <w:fldChar w:fldCharType="begin"/>
    </w:r>
    <w:r>
      <w:rPr>
        <w:rStyle w:val="855"/>
      </w:rPr>
      <w:instrText xml:space="preserve">PAGE  </w:instrText>
    </w:r>
    <w:r>
      <w:fldChar w:fldCharType="separate"/>
    </w:r>
    <w:r>
      <w:rPr>
        <w:rStyle w:val="855"/>
      </w:rPr>
      <w:t xml:space="preserve">- 31 -</w:t>
    </w:r>
    <w:r>
      <w:fldChar w:fldCharType="end"/>
    </w:r>
    <w:r>
      <w:rPr>
        <w:rStyle w:val="855"/>
      </w:rPr>
      <w:t xml:space="preserve">  </w:t>
    </w:r>
    <w:r/>
  </w:p>
  <w:p>
    <w:pPr>
      <w:pStyle w:val="847"/>
      <w:jc w:val="center"/>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8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55"/>
      </w:rPr>
      <w:framePr w:wrap="around" w:vAnchor="text" w:hAnchor="margin" w:xAlign="center" w:y="1"/>
    </w:pPr>
    <w:r>
      <w:fldChar w:fldCharType="begin"/>
    </w:r>
    <w:r>
      <w:rPr>
        <w:rStyle w:val="855"/>
      </w:rPr>
      <w:instrText xml:space="preserve">PAGE  </w:instrText>
    </w:r>
    <w:r>
      <w:fldChar w:fldCharType="separate"/>
    </w:r>
    <w:r>
      <w:rPr>
        <w:rStyle w:val="855"/>
      </w:rPr>
      <w:t xml:space="preserve">- 2 -</w:t>
    </w:r>
    <w:r>
      <w:fldChar w:fldCharType="end"/>
    </w:r>
    <w:r/>
  </w:p>
  <w:p>
    <w:pPr>
      <w:pStyle w:val="8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86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3">
    <w:name w:val="Heading 1"/>
    <w:basedOn w:val="652"/>
    <w:next w:val="652"/>
    <w:link w:val="690"/>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1"/>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693"/>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694"/>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695"/>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697"/>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698"/>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right="0" w:firstLine="0"/>
      <w:spacing w:after="57"/>
    </w:pPr>
  </w:style>
  <w:style w:type="paragraph" w:styleId="665">
    <w:name w:val="Normal Indent"/>
    <w:basedOn w:val="652"/>
    <w:uiPriority w:val="0"/>
    <w:qFormat/>
    <w:pPr>
      <w:ind w:firstLine="420"/>
      <w:jc w:val="left"/>
      <w:widowControl/>
    </w:pPr>
    <w:rPr>
      <w:rFonts w:eastAsia="楷体_GB2312"/>
      <w:sz w:val="24"/>
      <w:szCs w:val="20"/>
    </w:r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annotation text"/>
    <w:basedOn w:val="652"/>
    <w:uiPriority w:val="99"/>
    <w:semiHidden/>
    <w:unhideWhenUsed/>
    <w:qFormat/>
    <w:pPr>
      <w:jc w:val="left"/>
    </w:pPr>
  </w:style>
  <w:style w:type="paragraph" w:styleId="668">
    <w:name w:val="Body Text"/>
    <w:basedOn w:val="652"/>
    <w:uiPriority w:val="0"/>
    <w:semiHidden/>
    <w:qFormat/>
    <w:rPr>
      <w:rFonts w:ascii="宋体" w:hAnsi="宋体" w:eastAsia="宋体" w:cs="宋体"/>
      <w:sz w:val="20"/>
      <w:szCs w:val="20"/>
      <w:lang w:val="en-US" w:eastAsia="en-US" w:bidi="ar-SA"/>
    </w:rPr>
  </w:style>
  <w:style w:type="paragraph" w:styleId="669">
    <w:name w:val="Body Text Indent"/>
    <w:basedOn w:val="652"/>
    <w:next w:val="670"/>
    <w:uiPriority w:val="0"/>
    <w:qFormat/>
    <w:pPr>
      <w:ind w:left="570"/>
      <w:spacing w:line="520" w:lineRule="exact"/>
    </w:pPr>
    <w:rPr>
      <w:rFonts w:ascii="方正仿宋简体" w:hAnsi="创艺简仿宋" w:eastAsia="方正仿宋简体"/>
      <w:sz w:val="24"/>
    </w:rPr>
  </w:style>
  <w:style w:type="paragraph" w:styleId="670">
    <w:name w:val="envelope return"/>
    <w:basedOn w:val="652"/>
    <w:uiPriority w:val="0"/>
    <w:qFormat/>
    <w:rPr>
      <w:rFonts w:ascii="Arial" w:hAnsi="Arial" w:eastAsia="楷体_GB2312"/>
      <w:sz w:val="26"/>
      <w:szCs w:val="20"/>
    </w:rPr>
  </w:style>
  <w:style w:type="paragraph" w:styleId="671">
    <w:name w:val="toc 5"/>
    <w:basedOn w:val="652"/>
    <w:next w:val="652"/>
    <w:uiPriority w:val="39"/>
    <w:unhideWhenUsed/>
    <w:qFormat/>
    <w:pPr>
      <w:ind w:left="1134" w:right="0" w:firstLine="0"/>
      <w:spacing w:after="57"/>
    </w:pPr>
  </w:style>
  <w:style w:type="paragraph" w:styleId="672">
    <w:name w:val="toc 3"/>
    <w:basedOn w:val="652"/>
    <w:next w:val="652"/>
    <w:uiPriority w:val="39"/>
    <w:unhideWhenUsed/>
    <w:qFormat/>
    <w:pPr>
      <w:ind w:left="567" w:right="0" w:firstLine="0"/>
      <w:spacing w:after="57"/>
    </w:pPr>
  </w:style>
  <w:style w:type="paragraph" w:styleId="673">
    <w:name w:val="toc 8"/>
    <w:basedOn w:val="652"/>
    <w:next w:val="652"/>
    <w:uiPriority w:val="39"/>
    <w:unhideWhenUsed/>
    <w:qFormat/>
    <w:pPr>
      <w:ind w:left="1984" w:right="0" w:firstLine="0"/>
      <w:spacing w:after="57"/>
    </w:pPr>
  </w:style>
  <w:style w:type="paragraph" w:styleId="674">
    <w:name w:val="endnote text"/>
    <w:basedOn w:val="652"/>
    <w:link w:val="836"/>
    <w:uiPriority w:val="99"/>
    <w:semiHidden/>
    <w:unhideWhenUsed/>
    <w:qFormat/>
    <w:pPr>
      <w:spacing w:after="0" w:line="240" w:lineRule="auto"/>
    </w:pPr>
    <w:rPr>
      <w:sz w:val="20"/>
    </w:rPr>
  </w:style>
  <w:style w:type="paragraph" w:styleId="675">
    <w:name w:val="Footer"/>
    <w:basedOn w:val="652"/>
    <w:link w:val="709"/>
    <w:uiPriority w:val="99"/>
    <w:unhideWhenUsed/>
    <w:qFormat/>
    <w:pPr>
      <w:spacing w:after="0" w:line="240" w:lineRule="auto"/>
      <w:tabs>
        <w:tab w:val="center" w:pos="7143" w:leader="none"/>
        <w:tab w:val="right" w:pos="14287" w:leader="none"/>
      </w:tabs>
    </w:pPr>
  </w:style>
  <w:style w:type="paragraph" w:styleId="676">
    <w:name w:val="Header"/>
    <w:basedOn w:val="652"/>
    <w:link w:val="707"/>
    <w:uiPriority w:val="99"/>
    <w:unhideWhenUsed/>
    <w:qFormat/>
    <w:pPr>
      <w:spacing w:after="0" w:line="240" w:lineRule="auto"/>
      <w:tabs>
        <w:tab w:val="center" w:pos="7143" w:leader="none"/>
        <w:tab w:val="right" w:pos="14287" w:leader="none"/>
      </w:tabs>
    </w:pPr>
  </w:style>
  <w:style w:type="paragraph" w:styleId="677">
    <w:name w:val="toc 1"/>
    <w:basedOn w:val="652"/>
    <w:next w:val="652"/>
    <w:uiPriority w:val="39"/>
    <w:unhideWhenUsed/>
    <w:qFormat/>
    <w:pPr>
      <w:ind w:left="0" w:right="0" w:firstLine="0"/>
      <w:spacing w:after="57"/>
    </w:pPr>
  </w:style>
  <w:style w:type="paragraph" w:styleId="678">
    <w:name w:val="toc 4"/>
    <w:basedOn w:val="652"/>
    <w:next w:val="652"/>
    <w:uiPriority w:val="39"/>
    <w:unhideWhenUsed/>
    <w:qFormat/>
    <w:pPr>
      <w:ind w:left="850" w:right="0" w:firstLine="0"/>
      <w:spacing w:after="57"/>
    </w:pPr>
  </w:style>
  <w:style w:type="paragraph" w:styleId="679">
    <w:name w:val="Subtitle"/>
    <w:basedOn w:val="652"/>
    <w:next w:val="652"/>
    <w:link w:val="702"/>
    <w:uiPriority w:val="11"/>
    <w:qFormat/>
    <w:pPr>
      <w:spacing w:before="200" w:after="200"/>
    </w:pPr>
    <w:rPr>
      <w:sz w:val="24"/>
      <w:szCs w:val="24"/>
    </w:rPr>
  </w:style>
  <w:style w:type="paragraph" w:styleId="680">
    <w:name w:val="footnote text"/>
    <w:basedOn w:val="652"/>
    <w:link w:val="835"/>
    <w:uiPriority w:val="99"/>
    <w:semiHidden/>
    <w:unhideWhenUsed/>
    <w:qFormat/>
    <w:pPr>
      <w:spacing w:after="40" w:line="240" w:lineRule="auto"/>
    </w:pPr>
    <w:rPr>
      <w:sz w:val="18"/>
    </w:rPr>
  </w:style>
  <w:style w:type="paragraph" w:styleId="681">
    <w:name w:val="toc 6"/>
    <w:basedOn w:val="652"/>
    <w:next w:val="652"/>
    <w:uiPriority w:val="39"/>
    <w:unhideWhenUsed/>
    <w:qFormat/>
    <w:pPr>
      <w:ind w:left="1417" w:right="0" w:firstLine="0"/>
      <w:spacing w:after="57"/>
    </w:pPr>
  </w:style>
  <w:style w:type="paragraph" w:styleId="682">
    <w:name w:val="table of figures"/>
    <w:basedOn w:val="652"/>
    <w:next w:val="652"/>
    <w:uiPriority w:val="99"/>
    <w:unhideWhenUsed/>
    <w:qFormat/>
    <w:pPr>
      <w:spacing w:after="0" w:afterAutospacing="0"/>
    </w:pPr>
  </w:style>
  <w:style w:type="paragraph" w:styleId="683">
    <w:name w:val="toc 2"/>
    <w:basedOn w:val="652"/>
    <w:next w:val="652"/>
    <w:uiPriority w:val="39"/>
    <w:unhideWhenUsed/>
    <w:qFormat/>
    <w:pPr>
      <w:ind w:left="283" w:right="0" w:firstLine="0"/>
      <w:spacing w:after="57"/>
    </w:pPr>
  </w:style>
  <w:style w:type="paragraph" w:styleId="684">
    <w:name w:val="toc 9"/>
    <w:basedOn w:val="652"/>
    <w:next w:val="652"/>
    <w:uiPriority w:val="39"/>
    <w:unhideWhenUsed/>
    <w:qFormat/>
    <w:pPr>
      <w:ind w:left="2268" w:right="0" w:firstLine="0"/>
      <w:spacing w:after="57"/>
    </w:pPr>
  </w:style>
  <w:style w:type="paragraph" w:styleId="685">
    <w:name w:val="Title"/>
    <w:basedOn w:val="652"/>
    <w:next w:val="652"/>
    <w:link w:val="701"/>
    <w:uiPriority w:val="10"/>
    <w:qFormat/>
    <w:pPr>
      <w:contextualSpacing/>
      <w:spacing w:before="300" w:after="200"/>
    </w:pPr>
    <w:rPr>
      <w:sz w:val="48"/>
      <w:szCs w:val="48"/>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character" w:styleId="690" w:customStyle="1">
    <w:name w:val="Heading 1 Char"/>
    <w:link w:val="653"/>
    <w:uiPriority w:val="9"/>
    <w:qFormat/>
    <w:rPr>
      <w:rFonts w:ascii="Arial" w:hAnsi="Arial" w:eastAsia="Arial" w:cs="Arial"/>
      <w:sz w:val="40"/>
      <w:szCs w:val="40"/>
    </w:rPr>
  </w:style>
  <w:style w:type="character" w:styleId="691" w:customStyle="1">
    <w:name w:val="Heading 2 Char"/>
    <w:link w:val="654"/>
    <w:uiPriority w:val="9"/>
    <w:qFormat/>
    <w:rPr>
      <w:rFonts w:ascii="Arial" w:hAnsi="Arial" w:eastAsia="Arial" w:cs="Arial"/>
      <w:sz w:val="34"/>
    </w:rPr>
  </w:style>
  <w:style w:type="character" w:styleId="692" w:customStyle="1">
    <w:name w:val="Heading 3 Char"/>
    <w:link w:val="655"/>
    <w:uiPriority w:val="9"/>
    <w:qFormat/>
    <w:rPr>
      <w:rFonts w:ascii="Arial" w:hAnsi="Arial" w:eastAsia="Arial" w:cs="Arial"/>
      <w:sz w:val="30"/>
      <w:szCs w:val="30"/>
    </w:rPr>
  </w:style>
  <w:style w:type="character" w:styleId="693" w:customStyle="1">
    <w:name w:val="Heading 4 Char"/>
    <w:link w:val="656"/>
    <w:uiPriority w:val="9"/>
    <w:qFormat/>
    <w:rPr>
      <w:rFonts w:ascii="Arial" w:hAnsi="Arial" w:eastAsia="Arial" w:cs="Arial"/>
      <w:b/>
      <w:bCs/>
      <w:sz w:val="26"/>
      <w:szCs w:val="26"/>
    </w:rPr>
  </w:style>
  <w:style w:type="character" w:styleId="694" w:customStyle="1">
    <w:name w:val="Heading 5 Char"/>
    <w:link w:val="657"/>
    <w:uiPriority w:val="9"/>
    <w:qFormat/>
    <w:rPr>
      <w:rFonts w:ascii="Arial" w:hAnsi="Arial" w:eastAsia="Arial" w:cs="Arial"/>
      <w:b/>
      <w:bCs/>
      <w:sz w:val="24"/>
      <w:szCs w:val="24"/>
    </w:rPr>
  </w:style>
  <w:style w:type="character" w:styleId="695" w:customStyle="1">
    <w:name w:val="Heading 6 Char"/>
    <w:link w:val="658"/>
    <w:uiPriority w:val="9"/>
    <w:qFormat/>
    <w:rPr>
      <w:rFonts w:ascii="Arial" w:hAnsi="Arial" w:eastAsia="Arial" w:cs="Arial"/>
      <w:b/>
      <w:bCs/>
      <w:sz w:val="22"/>
      <w:szCs w:val="22"/>
    </w:rPr>
  </w:style>
  <w:style w:type="character" w:styleId="696" w:customStyle="1">
    <w:name w:val="Heading 7 Char"/>
    <w:link w:val="659"/>
    <w:uiPriority w:val="9"/>
    <w:qFormat/>
    <w:rPr>
      <w:rFonts w:ascii="Arial" w:hAnsi="Arial" w:eastAsia="Arial" w:cs="Arial"/>
      <w:b/>
      <w:bCs/>
      <w:i/>
      <w:iCs/>
      <w:sz w:val="22"/>
      <w:szCs w:val="22"/>
    </w:rPr>
  </w:style>
  <w:style w:type="character" w:styleId="697" w:customStyle="1">
    <w:name w:val="Heading 8 Char"/>
    <w:link w:val="660"/>
    <w:uiPriority w:val="9"/>
    <w:qFormat/>
    <w:rPr>
      <w:rFonts w:ascii="Arial" w:hAnsi="Arial" w:eastAsia="Arial" w:cs="Arial"/>
      <w:i/>
      <w:iCs/>
      <w:sz w:val="22"/>
      <w:szCs w:val="22"/>
    </w:rPr>
  </w:style>
  <w:style w:type="character" w:styleId="698" w:customStyle="1">
    <w:name w:val="Heading 9 Char"/>
    <w:link w:val="661"/>
    <w:uiPriority w:val="9"/>
    <w:qFormat/>
    <w:rPr>
      <w:rFonts w:ascii="Arial" w:hAnsi="Arial" w:eastAsia="Arial" w:cs="Arial"/>
      <w:i/>
      <w:iCs/>
      <w:sz w:val="21"/>
      <w:szCs w:val="21"/>
    </w:rPr>
  </w:style>
  <w:style w:type="paragraph" w:styleId="699">
    <w:name w:val="List Paragraph"/>
    <w:basedOn w:val="652"/>
    <w:uiPriority w:val="34"/>
    <w:qFormat/>
    <w:pPr>
      <w:contextualSpacing/>
      <w:ind w:left="720"/>
    </w:p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link w:val="685"/>
    <w:uiPriority w:val="10"/>
    <w:qFormat/>
    <w:rPr>
      <w:sz w:val="48"/>
      <w:szCs w:val="48"/>
    </w:rPr>
  </w:style>
  <w:style w:type="character" w:styleId="702" w:customStyle="1">
    <w:name w:val="Subtitle Char"/>
    <w:link w:val="679"/>
    <w:uiPriority w:val="11"/>
    <w:qFormat/>
    <w:rPr>
      <w:sz w:val="24"/>
      <w:szCs w:val="24"/>
    </w:rPr>
  </w:style>
  <w:style w:type="paragraph" w:styleId="703">
    <w:name w:val="Quote"/>
    <w:basedOn w:val="652"/>
    <w:next w:val="652"/>
    <w:link w:val="704"/>
    <w:uiPriority w:val="29"/>
    <w:qFormat/>
    <w:pPr>
      <w:ind w:left="720" w:right="720"/>
    </w:pPr>
    <w:rPr>
      <w:i/>
    </w:rPr>
  </w:style>
  <w:style w:type="character" w:styleId="704" w:customStyle="1">
    <w:name w:val="Quote Char"/>
    <w:link w:val="703"/>
    <w:uiPriority w:val="29"/>
    <w:qFormat/>
    <w:rPr>
      <w:i/>
    </w:rPr>
  </w:style>
  <w:style w:type="paragraph" w:styleId="705">
    <w:name w:val="Intense Quote"/>
    <w:basedOn w:val="652"/>
    <w:next w:val="652"/>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qFormat/>
    <w:rPr>
      <w:i/>
    </w:rPr>
  </w:style>
  <w:style w:type="character" w:styleId="707" w:customStyle="1">
    <w:name w:val="Header Char"/>
    <w:link w:val="676"/>
    <w:uiPriority w:val="99"/>
    <w:qFormat/>
  </w:style>
  <w:style w:type="character" w:styleId="708" w:customStyle="1">
    <w:name w:val="Footer Char"/>
    <w:link w:val="675"/>
    <w:uiPriority w:val="99"/>
    <w:qFormat/>
  </w:style>
  <w:style w:type="character" w:styleId="709" w:customStyle="1">
    <w:name w:val="Caption Char"/>
    <w:link w:val="675"/>
    <w:uiPriority w:val="99"/>
    <w:qFormat/>
  </w:style>
  <w:style w:type="table" w:styleId="7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Footnote Text Char"/>
    <w:link w:val="680"/>
    <w:uiPriority w:val="99"/>
    <w:qFormat/>
    <w:rPr>
      <w:sz w:val="18"/>
    </w:rPr>
  </w:style>
  <w:style w:type="character" w:styleId="836" w:customStyle="1">
    <w:name w:val="Endnote Text Char"/>
    <w:link w:val="674"/>
    <w:uiPriority w:val="99"/>
    <w:qFormat/>
    <w:rPr>
      <w:sz w:val="20"/>
    </w:rPr>
  </w:style>
  <w:style w:type="paragraph" w:styleId="837" w:customStyle="1">
    <w:name w:val="TOC Heading"/>
    <w:uiPriority w:val="39"/>
    <w:unhideWhenUsed/>
    <w:qFormat/>
    <w:rPr>
      <w:rFonts w:hint="default" w:ascii="Times New Roman" w:hAnsi="Times New Roman" w:eastAsia="宋体" w:cs="Times New Roman"/>
    </w:rPr>
  </w:style>
  <w:style w:type="paragraph" w:styleId="838" w:customStyle="1">
    <w:name w:val="标题 21"/>
    <w:basedOn w:val="652"/>
    <w:next w:val="652"/>
    <w:uiPriority w:val="0"/>
    <w:qFormat/>
    <w:pPr>
      <w:keepNext/>
      <w:outlineLvl w:val="1"/>
    </w:pPr>
    <w:rPr>
      <w:rFonts w:ascii="新宋体" w:hAnsi="Times New Roman" w:eastAsia="新宋体" w:cs="Times New Roman"/>
      <w:sz w:val="28"/>
    </w:rPr>
  </w:style>
  <w:style w:type="character" w:styleId="839" w:customStyle="1">
    <w:name w:val="默认段落字体1"/>
    <w:link w:val="652"/>
    <w:uiPriority w:val="1"/>
    <w:unhideWhenUsed/>
    <w:qFormat/>
  </w:style>
  <w:style w:type="table" w:styleId="840" w:customStyle="1">
    <w:name w:val="普通表格1"/>
    <w:uiPriority w:val="99"/>
    <w:unhideWhenUsed/>
    <w:qFormat/>
    <w:tblPr/>
  </w:style>
  <w:style w:type="paragraph" w:styleId="841" w:customStyle="1">
    <w:name w:val="批注文字1"/>
    <w:basedOn w:val="652"/>
    <w:link w:val="842"/>
    <w:uiPriority w:val="99"/>
    <w:unhideWhenUsed/>
    <w:qFormat/>
    <w:pPr>
      <w:jc w:val="left"/>
    </w:pPr>
  </w:style>
  <w:style w:type="character" w:styleId="842" w:customStyle="1">
    <w:name w:val="批注文字 字符"/>
    <w:link w:val="841"/>
    <w:uiPriority w:val="99"/>
    <w:semiHidden/>
    <w:qFormat/>
    <w:rPr>
      <w:sz w:val="21"/>
      <w:szCs w:val="22"/>
    </w:rPr>
  </w:style>
  <w:style w:type="paragraph" w:styleId="843" w:customStyle="1">
    <w:name w:val="正文文本缩进1"/>
    <w:basedOn w:val="652"/>
    <w:link w:val="844"/>
    <w:uiPriority w:val="0"/>
    <w:qFormat/>
    <w:pPr>
      <w:ind w:left="420"/>
      <w:spacing w:after="120"/>
    </w:pPr>
    <w:rPr>
      <w:sz w:val="20"/>
      <w:szCs w:val="24"/>
    </w:rPr>
  </w:style>
  <w:style w:type="character" w:styleId="844" w:customStyle="1">
    <w:name w:val="正文文本缩进 字符"/>
    <w:link w:val="843"/>
    <w:uiPriority w:val="0"/>
    <w:qFormat/>
    <w:rPr>
      <w:rFonts w:ascii="Calibri" w:hAnsi="Calibri" w:eastAsia="宋体" w:cs="Times New Roman"/>
      <w:szCs w:val="24"/>
    </w:rPr>
  </w:style>
  <w:style w:type="paragraph" w:styleId="845" w:customStyle="1">
    <w:name w:val="批注框文本1"/>
    <w:basedOn w:val="652"/>
    <w:link w:val="846"/>
    <w:uiPriority w:val="99"/>
    <w:unhideWhenUsed/>
    <w:qFormat/>
    <w:rPr>
      <w:sz w:val="18"/>
      <w:szCs w:val="18"/>
    </w:rPr>
  </w:style>
  <w:style w:type="character" w:styleId="846" w:customStyle="1">
    <w:name w:val="批注框文本 字符"/>
    <w:link w:val="845"/>
    <w:uiPriority w:val="99"/>
    <w:semiHidden/>
    <w:qFormat/>
    <w:rPr>
      <w:sz w:val="18"/>
      <w:szCs w:val="18"/>
    </w:rPr>
  </w:style>
  <w:style w:type="paragraph" w:styleId="847" w:customStyle="1">
    <w:name w:val="页脚1"/>
    <w:basedOn w:val="652"/>
    <w:link w:val="848"/>
    <w:uiPriority w:val="0"/>
    <w:qFormat/>
    <w:pPr>
      <w:jc w:val="left"/>
      <w:tabs>
        <w:tab w:val="center" w:pos="4153" w:leader="none"/>
        <w:tab w:val="right" w:pos="8306" w:leader="none"/>
      </w:tabs>
    </w:pPr>
    <w:rPr>
      <w:sz w:val="18"/>
      <w:szCs w:val="18"/>
    </w:rPr>
  </w:style>
  <w:style w:type="character" w:styleId="848" w:customStyle="1">
    <w:name w:val="页脚 字符"/>
    <w:link w:val="847"/>
    <w:uiPriority w:val="0"/>
    <w:qFormat/>
    <w:rPr>
      <w:rFonts w:ascii="Calibri" w:hAnsi="Calibri" w:eastAsia="宋体" w:cs="Times New Roman"/>
      <w:sz w:val="18"/>
      <w:szCs w:val="18"/>
    </w:rPr>
  </w:style>
  <w:style w:type="paragraph" w:styleId="849" w:customStyle="1">
    <w:name w:val="页眉1"/>
    <w:basedOn w:val="652"/>
    <w:link w:val="850"/>
    <w:uiPriority w:val="99"/>
    <w:unhideWhenUsed/>
    <w:qFormat/>
    <w:pPr>
      <w:jc w:val="center"/>
      <w:tabs>
        <w:tab w:val="center" w:pos="4153" w:leader="none"/>
        <w:tab w:val="right" w:pos="8306" w:leader="none"/>
      </w:tabs>
    </w:pPr>
    <w:rPr>
      <w:sz w:val="18"/>
      <w:szCs w:val="18"/>
    </w:rPr>
  </w:style>
  <w:style w:type="character" w:styleId="850" w:customStyle="1">
    <w:name w:val="页眉 字符"/>
    <w:link w:val="849"/>
    <w:uiPriority w:val="99"/>
    <w:qFormat/>
    <w:rPr>
      <w:sz w:val="18"/>
      <w:szCs w:val="18"/>
    </w:rPr>
  </w:style>
  <w:style w:type="paragraph" w:styleId="851" w:customStyle="1">
    <w:name w:val="普通(网站)1"/>
    <w:basedOn w:val="652"/>
    <w:uiPriority w:val="99"/>
    <w:unhideWhenUsed/>
    <w:qFormat/>
    <w:pPr>
      <w:ind w:left="0" w:right="0"/>
      <w:jc w:val="left"/>
      <w:spacing w:before="100" w:beforeAutospacing="1" w:after="100" w:afterAutospacing="1"/>
    </w:pPr>
    <w:rPr>
      <w:sz w:val="24"/>
      <w:lang w:val="en-US" w:eastAsia="zh-CN" w:bidi="ar"/>
    </w:rPr>
  </w:style>
  <w:style w:type="paragraph" w:styleId="852" w:customStyle="1">
    <w:name w:val="批注主题1"/>
    <w:basedOn w:val="841"/>
    <w:next w:val="841"/>
    <w:link w:val="853"/>
    <w:uiPriority w:val="99"/>
    <w:unhideWhenUsed/>
    <w:qFormat/>
    <w:rPr>
      <w:b/>
      <w:bCs/>
    </w:rPr>
  </w:style>
  <w:style w:type="character" w:styleId="853" w:customStyle="1">
    <w:name w:val="批注主题 字符"/>
    <w:link w:val="852"/>
    <w:uiPriority w:val="99"/>
    <w:semiHidden/>
    <w:qFormat/>
    <w:rPr>
      <w:b/>
      <w:bCs/>
      <w:sz w:val="21"/>
      <w:szCs w:val="22"/>
    </w:rPr>
  </w:style>
  <w:style w:type="character" w:styleId="854" w:customStyle="1">
    <w:name w:val="要点1"/>
    <w:link w:val="652"/>
    <w:uiPriority w:val="22"/>
    <w:qFormat/>
    <w:rPr>
      <w:b/>
      <w:bCs/>
    </w:rPr>
  </w:style>
  <w:style w:type="character" w:styleId="855" w:customStyle="1">
    <w:name w:val="页码1"/>
    <w:link w:val="652"/>
    <w:uiPriority w:val="99"/>
    <w:unhideWhenUsed/>
    <w:qFormat/>
  </w:style>
  <w:style w:type="character" w:styleId="856" w:customStyle="1">
    <w:name w:val="超链接1"/>
    <w:link w:val="652"/>
    <w:uiPriority w:val="99"/>
    <w:unhideWhenUsed/>
    <w:qFormat/>
    <w:rPr>
      <w:color w:val="0563c1"/>
      <w:u w:val="single"/>
    </w:rPr>
  </w:style>
  <w:style w:type="character" w:styleId="857" w:customStyle="1">
    <w:name w:val="批注引用1"/>
    <w:link w:val="652"/>
    <w:uiPriority w:val="99"/>
    <w:unhideWhenUsed/>
    <w:qFormat/>
    <w:rPr>
      <w:sz w:val="21"/>
      <w:szCs w:val="21"/>
    </w:rPr>
  </w:style>
  <w:style w:type="character" w:styleId="858" w:customStyle="1">
    <w:name w:val="NormalCharacter1"/>
    <w:link w:val="652"/>
    <w:uiPriority w:val="0"/>
    <w:qFormat/>
  </w:style>
  <w:style w:type="character" w:styleId="859" w:customStyle="1">
    <w:name w:val="font01"/>
    <w:link w:val="652"/>
    <w:uiPriority w:val="0"/>
    <w:qFormat/>
    <w:rPr>
      <w:rFonts w:ascii="宋体" w:hAnsi="宋体" w:eastAsia="宋体" w:cs="宋体"/>
      <w:color w:val="000000"/>
      <w:sz w:val="20"/>
      <w:szCs w:val="20"/>
      <w:u w:val="none"/>
    </w:rPr>
  </w:style>
  <w:style w:type="paragraph" w:styleId="860" w:customStyle="1">
    <w:name w:val="目录 11"/>
    <w:basedOn w:val="652"/>
    <w:next w:val="652"/>
    <w:uiPriority w:val="0"/>
    <w:qFormat/>
    <w:pPr>
      <w:jc w:val="left"/>
    </w:pPr>
    <w:rPr>
      <w:rFonts w:ascii="Calibri" w:hAnsi="Calibri" w:eastAsia="楷体_GB2312" w:cs="Times New Roman"/>
      <w:sz w:val="24"/>
      <w:szCs w:val="20"/>
    </w:rPr>
  </w:style>
  <w:style w:type="paragraph" w:styleId="861"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862" w:customStyle="1">
    <w:name w:val="列出段落"/>
    <w:basedOn w:val="652"/>
    <w:uiPriority w:val="34"/>
    <w:qFormat/>
    <w:pPr>
      <w:ind w:firstLine="420"/>
      <w:spacing w:line="360" w:lineRule="auto"/>
    </w:pPr>
    <w:rPr>
      <w:rFonts w:ascii="Times New Roman" w:hAnsi="Times New Roman" w:eastAsia="宋体" w:cs="Times New Roman"/>
      <w:sz w:val="28"/>
    </w:rPr>
  </w:style>
  <w:style w:type="character" w:styleId="863" w:customStyle="1">
    <w:name w:val="font31"/>
    <w:basedOn w:val="839"/>
    <w:link w:val="652"/>
    <w:uiPriority w:val="0"/>
    <w:qFormat/>
    <w:rPr>
      <w:rFonts w:hint="eastAsia" w:ascii="宋体" w:hAnsi="宋体" w:eastAsia="宋体" w:cs="宋体"/>
      <w:b/>
      <w:bCs/>
      <w:color w:val="000000"/>
      <w:sz w:val="24"/>
      <w:szCs w:val="24"/>
      <w:u w:val="none"/>
    </w:rPr>
  </w:style>
  <w:style w:type="character" w:styleId="864" w:customStyle="1">
    <w:name w:val="font11"/>
    <w:basedOn w:val="839"/>
    <w:link w:val="652"/>
    <w:uiPriority w:val="0"/>
    <w:qFormat/>
    <w:rPr>
      <w:rFonts w:ascii="仿宋_GB2312" w:eastAsia="仿宋_GB2312" w:cs="仿宋_GB2312"/>
      <w:b/>
      <w:bCs/>
      <w:color w:val="000000"/>
      <w:sz w:val="24"/>
      <w:szCs w:val="24"/>
      <w:u w:val="none"/>
    </w:rPr>
  </w:style>
  <w:style w:type="paragraph" w:styleId="865" w:customStyle="1">
    <w:name w:val="段"/>
    <w:next w:val="65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66" w:customStyle="1">
    <w:name w:val="纯文本1"/>
    <w:basedOn w:val="652"/>
    <w:uiPriority w:val="0"/>
    <w:qFormat/>
    <w:rPr>
      <w:rFonts w:ascii="宋体" w:hAnsi="Courier New" w:eastAsia="楷体_GB2312"/>
      <w:sz w:val="28"/>
      <w:szCs w:val="20"/>
    </w:rPr>
  </w:style>
  <w:style w:type="numbering" w:styleId="68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dc:creator>
  <cp:lastModifiedBy>程能之</cp:lastModifiedBy>
  <cp:revision>12</cp:revision>
  <dcterms:created xsi:type="dcterms:W3CDTF">2024-10-24T14:02:00Z</dcterms:created>
  <dcterms:modified xsi:type="dcterms:W3CDTF">2026-07-16T03:07:07Z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D9B0C473E54A49329132B6CD579A6A2C_13</vt:lpwstr>
  </property>
  <property fmtid="{D5CDD505-2E9C-101B-9397-08002B2CF9AE}" pid="4" name="KSOTemplateDocerSaveRecord">
    <vt:lpwstr>eyJoZGlkIjoiYmE0Y2E3YmE2YzMzNzBlNDZkMWUxZTcyMDIwOTViODQiLCJ1c2VySWQiOiI2NTkzODcwMTgifQ==</vt:lpwstr>
  </property>
</Properties>
</file>